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7D446E">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富锦市国有农业用地经营管理办法</w:t>
      </w:r>
    </w:p>
    <w:p w14:paraId="0DB6F0A1">
      <w:pPr>
        <w:jc w:val="center"/>
        <w:rPr>
          <w:rFonts w:ascii="楷体" w:hAnsi="楷体" w:eastAsia="楷体" w:cs="楷体"/>
          <w:sz w:val="30"/>
          <w:szCs w:val="30"/>
        </w:rPr>
      </w:pPr>
    </w:p>
    <w:p w14:paraId="3E39FA99">
      <w:pPr>
        <w:jc w:val="center"/>
        <w:rPr>
          <w:rFonts w:ascii="楷体" w:hAnsi="楷体" w:eastAsia="楷体" w:cs="楷体"/>
          <w:b/>
          <w:bCs/>
          <w:sz w:val="30"/>
          <w:szCs w:val="30"/>
        </w:rPr>
      </w:pPr>
      <w:r>
        <w:rPr>
          <w:rFonts w:hint="eastAsia" w:ascii="楷体" w:hAnsi="楷体" w:eastAsia="楷体" w:cs="楷体"/>
          <w:b/>
          <w:bCs/>
          <w:sz w:val="30"/>
          <w:szCs w:val="30"/>
        </w:rPr>
        <w:t>（</w:t>
      </w:r>
      <w:r>
        <w:rPr>
          <w:rFonts w:hint="eastAsia" w:ascii="楷体" w:hAnsi="楷体" w:eastAsia="楷体" w:cs="楷体"/>
          <w:b/>
          <w:bCs/>
          <w:sz w:val="30"/>
          <w:szCs w:val="30"/>
          <w:lang w:val="en-US" w:eastAsia="zh-CN"/>
        </w:rPr>
        <w:t>送审</w:t>
      </w:r>
      <w:r>
        <w:rPr>
          <w:rFonts w:hint="eastAsia" w:ascii="楷体" w:hAnsi="楷体" w:eastAsia="楷体" w:cs="楷体"/>
          <w:b/>
          <w:bCs/>
          <w:sz w:val="30"/>
          <w:szCs w:val="30"/>
        </w:rPr>
        <w:t>稿）</w:t>
      </w:r>
    </w:p>
    <w:p w14:paraId="45726CBE">
      <w:pPr>
        <w:rPr>
          <w:rFonts w:hint="eastAsia" w:ascii="Times New Roman" w:hAnsi="Times New Roman" w:eastAsia="仿宋_GB2312" w:cs="Times New Roman"/>
          <w:sz w:val="32"/>
          <w:szCs w:val="32"/>
        </w:rPr>
      </w:pPr>
      <w:r>
        <w:rPr>
          <w:rFonts w:hint="eastAsia" w:ascii="Calibri" w:hAnsi="Calibri" w:eastAsia="宋体" w:cs="Times New Roman"/>
        </w:rPr>
        <w:t xml:space="preserve"> </w:t>
      </w:r>
    </w:p>
    <w:p w14:paraId="4B440E16">
      <w:pPr>
        <w:ind w:firstLine="624" w:firstLineChars="200"/>
        <w:rPr>
          <w:rFonts w:hint="eastAsia" w:ascii="Times New Roman" w:hAnsi="Times New Roman" w:eastAsia="仿宋_GB2312" w:cs="Times New Roman"/>
          <w:b/>
          <w:bCs/>
          <w:sz w:val="32"/>
          <w:szCs w:val="32"/>
        </w:rPr>
      </w:pPr>
    </w:p>
    <w:p w14:paraId="5BE1C42A">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rPr>
        <w:t xml:space="preserve">第一条 </w:t>
      </w:r>
      <w:r>
        <w:rPr>
          <w:rFonts w:hint="eastAsia" w:ascii="Times New Roman" w:hAnsi="Times New Roman" w:eastAsia="仿宋_GB2312" w:cs="Times New Roman"/>
          <w:b/>
          <w:bCs/>
          <w:sz w:val="32"/>
          <w:szCs w:val="32"/>
          <w:lang w:val="en-US" w:eastAsia="zh-CN"/>
        </w:rPr>
        <w:t xml:space="preserve"> </w:t>
      </w:r>
      <w:r>
        <w:rPr>
          <w:rFonts w:hint="eastAsia" w:ascii="Times New Roman" w:hAnsi="Times New Roman" w:eastAsia="仿宋_GB2312" w:cs="Times New Roman"/>
          <w:b w:val="0"/>
          <w:bCs w:val="0"/>
          <w:sz w:val="32"/>
          <w:szCs w:val="32"/>
          <w:lang w:val="en-US" w:eastAsia="zh-CN"/>
        </w:rPr>
        <w:t>为统筹国有农业用地保护与合理利用，保障粮食安全，促进农业提质增效，落实黑土地保护、生态保护要求，维护国有农用地资产权益，稳妥化解历史遗留问题，保护经营主体合法权益，根据《中华人民共和国土地管理法》《中华人民共和国民法典》《中华人民共和国黑土地保护法》《中华人民共和国粮食安全保障法》《中华人民共和国农村土地承包法》《中华人民共和国土地管理法实施条例》《黑龙江省土地管理条例》《黑龙江省黑土地保护利用条例》等法律法规，结合本市实际，制定本办法。</w:t>
      </w:r>
    </w:p>
    <w:p w14:paraId="5115864F">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第二条</w:t>
      </w:r>
      <w:r>
        <w:rPr>
          <w:rFonts w:hint="eastAsia" w:ascii="Times New Roman" w:hAnsi="Times New Roman" w:eastAsia="仿宋_GB2312" w:cs="Times New Roman"/>
          <w:b w:val="0"/>
          <w:bCs w:val="0"/>
          <w:sz w:val="32"/>
          <w:szCs w:val="32"/>
          <w:lang w:val="en-US" w:eastAsia="zh-CN"/>
        </w:rPr>
        <w:t xml:space="preserve">  本市行政区域内由市人民政府代表国家行使所有权、依法实施管理的国有农业用地，适用本办法。</w:t>
      </w:r>
    </w:p>
    <w:p w14:paraId="3B5988B4">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国有农用地承包经营关系依法由民事法律规范调整。行政机关不得代替人民法院、仲裁机构认定民事合同效力。</w:t>
      </w:r>
    </w:p>
    <w:p w14:paraId="133683B7">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国家所有依法交由农民集体使用、由集体经济组织发包的土地，依照《中华人民共和国农村土地承包法》管理。</w:t>
      </w:r>
    </w:p>
    <w:p w14:paraId="70605292">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中央直属、省属国有企业自主经营管理的国有农用地，不适用本办法，但应当严格遵守耕地保护、黑土地保护、用途管制等法律、法规强制性规定。历史政策形成由村集体经济组织实际管护的国有耕地，不改变土地国家所有权。</w:t>
      </w:r>
    </w:p>
    <w:p w14:paraId="3787244B">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本办法所称国有农业用地、受托管护主体、存量合同等术语的具体含义，由实施细则予以明确。</w:t>
      </w:r>
    </w:p>
    <w:p w14:paraId="334BE5D3">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第三条</w:t>
      </w:r>
      <w:r>
        <w:rPr>
          <w:rFonts w:hint="eastAsia" w:ascii="Times New Roman" w:hAnsi="Times New Roman" w:eastAsia="仿宋_GB2312" w:cs="Times New Roman"/>
          <w:b w:val="0"/>
          <w:bCs w:val="0"/>
          <w:sz w:val="32"/>
          <w:szCs w:val="32"/>
          <w:lang w:val="en-US" w:eastAsia="zh-CN"/>
        </w:rPr>
        <w:t xml:space="preserve">  国有农业用地管理坚持以下原则：</w:t>
      </w:r>
    </w:p>
    <w:p w14:paraId="00BED3EC">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（一）坚持国有土地所有权性质不变，任何单位和个人不得侵占、破坏、非法转让国有农业用地；</w:t>
      </w:r>
    </w:p>
    <w:p w14:paraId="0474CB3C">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（二）坚持粮食安全优先，落实耕地保护、黑土地保护、生态保护和用途管制要求，引导适度规模经营，促进农业高质量发展；</w:t>
      </w:r>
    </w:p>
    <w:p w14:paraId="219231E9">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（三）坚持公开公平公正，规范发包、收费、流转等行为，防范暗箱操作和利益输送，维护国有资产权益和经营主体合法权益；</w:t>
      </w:r>
    </w:p>
    <w:p w14:paraId="091B7DA3">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（四）坚持行政监管与民事关系相分离，厘清行政管理、委托管护、行政执法边界，不得超越法定职权干预民事合同关系；</w:t>
      </w:r>
    </w:p>
    <w:p w14:paraId="422191B2">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（五）坚持尊重历史、依法依规，稳妥处理历史遗留问题，优先通过协商、调解等方式化解矛盾；</w:t>
      </w:r>
    </w:p>
    <w:p w14:paraId="23ADAB00">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（六）坚持统筹协调、分级负责，建立部门协同、属地落实的工作机制。</w:t>
      </w:r>
    </w:p>
    <w:p w14:paraId="768ED104">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第四条</w:t>
      </w:r>
      <w:r>
        <w:rPr>
          <w:rFonts w:hint="eastAsia" w:ascii="Times New Roman" w:hAnsi="Times New Roman" w:eastAsia="仿宋_GB2312" w:cs="Times New Roman"/>
          <w:b w:val="0"/>
          <w:bCs w:val="0"/>
          <w:sz w:val="32"/>
          <w:szCs w:val="32"/>
          <w:lang w:val="en-US" w:eastAsia="zh-CN"/>
        </w:rPr>
        <w:t xml:space="preserve">  本市国有农业用地管理实行党委领导、政府主导，市国有农业用地开发保护中心（以下简称市国保中心）统筹协调，各职能部门分工负责、属地落实的工作体制。</w:t>
      </w:r>
    </w:p>
    <w:p w14:paraId="7F3D0232">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市人民政府设立国有农业用地管理联席会议，统筹研究审议重大政策、重大风险事项，对重大国有农业用地发包项目、特殊情形发包事项开展集体会商研判。联席会议纪要作为内部工作参考，不得直接作为对外实施行政行为的依据。涉及土地权属、重大权利处置等事项，应当以市人民政府正式决定或者生效法律文书为执行依据。对外发包签约由受托管护主体依据委托管理权限依法实施。</w:t>
      </w:r>
    </w:p>
    <w:p w14:paraId="3350AF6F">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市国保中心负责国有农业用地工作综合统筹、政策指导、监督考核，牵头组织联席会议议定事项落实。市人民政府通过书面形式确定受托管护主体，签订委托管理协议，明确管护责任，纳入绩效考核。受托管护主体接受市国保中心监督管理。</w:t>
      </w:r>
    </w:p>
    <w:p w14:paraId="6C774813">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第五条</w:t>
      </w:r>
      <w:r>
        <w:rPr>
          <w:rFonts w:hint="eastAsia" w:ascii="Times New Roman" w:hAnsi="Times New Roman" w:eastAsia="仿宋_GB2312" w:cs="Times New Roman"/>
          <w:b w:val="0"/>
          <w:bCs w:val="0"/>
          <w:sz w:val="32"/>
          <w:szCs w:val="32"/>
          <w:lang w:val="en-US" w:eastAsia="zh-CN"/>
        </w:rPr>
        <w:t xml:space="preserve">  各相关部门按照法定职责和本办法规定开展国有农业用地管理工作。</w:t>
      </w:r>
    </w:p>
    <w:p w14:paraId="3340CC16">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市国保中心负责综合统筹、政策指导、监督考核，牵头落实联席会议相关工作。</w:t>
      </w:r>
    </w:p>
    <w:p w14:paraId="6528235F">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市自然资源局、市农业农村局、市林业和草原局、市水务局、市财政局、市审计局、市司法局、市发改局、市统计局依照法律法规及本办法规定，履行行业监管、执法、保障等相关职责。</w:t>
      </w:r>
    </w:p>
    <w:p w14:paraId="2854DF9B">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部门之间职责存在争议的，由市国保中心提请国有农业用地管理联席会议研究协调。</w:t>
      </w:r>
    </w:p>
    <w:p w14:paraId="624E81B7">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各部门具体职责分工、工作程序和履职要求，由实施细则明确。</w:t>
      </w:r>
    </w:p>
    <w:p w14:paraId="3CE33B2C">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第六条</w:t>
      </w:r>
      <w:r>
        <w:rPr>
          <w:rFonts w:hint="eastAsia" w:ascii="Times New Roman" w:hAnsi="Times New Roman" w:eastAsia="仿宋_GB2312" w:cs="Times New Roman"/>
          <w:b w:val="0"/>
          <w:bCs w:val="0"/>
          <w:sz w:val="32"/>
          <w:szCs w:val="32"/>
          <w:lang w:val="en-US" w:eastAsia="zh-CN"/>
        </w:rPr>
        <w:t xml:space="preserve">  市人民政府与受托管护主体签订委托管理协议，明确管护范围、权限、期限、标准、考核和责任追究等内容。协议报市司法局、市国保中心备案，作为考核依据。</w:t>
      </w:r>
    </w:p>
    <w:p w14:paraId="3CE3DFBE">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受托管护主体应当在委托权限内开展管护、发包和日常监管工作。委托管理协议、承包合同中关于内部责任划分的约定，仅对协议各方具有约束力，不得对抗善意第三人。</w:t>
      </w:r>
    </w:p>
    <w:p w14:paraId="23054BD5">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第七条</w:t>
      </w:r>
      <w:r>
        <w:rPr>
          <w:rFonts w:hint="eastAsia" w:ascii="Times New Roman" w:hAnsi="Times New Roman" w:eastAsia="仿宋_GB2312" w:cs="Times New Roman"/>
          <w:b w:val="0"/>
          <w:bCs w:val="0"/>
          <w:sz w:val="32"/>
          <w:szCs w:val="32"/>
          <w:lang w:val="en-US" w:eastAsia="zh-CN"/>
        </w:rPr>
        <w:t xml:space="preserve">  国有农业用地的地类、权属以法定调查成果为依据。权属、地类存在争议的，在争议解决前不得发包。严禁未经法定程序调整地类、改变农业用途。</w:t>
      </w:r>
    </w:p>
    <w:p w14:paraId="18E3054F">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严格执行永久基本农田保护、耕地“非农化”“非粮化”、黑土地保护、生态保护红线和行洪安全管理规定。</w:t>
      </w:r>
    </w:p>
    <w:p w14:paraId="6D12F299">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国有农业用地面积以法定调查测绘成果为准。发包和合同履行中实测面积与合同约定面积存在差异的，应当查明成因、区分情形，按照尊重历史、依法依规的原则妥善处理；具体处置规则由实施细则规定。</w:t>
      </w:r>
    </w:p>
    <w:p w14:paraId="1C647D2A">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第八条</w:t>
      </w:r>
      <w:r>
        <w:rPr>
          <w:rFonts w:hint="eastAsia" w:ascii="Times New Roman" w:hAnsi="Times New Roman" w:eastAsia="仿宋_GB2312" w:cs="Times New Roman"/>
          <w:b w:val="0"/>
          <w:bCs w:val="0"/>
          <w:sz w:val="32"/>
          <w:szCs w:val="32"/>
          <w:lang w:val="en-US" w:eastAsia="zh-CN"/>
        </w:rPr>
        <w:t xml:space="preserve">  国有农业用地对外发包坚持公开竞争原则，落实信息公开，保障公平竞争，服务粮食和重要农产品生产，引导适度规模经营。</w:t>
      </w:r>
    </w:p>
    <w:p w14:paraId="2B056C74">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发包应当规范工作程序，防范暗箱操作、违规发包和利益输送。具体发包方式、程序、平台管理和过渡期安排，由实施细则规定。</w:t>
      </w:r>
    </w:p>
    <w:p w14:paraId="2AF9D758">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对单宗面积较大、权属关系复杂、存在突出信访风险、拟低于评估参考底价发包等重大特殊发包项目，应当提交国有农业用地管理联席会议开展会商研判，受托主体结合会商研判意见，按程序推进发包实施。</w:t>
      </w:r>
    </w:p>
    <w:p w14:paraId="63B2087C">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第九条</w:t>
      </w:r>
      <w:r>
        <w:rPr>
          <w:rFonts w:hint="eastAsia" w:ascii="Times New Roman" w:hAnsi="Times New Roman" w:eastAsia="仿宋_GB2312" w:cs="Times New Roman"/>
          <w:b w:val="0"/>
          <w:bCs w:val="0"/>
          <w:sz w:val="32"/>
          <w:szCs w:val="32"/>
          <w:lang w:val="en-US" w:eastAsia="zh-CN"/>
        </w:rPr>
        <w:t xml:space="preserve">  全市实行统一的国有农用地承包合同管理制度。备案属于行政管理行为，不具有确认民事合同效力的法律效果。承包经营期限由当事人结合地块条件、规划要求、经营能力等因素依法协商确定。行政机关不得直接认定合同无效，不得擅自变更合同期限。</w:t>
      </w:r>
    </w:p>
    <w:p w14:paraId="53CA36A8">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本办法及实施细则中有关价格、程序等内部履职管控要求，不作为司法机关认定民事合同效力的依据。</w:t>
      </w:r>
    </w:p>
    <w:p w14:paraId="54879B12">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第十条</w:t>
      </w:r>
      <w:r>
        <w:rPr>
          <w:rFonts w:hint="eastAsia" w:ascii="Times New Roman" w:hAnsi="Times New Roman" w:eastAsia="仿宋_GB2312" w:cs="Times New Roman"/>
          <w:b w:val="0"/>
          <w:bCs w:val="0"/>
          <w:sz w:val="32"/>
          <w:szCs w:val="32"/>
          <w:lang w:val="en-US" w:eastAsia="zh-CN"/>
        </w:rPr>
        <w:t xml:space="preserve">  建立国有农业用地发包评估参考底价制度，实行价格管控，特殊地块实行差异化定价。底价测算、评估周期、调整规则、审批程序等具体要求，由实施细则规定。</w:t>
      </w:r>
    </w:p>
    <w:p w14:paraId="3F0092BD">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国有农用地承包收益按照财政、国有资产管理有关规定实行收支两条线管理，任何单位和个人不得截留、挤占、挪用；具体收缴、分配、使用和监督规则由实施细则规定。</w:t>
      </w:r>
    </w:p>
    <w:p w14:paraId="07B0CB2A">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第十一条</w:t>
      </w:r>
      <w:r>
        <w:rPr>
          <w:rFonts w:hint="eastAsia" w:ascii="Times New Roman" w:hAnsi="Times New Roman" w:eastAsia="仿宋_GB2312" w:cs="Times New Roman"/>
          <w:b w:val="0"/>
          <w:bCs w:val="0"/>
          <w:sz w:val="32"/>
          <w:szCs w:val="32"/>
          <w:lang w:val="en-US" w:eastAsia="zh-CN"/>
        </w:rPr>
        <w:t xml:space="preserve">  国有农用地经营权流转依法实行备案管理。承包方流转土地经营权的，应当依法签订合同并向受托管护主体备案。</w:t>
      </w:r>
    </w:p>
    <w:p w14:paraId="3D0A6CA2">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经营权流转条件、备案程序、不予备案情形、概括转让要求等具体规则，由实施细则规定。</w:t>
      </w:r>
    </w:p>
    <w:p w14:paraId="23BF6949">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第十二条</w:t>
      </w:r>
      <w:r>
        <w:rPr>
          <w:rFonts w:hint="eastAsia" w:ascii="Times New Roman" w:hAnsi="Times New Roman" w:eastAsia="仿宋_GB2312" w:cs="Times New Roman"/>
          <w:b w:val="0"/>
          <w:bCs w:val="0"/>
          <w:sz w:val="32"/>
          <w:szCs w:val="32"/>
          <w:lang w:val="en-US" w:eastAsia="zh-CN"/>
        </w:rPr>
        <w:t xml:space="preserve">  经营主体应当依法履行耕地保护、黑土地保护、生态保护义务，严格落实耕地“非农化”“非粮化”管控要求。</w:t>
      </w:r>
    </w:p>
    <w:p w14:paraId="583989E5">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受托管护主体负责日常巡查、隐患排查和违法线索移送，不得替代行政执法部门实施行政处罚。</w:t>
      </w:r>
    </w:p>
    <w:p w14:paraId="2EF2BBF0">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因违约、违法需要解除合同、收回土地的，应当依照法律规定和合同约定执行。没有生效法律文书，不得实施强制清退、强制接管。</w:t>
      </w:r>
    </w:p>
    <w:p w14:paraId="714945A7">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巡田机制、违约处置、争议期间管护等具体操作规范，由实施细则规定。</w:t>
      </w:r>
    </w:p>
    <w:p w14:paraId="5AE2CD2B">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第十三条</w:t>
      </w:r>
      <w:r>
        <w:rPr>
          <w:rFonts w:hint="eastAsia" w:ascii="Times New Roman" w:hAnsi="Times New Roman" w:eastAsia="仿宋_GB2312" w:cs="Times New Roman"/>
          <w:b w:val="0"/>
          <w:bCs w:val="0"/>
          <w:sz w:val="32"/>
          <w:szCs w:val="32"/>
          <w:lang w:val="en-US" w:eastAsia="zh-CN"/>
        </w:rPr>
        <w:t xml:space="preserve">  存量历史承包合同处置应当尊重历史、依法合规。合法有效合同继续履行；存在程序瑕疵的，推动补正规范；违反法律强制性规定的，依照法律规定处理。补正备案不能弥补合同民事效力缺陷。</w:t>
      </w:r>
    </w:p>
    <w:p w14:paraId="0B0FE83B">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建立纠纷多元化解机制，设立专项调解工作组，实行民事经营纠纷调解前置，引导当事人通过协商、调解、仲裁、诉讼等途径解决争议；调解达成协议的，可以依法申请司法确认。国有农用地专项调解工作组组建、运行规则，存量合同甄别、一事一议、台账管理等具体操作规则，由实施细则规定。</w:t>
      </w:r>
    </w:p>
    <w:p w14:paraId="442CDC09">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第十四条</w:t>
      </w:r>
      <w:r>
        <w:rPr>
          <w:rFonts w:hint="eastAsia" w:ascii="Times New Roman" w:hAnsi="Times New Roman" w:eastAsia="仿宋_GB2312" w:cs="Times New Roman"/>
          <w:b w:val="0"/>
          <w:bCs w:val="0"/>
          <w:sz w:val="32"/>
          <w:szCs w:val="32"/>
          <w:lang w:val="en-US" w:eastAsia="zh-CN"/>
        </w:rPr>
        <w:t xml:space="preserve">  土地权属争议依照法定程序处理。涉地信访实行属地分级负责，落实矛盾闭环处置，纳入考核管理。</w:t>
      </w:r>
    </w:p>
    <w:p w14:paraId="4F90154C">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权属争议调查调解、信访处置和纠纷化解具体工作程序，由实施细则规定。</w:t>
      </w:r>
    </w:p>
    <w:p w14:paraId="0D6C898A">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第十五条</w:t>
      </w:r>
      <w:r>
        <w:rPr>
          <w:rFonts w:hint="eastAsia" w:ascii="Times New Roman" w:hAnsi="Times New Roman" w:eastAsia="仿宋_GB2312" w:cs="Times New Roman"/>
          <w:b w:val="0"/>
          <w:bCs w:val="0"/>
          <w:sz w:val="32"/>
          <w:szCs w:val="32"/>
          <w:lang w:val="en-US" w:eastAsia="zh-CN"/>
        </w:rPr>
        <w:t xml:space="preserve">  国有农业用地管理工作纳入绩效考核。严格执行国家失信惩戒制度，不得自行创设失信惩戒清单。</w:t>
      </w:r>
    </w:p>
    <w:p w14:paraId="16BBE08F">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坚持追责与容错纠错相结合。对履职不到位、失职渎职的，依规依纪追究责任；对因历史遗留问题、政策调整、不可抗力等因素造成偏差，已经履职尽责且不存在徇私舞弊、滥用职权的，按照规定予以容错。追责、容错的具体适用情形，由实施细则规定。</w:t>
      </w:r>
    </w:p>
    <w:p w14:paraId="4DDD00E2">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第十六条</w:t>
      </w:r>
      <w:r>
        <w:rPr>
          <w:rFonts w:hint="eastAsia" w:ascii="Times New Roman" w:hAnsi="Times New Roman" w:eastAsia="仿宋_GB2312" w:cs="Times New Roman"/>
          <w:b w:val="0"/>
          <w:bCs w:val="0"/>
          <w:sz w:val="32"/>
          <w:szCs w:val="32"/>
          <w:lang w:val="en-US" w:eastAsia="zh-CN"/>
        </w:rPr>
        <w:t xml:space="preserve">  市人民政府依据本办法制定实施细则。实施细则不得与本办法相抵触，实施细则与本办法规定不一致的，以本办法为准。实施细则对本办法涉及的管理程序、操作标准、部门职责和具体措施作出细化规定；配套操作指引、过渡期工作口径按照实施细则执行。</w:t>
      </w:r>
    </w:p>
    <w:p w14:paraId="17981303">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第十七条</w:t>
      </w:r>
      <w:r>
        <w:rPr>
          <w:rFonts w:hint="eastAsia" w:ascii="Times New Roman" w:hAnsi="Times New Roman" w:eastAsia="仿宋_GB2312" w:cs="Times New Roman"/>
          <w:b w:val="0"/>
          <w:bCs w:val="0"/>
          <w:sz w:val="32"/>
          <w:szCs w:val="32"/>
          <w:lang w:val="en-US" w:eastAsia="zh-CN"/>
        </w:rPr>
        <w:t xml:space="preserve">  本办法由富锦市人民政府负责解释。具体解释工作由市国保中心承担，经市司法局合法性审核后，报市人民政府审定公布。</w:t>
      </w:r>
    </w:p>
    <w:p w14:paraId="4C5C8B52">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本办法的制定、修改和废止，应当履行评估论证、公开征求意见、合法性审核、公平竞争审查、集体讨论决定等法定程序。</w:t>
      </w:r>
    </w:p>
    <w:p w14:paraId="55E8988D">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第十八条</w:t>
      </w:r>
      <w:r>
        <w:rPr>
          <w:rFonts w:hint="eastAsia" w:ascii="Times New Roman" w:hAnsi="Times New Roman" w:eastAsia="仿宋_GB2312" w:cs="Times New Roman"/>
          <w:b w:val="0"/>
          <w:bCs w:val="0"/>
          <w:sz w:val="32"/>
          <w:szCs w:val="32"/>
          <w:lang w:val="en-US" w:eastAsia="zh-CN"/>
        </w:rPr>
        <w:t xml:space="preserve">  本办法自2026年12月1日起施行，有效期五年。本市此前发布的相关规定与本办法不一致的，以本办法为准；法律、行政法规、规章及上级政策另有规定的，从其规定。</w:t>
      </w:r>
    </w:p>
    <w:p w14:paraId="3E161412">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有效期届满前六个月，由市国保中心会同市司法局组织评估，确需继续施行的，按法定程序重新公布。</w:t>
      </w:r>
    </w:p>
    <w:p w14:paraId="1733E3E6">
      <w:pPr>
        <w:ind w:firstLine="624" w:firstLineChars="200"/>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本办法公布后，按规定报佳木斯市人民政府和富锦市人民代表大会常务委员会备案。</w:t>
      </w:r>
    </w:p>
    <w:p w14:paraId="380AAD08">
      <w:pPr>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富锦市国有农业用地经营管理实施细则</w:t>
      </w:r>
    </w:p>
    <w:bookmarkEnd w:id="0"/>
    <w:p w14:paraId="700E67E8">
      <w:pPr>
        <w:rPr>
          <w:rFonts w:hint="eastAsia" w:ascii="Calibri" w:hAnsi="Calibri" w:eastAsia="宋体" w:cs="Times New Roman"/>
        </w:rPr>
      </w:pPr>
    </w:p>
    <w:p w14:paraId="7D00F92B">
      <w:pPr>
        <w:jc w:val="center"/>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送审稿</w:t>
      </w:r>
      <w:r>
        <w:rPr>
          <w:rFonts w:hint="eastAsia" w:ascii="楷体" w:hAnsi="楷体" w:eastAsia="楷体" w:cs="楷体"/>
          <w:b/>
          <w:bCs/>
          <w:sz w:val="32"/>
          <w:szCs w:val="32"/>
          <w:lang w:eastAsia="zh-CN"/>
        </w:rPr>
        <w:t>）</w:t>
      </w:r>
    </w:p>
    <w:p w14:paraId="65C71DC6">
      <w:pPr>
        <w:rPr>
          <w:rFonts w:hint="default" w:ascii="Times New Roman" w:hAnsi="Times New Roman" w:eastAsia="宋体" w:cs="Times New Roman"/>
        </w:rPr>
      </w:pPr>
    </w:p>
    <w:p w14:paraId="0B0D4E1B">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2"/>
          <w:szCs w:val="32"/>
        </w:rPr>
      </w:pPr>
      <w:r>
        <w:rPr>
          <w:rFonts w:hint="eastAsia" w:ascii="黑体" w:hAnsi="黑体" w:eastAsia="黑体" w:cs="黑体"/>
          <w:sz w:val="32"/>
          <w:szCs w:val="32"/>
        </w:rPr>
        <w:t>第一章  总  则</w:t>
      </w:r>
    </w:p>
    <w:p w14:paraId="23749FBF">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default" w:ascii="Times New Roman" w:hAnsi="Times New Roman" w:eastAsia="仿宋_GB2312" w:cs="Times New Roman"/>
          <w:sz w:val="32"/>
          <w:szCs w:val="32"/>
        </w:rPr>
      </w:pPr>
    </w:p>
    <w:p w14:paraId="75D48F2E">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rPr>
        <w:t>第一条</w:t>
      </w:r>
      <w:r>
        <w:rPr>
          <w:rFonts w:hint="default" w:ascii="Times New Roman" w:hAnsi="Times New Roman" w:eastAsia="仿宋_GB2312" w:cs="Times New Roman"/>
          <w:b w:val="0"/>
          <w:bCs w:val="0"/>
          <w:sz w:val="32"/>
          <w:szCs w:val="32"/>
        </w:rPr>
        <w:t xml:space="preserve"> </w:t>
      </w:r>
      <w:r>
        <w:rPr>
          <w:rFonts w:hint="eastAsia" w:ascii="Times New Roman" w:hAnsi="Times New Roman" w:eastAsia="仿宋_GB2312" w:cs="Times New Roman"/>
          <w:b w:val="0"/>
          <w:bCs w:val="0"/>
          <w:sz w:val="32"/>
          <w:szCs w:val="32"/>
          <w:lang w:val="en-US" w:eastAsia="zh-CN"/>
        </w:rPr>
        <w:t xml:space="preserve"> 为落实《富锦市国有农业用地经营管理办法》，规范全市国有农业用地开发管护、发包、经营、流转、收费及监督管理工作，保障国有农业用地资产安全，维护各方合法权益，依据《中华人民共和国民法典》《中华人民共和国土地管理法》《中华人民共和国黑土地保护法》《中华人民共和国土地管理法实施条例》《黑龙江省黑土地保护利用条例》《黑龙江省土地管理条例》《中华人民共和国防洪法》《中华人民共和国森林法》《中华人民共和国草原法》《中华人民共和国湿地保护法》《中华人民共和国粮食安全保障法》等法律法规，结合本市实际，制定本细则。</w:t>
      </w:r>
    </w:p>
    <w:p w14:paraId="53B18820">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第二条</w:t>
      </w:r>
      <w:r>
        <w:rPr>
          <w:rFonts w:hint="eastAsia" w:ascii="Times New Roman" w:hAnsi="Times New Roman" w:eastAsia="仿宋_GB2312" w:cs="Times New Roman"/>
          <w:b w:val="0"/>
          <w:bCs w:val="0"/>
          <w:sz w:val="32"/>
          <w:szCs w:val="32"/>
          <w:lang w:val="en-US" w:eastAsia="zh-CN"/>
        </w:rPr>
        <w:t xml:space="preserve">  本细则适用于本市行政区域内由市人民政府授权管理单位实施管理的国有农业用地。工作范围包括权属界定、地类认定、用途管制、委托管理、公开发包、合同管理、面积核验、价格核定、承包费收缴、经营权流转、巡查监管、档案管理、信用管理、违约处置、纠纷调处等。</w:t>
      </w:r>
    </w:p>
    <w:p w14:paraId="5F50ADC9">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第三条</w:t>
      </w:r>
      <w:r>
        <w:rPr>
          <w:rFonts w:hint="eastAsia" w:ascii="Times New Roman" w:hAnsi="Times New Roman" w:eastAsia="仿宋_GB2312" w:cs="Times New Roman"/>
          <w:b w:val="0"/>
          <w:bCs w:val="0"/>
          <w:sz w:val="32"/>
          <w:szCs w:val="32"/>
          <w:lang w:val="en-US" w:eastAsia="zh-CN"/>
        </w:rPr>
        <w:t xml:space="preserve">  本细则有关用语含义：</w:t>
      </w:r>
    </w:p>
    <w:p w14:paraId="364CE589">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（一）国有农业用地：本市辖区内国家所有，用于农业生产的耕地、草地、林地及其他农用地。</w:t>
      </w:r>
    </w:p>
    <w:p w14:paraId="77BAB19A">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（二）委托管理：市人民政府授权相关单位承担国有农业用地管护、发包、日常监管工作，不改变土地国家所有权。</w:t>
      </w:r>
    </w:p>
    <w:p w14:paraId="5AB3A100">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（三）公开发包：采取招标、拍卖、公开协商方式，面向社会不特定主体开展国有农业用地发包。</w:t>
      </w:r>
    </w:p>
    <w:p w14:paraId="1775564C">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（四）存量合同：本细则施行以前已经签订的国有农用地承包合同。</w:t>
      </w:r>
    </w:p>
    <w:p w14:paraId="2D902002">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（五）农牧三场：市农业农村主管部门管理的种畜场、渔种场、种猪场等实行企业化管理的事业单位。</w:t>
      </w:r>
    </w:p>
    <w:p w14:paraId="07F72113">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六）受托主体：经市人民政府授权，承担国有农业用地管护、发包、日常监管职责的乡镇人民政府、市属国有独资企业、林草、水务所属管理单位、市农业农村局下属农牧三场，以及市国保中心管理的原富锦市农业开发公司、市沿江管护站、三环泡湿地等相关单位。</w:t>
      </w:r>
    </w:p>
    <w:p w14:paraId="6665544A">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第四条</w:t>
      </w:r>
      <w:r>
        <w:rPr>
          <w:rFonts w:hint="eastAsia" w:ascii="Times New Roman" w:hAnsi="Times New Roman" w:eastAsia="仿宋_GB2312" w:cs="Times New Roman"/>
          <w:b w:val="0"/>
          <w:bCs w:val="0"/>
          <w:sz w:val="32"/>
          <w:szCs w:val="32"/>
          <w:lang w:val="en-US" w:eastAsia="zh-CN"/>
        </w:rPr>
        <w:t xml:space="preserve">  国有农业用地管理坚持党委领导、政府主导，由市国保中心统筹协调，各部门协同配合、属地落实责任。工作遵循依法合规、公开公平、生态优先、保值增值、保障民生原则，严格落实耕地保护各项要求。</w:t>
      </w:r>
    </w:p>
    <w:p w14:paraId="2EB74D5A">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本细则不赋予受托主体行政处罚、行政强制职权，行政处罚、行政强制由法定执法部门依法实施。委托管理机关仅可依据委托协议开展内部追责，委托管理协议约定不对抗善意第三人。</w:t>
      </w:r>
    </w:p>
    <w:p w14:paraId="5384823C">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历史政策形成由村集体实际管护的国有耕地，土地所有权仍归国家所有。属地村集体承担日常管护、纠纷调处、台账登记、现场巡查、违法线索上报工作；村集体不得擅自对外发包、处置该类土地，接受市农业农村局行业监督管理。</w:t>
      </w:r>
    </w:p>
    <w:p w14:paraId="7AA51D02">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中央直属、省属国有农垦企业、中国长江三峡集团有限公司所属富锦市三峡农业发展有限公司自主经营的国有农用地，不适用本细则，但应当严格执行土地管理、黑土地保护、用途管制相关法律强制性规定。上述区域行政执法，按照省、佳木斯市划定权责，由有权机关实施。</w:t>
      </w:r>
    </w:p>
    <w:p w14:paraId="0C7D8BF2">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p>
    <w:p w14:paraId="273656EF">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第二章 管理职责与委托管护</w:t>
      </w:r>
    </w:p>
    <w:p w14:paraId="5D02A82F">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p>
    <w:p w14:paraId="0F40AEDF">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第五条</w:t>
      </w:r>
      <w:r>
        <w:rPr>
          <w:rFonts w:hint="eastAsia" w:ascii="Times New Roman" w:hAnsi="Times New Roman" w:eastAsia="仿宋_GB2312" w:cs="Times New Roman"/>
          <w:b w:val="0"/>
          <w:bCs w:val="0"/>
          <w:sz w:val="32"/>
          <w:szCs w:val="32"/>
          <w:lang w:val="en-US" w:eastAsia="zh-CN"/>
        </w:rPr>
        <w:t xml:space="preserve">  各相关部门工作职责：</w:t>
      </w:r>
    </w:p>
    <w:p w14:paraId="0AB23035">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一）市国保中心：统筹全市国有农业用地日常管理、政策指导、制式合同管理、发包参考价格评估、发包及流转备案审查、监督考核、联席会议筹备；建立“一地一码”数字化台账，推进合同、流转备案线上办理。</w:t>
      </w:r>
    </w:p>
    <w:p w14:paraId="268B375D">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（二）市自然资源局：负责权属界定、地类认定、不动产登记、用途管制、地类变更备案；依法查处违法占地、擅自改变用途、盗挖滥挖黑土地等违法行为。</w:t>
      </w:r>
    </w:p>
    <w:p w14:paraId="054B44D7">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（三）市农业农村局：牵头查处损毁农田基础设施、掠夺式经营造成黑土地质量下降等行为；监督生产经营主体落实黑土地保护义务；监管历史政策形成由村集体实际管护的国有耕地；统筹农牧三场行业管理。</w:t>
      </w:r>
    </w:p>
    <w:p w14:paraId="4F3FBB1A">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（四）市林业和草原局、市水务局：按照职责做好湿地、草原、涝区、河道范围内国有农用地生态保护、防洪安全管控，查处相关违法行为。</w:t>
      </w:r>
    </w:p>
    <w:p w14:paraId="212A31FA">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（五）市财政局：负责国有农用地承包费收缴监管；政府直接管护地块国有资源有偿使用收入执行非税收入收支两条线；市属国有独资企业受托取得的承包费纳入国有资本经营预算管理。</w:t>
      </w:r>
    </w:p>
    <w:p w14:paraId="4FF9656C">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（六）市审计局：组织开展国有农业用地专项审计，核查收益、资金、票据合规情况，对市属国有独资企业实施常态化审计监督。</w:t>
      </w:r>
    </w:p>
    <w:p w14:paraId="5E56F894">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（七）市司法局：负责本细则、配套制度、制式承包合同合法性审查，提供法治保障。</w:t>
      </w:r>
    </w:p>
    <w:p w14:paraId="317ED8AE">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（八）市发改局、市统计局：参与发包参考底价测算，做好价格测算结果与宏观政策、农业生产成本统计口径衔接。</w:t>
      </w:r>
    </w:p>
    <w:p w14:paraId="594001AC">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第六条</w:t>
      </w:r>
      <w:r>
        <w:rPr>
          <w:rFonts w:hint="eastAsia" w:ascii="Times New Roman" w:hAnsi="Times New Roman" w:eastAsia="仿宋_GB2312" w:cs="Times New Roman"/>
          <w:b w:val="0"/>
          <w:bCs w:val="0"/>
          <w:sz w:val="32"/>
          <w:szCs w:val="32"/>
          <w:lang w:val="en-US" w:eastAsia="zh-CN"/>
        </w:rPr>
        <w:t xml:space="preserve">  市人民政府与受托主体签订委托管理协议，明确管护范围、权责、履职期限、管护标准、考核追责等内容。协议报送市司法局、市国保中心备案，作为履职考核依据。</w:t>
      </w:r>
    </w:p>
    <w:p w14:paraId="7F109452">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市属国有独资企业受托地块收益管理执行本细则第十条规定。</w:t>
      </w:r>
    </w:p>
    <w:p w14:paraId="361C1E15">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市国保中心兼具统筹和直接管护职能的，其直接管护地块发包、收费、备案实行台账管理；发包底价、合同文本等重大事项，提交国有农业用地管理联席会议会商研判后，按程序报请市人民政府审定，按年度接受市审计局审计，不得自我审批、自我备案。</w:t>
      </w:r>
    </w:p>
    <w:p w14:paraId="0552A73F">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第七条</w:t>
      </w:r>
      <w:r>
        <w:rPr>
          <w:rFonts w:hint="eastAsia" w:ascii="Times New Roman" w:hAnsi="Times New Roman" w:eastAsia="仿宋_GB2312" w:cs="Times New Roman"/>
          <w:b w:val="0"/>
          <w:bCs w:val="0"/>
          <w:sz w:val="32"/>
          <w:szCs w:val="32"/>
          <w:lang w:val="en-US" w:eastAsia="zh-CN"/>
        </w:rPr>
        <w:t xml:space="preserve">  受托主体应当在委托权限内签订国有农用地承包合同。</w:t>
      </w:r>
    </w:p>
    <w:p w14:paraId="7AE58DC5">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受托主体属于行政机关或者法定授权组织的，按照委托协议履职；超越委托权限的，依照行政及公务员管理相关规定追责，不适用民事代理规则。</w:t>
      </w:r>
    </w:p>
    <w:p w14:paraId="43AB0751">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受托主体为企业、农牧三场等民事主体的，在委托权限内以自身名义签订承包合同，法律后果按照《中华人民共和国民法典》有关规定执行。市人民政府对外承担民事责任后，可以依据委托管理协议向受托主体追偿。</w:t>
      </w:r>
    </w:p>
    <w:p w14:paraId="2F5BBE58">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第八条</w:t>
      </w:r>
      <w:r>
        <w:rPr>
          <w:rFonts w:hint="eastAsia" w:ascii="Times New Roman" w:hAnsi="Times New Roman" w:eastAsia="仿宋_GB2312" w:cs="Times New Roman"/>
          <w:b w:val="0"/>
          <w:bCs w:val="0"/>
          <w:sz w:val="32"/>
          <w:szCs w:val="32"/>
          <w:lang w:val="en-US" w:eastAsia="zh-CN"/>
        </w:rPr>
        <w:t xml:space="preserve">  承包合同应当设置委托管理告知条款，明确发包方受市人民政府委托实施管理，载明权利义务承担主体，告知承包方查询委托授权的途径。</w:t>
      </w:r>
    </w:p>
    <w:p w14:paraId="776F1E11">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第九条</w:t>
      </w:r>
      <w:r>
        <w:rPr>
          <w:rFonts w:hint="eastAsia" w:ascii="Times New Roman" w:hAnsi="Times New Roman" w:eastAsia="仿宋_GB2312" w:cs="Times New Roman"/>
          <w:b w:val="0"/>
          <w:bCs w:val="0"/>
          <w:sz w:val="32"/>
          <w:szCs w:val="32"/>
          <w:lang w:val="en-US" w:eastAsia="zh-CN"/>
        </w:rPr>
        <w:t xml:space="preserve">  受托主体建立地块管护台账，做到一地一档、账实相符，常态化开展巡田，工作过程留痕可追溯。发现违法违规行为应当及时制止、固定证据，移送有权处理机关，不得瞒报、迟报，配合测绘、检查、审计，完整报送台账资料。</w:t>
      </w:r>
    </w:p>
    <w:p w14:paraId="5A992581">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受托主体立足本地资源禀赋，落实粮食安全、黑土地保护要求，支持家庭农场、农民专业合作社、农业龙头企业等新型农业经营主体发展。</w:t>
      </w:r>
    </w:p>
    <w:p w14:paraId="27E292F5">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第十条</w:t>
      </w:r>
      <w:r>
        <w:rPr>
          <w:rFonts w:hint="eastAsia" w:ascii="Times New Roman" w:hAnsi="Times New Roman" w:eastAsia="仿宋_GB2312" w:cs="Times New Roman"/>
          <w:b w:val="0"/>
          <w:bCs w:val="0"/>
          <w:sz w:val="32"/>
          <w:szCs w:val="32"/>
          <w:lang w:val="en-US" w:eastAsia="zh-CN"/>
        </w:rPr>
        <w:t xml:space="preserve">  锦丰农场等市属国有独资企业作为受托主体，地块权属、地类、耕地保护、发包程序、底价、经营权流转接受行业监管；经营性资产、财务接受国资监管和审计监督。</w:t>
      </w:r>
    </w:p>
    <w:p w14:paraId="4648A3EA">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市属国有独资企业受托地块承包费按照国有资本经营预算制度上缴，不得截留、挪用。委托管理协议应当明确收益归集、使用、年度审计相关要求，接受市审计局常态化审计。</w:t>
      </w:r>
    </w:p>
    <w:p w14:paraId="611E64E0">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第十一条</w:t>
      </w:r>
      <w:r>
        <w:rPr>
          <w:rFonts w:hint="eastAsia" w:ascii="Times New Roman" w:hAnsi="Times New Roman" w:eastAsia="仿宋_GB2312" w:cs="Times New Roman"/>
          <w:b w:val="0"/>
          <w:bCs w:val="0"/>
          <w:sz w:val="32"/>
          <w:szCs w:val="32"/>
          <w:lang w:val="en-US" w:eastAsia="zh-CN"/>
        </w:rPr>
        <w:t xml:space="preserve">  农牧三场职工基本田按照职工身份、历史承包关系落实，不适用本细则第五章公开发包规定，其他章节参照执行。收费参照同类地块发包参考底价；职工身份由农牧三场会同市农业农村局核实认定。</w:t>
      </w:r>
    </w:p>
    <w:p w14:paraId="35B6D5DF">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规模田、机动地、到期收回地块执行第五章公开发包规定。职工基本田原则上不得对外经营性流转。具体管理规定由行业主管部门另行制定。</w:t>
      </w:r>
    </w:p>
    <w:p w14:paraId="6E1895C2">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p>
    <w:p w14:paraId="0F615D2D">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第三章 地类、权属与用途管制</w:t>
      </w:r>
    </w:p>
    <w:p w14:paraId="2FA75A7A">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p>
    <w:p w14:paraId="7B8ED2EF">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第十二条</w:t>
      </w:r>
      <w:r>
        <w:rPr>
          <w:rFonts w:hint="eastAsia" w:ascii="Times New Roman" w:hAnsi="Times New Roman" w:eastAsia="仿宋_GB2312" w:cs="Times New Roman"/>
          <w:b w:val="0"/>
          <w:bCs w:val="0"/>
          <w:sz w:val="32"/>
          <w:szCs w:val="32"/>
          <w:lang w:val="en-US" w:eastAsia="zh-CN"/>
        </w:rPr>
        <w:t xml:space="preserve">  国有农业用地地类、用途以国土调查最新成果数据库为依据。地类存在争议的地块，由市自然资源局出具书面认定意见，争议处置完毕前，不得对外发包。严格落实“三区三线”管控，严禁擅自调整地类、改变农业用途。</w:t>
      </w:r>
    </w:p>
    <w:p w14:paraId="2FD3E989">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第十三条</w:t>
      </w:r>
      <w:r>
        <w:rPr>
          <w:rFonts w:hint="eastAsia" w:ascii="Times New Roman" w:hAnsi="Times New Roman" w:eastAsia="仿宋_GB2312" w:cs="Times New Roman"/>
          <w:b w:val="0"/>
          <w:bCs w:val="0"/>
          <w:sz w:val="32"/>
          <w:szCs w:val="32"/>
          <w:lang w:val="en-US" w:eastAsia="zh-CN"/>
        </w:rPr>
        <w:t xml:space="preserve">  国有农业用地范围内永久基本农田，按照《中华人民共和国土地管理法》《基本农田保护条例》及省、市相关规定严格管控。禁止占用永久基本农田发展林果业、挖塘养鱼，禁止违规非农建设，禁止撂荒。</w:t>
      </w:r>
    </w:p>
    <w:p w14:paraId="6D661547">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承包方应当落实粮食种植要求，不得擅自调整永久基本农田种植结构。受托主体对永久基本农田建立专项台账，重点巡查监管；发现违法行为及时制止，固定证据移送执法机关。</w:t>
      </w:r>
    </w:p>
    <w:p w14:paraId="3DAFB1DE">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第十四条</w:t>
      </w:r>
      <w:r>
        <w:rPr>
          <w:rFonts w:hint="eastAsia" w:ascii="Times New Roman" w:hAnsi="Times New Roman" w:eastAsia="仿宋_GB2312" w:cs="Times New Roman"/>
          <w:b w:val="0"/>
          <w:bCs w:val="0"/>
          <w:sz w:val="32"/>
          <w:szCs w:val="32"/>
          <w:lang w:val="en-US" w:eastAsia="zh-CN"/>
        </w:rPr>
        <w:t xml:space="preserve">  严格落实耕地用途管控，防范耕地“非粮化”。永久基本农田重点保障粮食生产，一般耕地主要保障粮食、棉、油、糖、蔬菜及饲草生产。</w:t>
      </w:r>
    </w:p>
    <w:p w14:paraId="588A7F3A">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禁止占用永久基本农田发展林果业、挖塘养鱼、栽植绿化苗木草皮；禁止在一般耕地违规挖湖造景、种植草皮、擅自转为林地园地，执行国家、省相关管控标准。</w:t>
      </w:r>
    </w:p>
    <w:p w14:paraId="73FF008E">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存在上述违法行为的，由有权机关依法处置。受托主体发现后及时制止、固定证据移送执法机关，可以依据本细则第四十条不予办理流转备案；情节严重的，发包方可以依约解除合同，追偿经济损失。</w:t>
      </w:r>
    </w:p>
    <w:p w14:paraId="1D34D4A5">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第十五条</w:t>
      </w:r>
      <w:r>
        <w:rPr>
          <w:rFonts w:hint="eastAsia" w:ascii="Times New Roman" w:hAnsi="Times New Roman" w:eastAsia="仿宋_GB2312" w:cs="Times New Roman"/>
          <w:b w:val="0"/>
          <w:bCs w:val="0"/>
          <w:sz w:val="32"/>
          <w:szCs w:val="32"/>
          <w:lang w:val="en-US" w:eastAsia="zh-CN"/>
        </w:rPr>
        <w:t xml:space="preserve">  严禁未经批准开垦国有未利用地、林地、草原、湿地，禁止毁林、毁草、毁湿垦殖。违规开垦的，由自然资源、林草主管部门责令恢复原状并予以处罚。</w:t>
      </w:r>
    </w:p>
    <w:p w14:paraId="2F114B55">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确需开发未确定使用权的国有荒山、荒地、荒滩从事种植业、林业、畜牧业、渔业生产的，应当符合国土空间规划，开展科学论证评估，向市自然资源局提出申请，严格按照法定权限报批：一次性开发五十公顷以下，由市人民政府批准；五十公顷以上、一百公顷以下，报佳木斯市人民政府批准；超过一百公顷，报省人民政府批准。生态保护红线、湿地、重点草原等禁止开垦区域，一律不得实施开发。</w:t>
      </w:r>
    </w:p>
    <w:p w14:paraId="2B6398EB">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第十六条</w:t>
      </w:r>
      <w:r>
        <w:rPr>
          <w:rFonts w:hint="eastAsia" w:ascii="Times New Roman" w:hAnsi="Times New Roman" w:eastAsia="仿宋_GB2312" w:cs="Times New Roman"/>
          <w:b w:val="0"/>
          <w:bCs w:val="0"/>
          <w:sz w:val="32"/>
          <w:szCs w:val="32"/>
          <w:lang w:val="en-US" w:eastAsia="zh-CN"/>
        </w:rPr>
        <w:t xml:space="preserve">  严禁损毁农田基础设施，严禁以租代征、非农建设；禁止修建非农构筑物、挖塘、取土、采砂，破坏耕作层。承包方建设简易临时排涝设施，不占用土地的，由受托主体初审后报市水务局、市自然资源局备案；涉及占用土地的，应当办理临时用地审批，不得破坏耕作层，汛期结束后恢复原状。</w:t>
      </w:r>
    </w:p>
    <w:p w14:paraId="1FC4453F">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国有农业用地上建设设施农业，应当履行备案或者审批手续，不得改变耕地性质，严禁建设永久性非农建筑物。受托主体将设施农业纳入日常巡查重点监管内容。</w:t>
      </w:r>
    </w:p>
    <w:p w14:paraId="1C1DEF16">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第十七条</w:t>
      </w:r>
      <w:r>
        <w:rPr>
          <w:rFonts w:hint="eastAsia" w:ascii="Times New Roman" w:hAnsi="Times New Roman" w:eastAsia="仿宋_GB2312" w:cs="Times New Roman"/>
          <w:b w:val="0"/>
          <w:bCs w:val="0"/>
          <w:sz w:val="32"/>
          <w:szCs w:val="32"/>
          <w:lang w:val="en-US" w:eastAsia="zh-CN"/>
        </w:rPr>
        <w:t xml:space="preserve">  严守生态保护红线，禁止毁林毁草毁湿开垦。行洪排涝通道内禁止种植阻碍行洪的高秆作物、成片林木，具体管控品种由市水务局会同受托主体确定并对外公布。</w:t>
      </w:r>
    </w:p>
    <w:p w14:paraId="01A9DD19">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行洪通道仅允许种植不影响行洪的矮秆作物，仅限未纳入河道不稳定耕地退出计划、不属于新增开垦的原有地块；纳入退出计划或者属于新增开垦的，不得发包，不得新增耕地。</w:t>
      </w:r>
    </w:p>
    <w:p w14:paraId="339074AF">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第十八条</w:t>
      </w:r>
      <w:r>
        <w:rPr>
          <w:rFonts w:hint="eastAsia" w:ascii="Times New Roman" w:hAnsi="Times New Roman" w:eastAsia="仿宋_GB2312" w:cs="Times New Roman"/>
          <w:b w:val="0"/>
          <w:bCs w:val="0"/>
          <w:sz w:val="32"/>
          <w:szCs w:val="32"/>
          <w:lang w:val="en-US" w:eastAsia="zh-CN"/>
        </w:rPr>
        <w:t xml:space="preserve">  因公共利益收回国有农用地使用权，执行《中华人民共和国土地管理法》第五十八条，经有权机关批准后实施，并给予合理补偿。补偿参照同类地块征收标准，结合承包方实际投入、损失协商确定；协商不成，可以委托第三方评估机构评估。青苗、地上附着物、改良投入依法予以补偿；预期经营收益可以协商或者通过司法途径处理，不属于法定征收补偿范围。</w:t>
      </w:r>
    </w:p>
    <w:p w14:paraId="6795DCA7">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国家、省下达退耕还林、退耕还湿任务的国有农用地参照本条执行，补助按照上级政策落实。受托主体、承包方不得擅自实施退耕还林还湿；擅自实施的，移送执法机关处理。完成退耕任务后及时变更地类，更新国有农用地台账，报市国保中心备案，不再对外发包。</w:t>
      </w:r>
    </w:p>
    <w:p w14:paraId="35154172">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非征收、执法、生态修复等法定事由，确需收回土地的，应当与承包方协商签订协议，不得单方强制收回；协商不成，通过调解、仲裁、诉讼解决；行政处理决定严格按照法定程序执行。</w:t>
      </w:r>
    </w:p>
    <w:p w14:paraId="14C4D87A">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p>
    <w:p w14:paraId="5CD0AC6E">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第四章 面积核验与价格管理</w:t>
      </w:r>
    </w:p>
    <w:p w14:paraId="3BE41FCC">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p>
    <w:p w14:paraId="141E6744">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第十九条</w:t>
      </w:r>
      <w:r>
        <w:rPr>
          <w:rFonts w:hint="eastAsia" w:ascii="Times New Roman" w:hAnsi="Times New Roman" w:eastAsia="仿宋_GB2312" w:cs="Times New Roman"/>
          <w:b w:val="0"/>
          <w:bCs w:val="0"/>
          <w:sz w:val="32"/>
          <w:szCs w:val="32"/>
          <w:lang w:val="en-US" w:eastAsia="zh-CN"/>
        </w:rPr>
        <w:t xml:space="preserve">  计费面积以具备资质第三方测绘成果，经市自然资源局审核确认后，由市国保中心归集。</w:t>
      </w:r>
    </w:p>
    <w:p w14:paraId="33AF5CE1">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承包方对测绘结果有异议，可在公示期内书面申请复核，复核工作规则另行制定。测绘机构选定坚持公开公平，测绘成果予以公示。</w:t>
      </w:r>
    </w:p>
    <w:p w14:paraId="46678E00">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第二十条</w:t>
      </w:r>
      <w:r>
        <w:rPr>
          <w:rFonts w:hint="eastAsia" w:ascii="Times New Roman" w:hAnsi="Times New Roman" w:eastAsia="仿宋_GB2312" w:cs="Times New Roman"/>
          <w:b w:val="0"/>
          <w:bCs w:val="0"/>
          <w:sz w:val="32"/>
          <w:szCs w:val="32"/>
          <w:lang w:val="en-US" w:eastAsia="zh-CN"/>
        </w:rPr>
        <w:t xml:space="preserve">  实测面积与合同登记面积不一致，按以下原则处置：</w:t>
      </w:r>
    </w:p>
    <w:p w14:paraId="3538C655">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一）实测面积大于合同面积，因历史测绘技术局限、地块四至未发生变动，不属于承包方违法超占。以第三次国土调查、权籍实测成果作为认定依据，引导双方补缴国有土地有偿使用费，变更承包合同；补缴标准参照本细则第二十一条、第二十二条发包参考底价。市人民政府确因管护需要，决定不调整合同、收回超出部分土地的，应当充分协商，不得单方强制收回；协商不成，可以提起民事诉讼请求返还土地。</w:t>
      </w:r>
    </w:p>
    <w:p w14:paraId="133C42BF">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二）本细则实施以前，承包方擅自扩大范围、自行开垦造成超占，超出部分不受原承包合同保护，土地属于国家所有，市人民政府可以依法收回。双方协商一致的，实际耕种人补缴占用期间有偿使用费，后续公开发包，原耕种人享有同等条件下优先交易资格。协商不成，区分情形处置：由原承包衍生形成的超占，受托主体提起民事诉讼要求返还土地；无合同依据非法占地，由市自然资源局作出行政处理责令退还土地。受托主体完成调查、催告、调解后，通过民事或者法定行政程序收回土地，纳入统一管理。</w:t>
      </w:r>
    </w:p>
    <w:p w14:paraId="28230A2C">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（三）本细则施行后发生的擅自扩占、开垦占地，受托主体固定证据移送执法部门，责令恢复原状并予以处罚；占用费通过调解、仲裁、诉讼主张；拒不整改的，发包方可以依约解除合同，收回土地经营权。</w:t>
      </w:r>
    </w:p>
    <w:p w14:paraId="1F0CFBF3">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（四）实测面积小于合同登记面积，优先组织调解；调解不成，当事人通过诉讼确权。多缴纳承包费可以抵缴下一期费用或者依规退还。</w:t>
      </w:r>
    </w:p>
    <w:p w14:paraId="091D569C">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第二十一条</w:t>
      </w:r>
      <w:r>
        <w:rPr>
          <w:rFonts w:hint="eastAsia" w:ascii="Times New Roman" w:hAnsi="Times New Roman" w:eastAsia="仿宋_GB2312" w:cs="Times New Roman"/>
          <w:b w:val="0"/>
          <w:bCs w:val="0"/>
          <w:sz w:val="32"/>
          <w:szCs w:val="32"/>
          <w:lang w:val="en-US" w:eastAsia="zh-CN"/>
        </w:rPr>
        <w:t xml:space="preserve">  建立国有农业用地发包评估参考底价制度。市国保中心牵头，结合地块条件、洪涝风险、生产成本、粮食市场价格测算底价，组织论证，公示十五日，报市人民政府审定，原则上每三年评估调整一次。</w:t>
      </w:r>
    </w:p>
    <w:p w14:paraId="12D3E28B">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年度确需微调，调整幅度不得高于指导价百分之十，由市国保中心联合发改、财政、农业农村部门测算，报市政府批准；调整幅度超过百分之十，重新履行底价制定全部程序。</w:t>
      </w:r>
    </w:p>
    <w:p w14:paraId="70E20C6C">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发包评估参考底价为公开发包价格底线。招标、拍卖应当设置不低于底价的保留价。确需低于底价发包的，应当开展专项论证、对外公示，由市国保中心提请国有农业用地管理联席会议会商研判后，按程序报请市人民政府审定，并在公告中如实说明相关情况。</w:t>
      </w:r>
    </w:p>
    <w:p w14:paraId="5D37271A">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第二十二条</w:t>
      </w:r>
      <w:r>
        <w:rPr>
          <w:rFonts w:hint="eastAsia" w:ascii="Times New Roman" w:hAnsi="Times New Roman" w:eastAsia="仿宋_GB2312" w:cs="Times New Roman"/>
          <w:b w:val="0"/>
          <w:bCs w:val="0"/>
          <w:sz w:val="32"/>
          <w:szCs w:val="32"/>
          <w:lang w:val="en-US" w:eastAsia="zh-CN"/>
        </w:rPr>
        <w:t xml:space="preserve">  涝区、河道、沿江湿地、受生态红线管控等特殊地块实行差异化定价。由市国保中心会同水务局、农业农村局，结合近三年亩均产出、生产成本、淹水损失，委托具备资质第三方评估机构测算发包底价，采用收益还原法开展评估，报市人民政府批准执行。严禁无偿发包、暗箱操作、违规低价发包。</w:t>
      </w:r>
    </w:p>
    <w:p w14:paraId="43567C8B">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第二十三条</w:t>
      </w:r>
      <w:r>
        <w:rPr>
          <w:rFonts w:hint="eastAsia" w:ascii="Times New Roman" w:hAnsi="Times New Roman" w:eastAsia="仿宋_GB2312" w:cs="Times New Roman"/>
          <w:b w:val="0"/>
          <w:bCs w:val="0"/>
          <w:sz w:val="32"/>
          <w:szCs w:val="32"/>
          <w:lang w:val="en-US" w:eastAsia="zh-CN"/>
        </w:rPr>
        <w:t xml:space="preserve">  国有农业用地公开发包原则上进入产权交易平台，执行国有农用地专门交易规则，与农村集体产权交易分开管理、分开统计。发包公告应当明确标的属于国有农业用地，不适用农村集体土地家庭承包制度。</w:t>
      </w:r>
    </w:p>
    <w:p w14:paraId="21A401C2">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经市国保中心会同行业主管部门集体研究，逐项说明理由、对外公示，提请国有农业用地管理联席会议会商研判后，按程序报请市人民政府审定，下列地块可以暂缓进场交易：</w:t>
      </w:r>
    </w:p>
    <w:p w14:paraId="08A07031">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（一）权属梳理难度大、存在突出矛盾，两年过渡期内暂不具备进场条件；建立暂缓进场管理台账，逐年消化，条件成熟及时转入平台交易。</w:t>
      </w:r>
    </w:p>
    <w:p w14:paraId="59C17C39">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（二）历史开垦、长期持续缴费存量地块，原承包关系存续期间，经市政府批准可以继续暂缓进场；承包关系终止，重新发包必须执行公开发包，逐步纳入产权交易平台。</w:t>
      </w:r>
    </w:p>
    <w:p w14:paraId="4AEC7A01">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暂缓进场发包项目，必须严格执行本细则第五章全部公开发包程序。</w:t>
      </w:r>
    </w:p>
    <w:p w14:paraId="0747B080">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p>
    <w:p w14:paraId="5101727B">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第五章 公开发包</w:t>
      </w:r>
    </w:p>
    <w:p w14:paraId="7B1F2793">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p>
    <w:p w14:paraId="4836F1DA">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第二十四条</w:t>
      </w:r>
      <w:r>
        <w:rPr>
          <w:rFonts w:hint="eastAsia" w:ascii="Times New Roman" w:hAnsi="Times New Roman" w:eastAsia="仿宋_GB2312" w:cs="Times New Roman"/>
          <w:b w:val="0"/>
          <w:bCs w:val="0"/>
          <w:sz w:val="32"/>
          <w:szCs w:val="32"/>
          <w:lang w:val="en-US" w:eastAsia="zh-CN"/>
        </w:rPr>
        <w:t xml:space="preserve">  受托主体组织公开发包，采用招标、拍卖、公开协商方式。严禁化整为零规避公开程序，严禁人情发包、暗箱操作、私自发包，不得将国有农用地交由村集体处置发包。</w:t>
      </w:r>
    </w:p>
    <w:p w14:paraId="181473F7">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第二十五条</w:t>
      </w:r>
      <w:r>
        <w:rPr>
          <w:rFonts w:hint="eastAsia" w:ascii="Times New Roman" w:hAnsi="Times New Roman" w:eastAsia="仿宋_GB2312" w:cs="Times New Roman"/>
          <w:b w:val="0"/>
          <w:bCs w:val="0"/>
          <w:sz w:val="32"/>
          <w:szCs w:val="32"/>
          <w:lang w:val="en-US" w:eastAsia="zh-CN"/>
        </w:rPr>
        <w:t xml:space="preserve">  公开发包履行以下程序：</w:t>
      </w:r>
    </w:p>
    <w:p w14:paraId="0BDF6748">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一）受托主体核实地块四至、面积、地类，编制发包方案，发布公告前报送市国保中心、行业主管部门审查，审查时限不超过十五个工作日；未经审查或者审查不通过，不得发布发包公告。审查不予通过、下达暂停发包通知的，应当书面载明事实、理由。受托主体对审查意见有异议的，可以自收到书面意见十个工作日内向市国有农业用地管理联席会议办公室申请复核，复核意见为该内部审查程序最终意见。</w:t>
      </w:r>
    </w:p>
    <w:p w14:paraId="49FAD06C">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经审查认定属于单宗面积较大、权属矛盾突出、拟低于评估参考底价发包等重大特殊发包项目的，由市国保中心提请国有农业用地管理联席会议开展会商研判，受托主体结合会商研判意见完善发包方案后，方可继续推进发包工作。一般性风险下达整改提示，整改完成继续实施；发现底价严重偏离标准、程序重大缺失、涉嫌违纪违法，下达暂停发包通知；涉嫌刑事犯罪移送执法机关。受托主体对地块权属、历史矛盾、风险排查承担首要责任。</w:t>
      </w:r>
    </w:p>
    <w:p w14:paraId="1E01D171">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（二）公开协商公告期限不少于二十个工作日；招标、拍卖执行《招标投标法》《拍卖法》及发包方案规定。</w:t>
      </w:r>
    </w:p>
    <w:p w14:paraId="2D2DFD02">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（三）发包完成后，对承包主体、地块、价格公示不少于七个工作日，无异议签订制式承包合同。</w:t>
      </w:r>
    </w:p>
    <w:p w14:paraId="2FE49980">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（四）签约三十日内，全部资料报送市国保中心归档备案。</w:t>
      </w:r>
    </w:p>
    <w:p w14:paraId="3A4A9B96">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 xml:space="preserve">第二十六条  </w:t>
      </w:r>
      <w:r>
        <w:rPr>
          <w:rFonts w:hint="eastAsia" w:ascii="Times New Roman" w:hAnsi="Times New Roman" w:eastAsia="仿宋_GB2312" w:cs="Times New Roman"/>
          <w:b w:val="0"/>
          <w:bCs w:val="0"/>
          <w:sz w:val="32"/>
          <w:szCs w:val="32"/>
          <w:lang w:val="en-US" w:eastAsia="zh-CN"/>
        </w:rPr>
        <w:t>参与公开发包主体应当核查失信被执行人、信用中国公开信息。资格审查时，仅对列入国家公开惩戒目录、属于法定限制使用国有自然资源情形的主体，限制参与发包；不得自行增设限制参与发包的情形。资格审查不予通过应当书面载明事实和法律政策依据，申请人有异议的，可在十个工作日内向市国保中心申请复核。本细则不新设失信惩戒清单，严格执行国家公开惩戒目录。</w:t>
      </w:r>
    </w:p>
    <w:p w14:paraId="4AF12FCD">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第二十七条</w:t>
      </w:r>
      <w:r>
        <w:rPr>
          <w:rFonts w:hint="eastAsia" w:ascii="Times New Roman" w:hAnsi="Times New Roman" w:eastAsia="仿宋_GB2312" w:cs="Times New Roman"/>
          <w:b w:val="0"/>
          <w:bCs w:val="0"/>
          <w:sz w:val="32"/>
          <w:szCs w:val="32"/>
          <w:lang w:val="en-US" w:eastAsia="zh-CN"/>
        </w:rPr>
        <w:t xml:space="preserve">  发包工作实行回避制度，工作人员与申请人存在利害关系应当主动回避。发包关键环节全程留痕，档案管理具体标准另行制定。</w:t>
      </w:r>
    </w:p>
    <w:p w14:paraId="13B6654B">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p>
    <w:p w14:paraId="2E8BDAA3">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第六章 合同管理</w:t>
      </w:r>
    </w:p>
    <w:p w14:paraId="0547078C">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p>
    <w:p w14:paraId="28B556F4">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第二十八条</w:t>
      </w:r>
      <w:r>
        <w:rPr>
          <w:rFonts w:hint="eastAsia" w:ascii="Times New Roman" w:hAnsi="Times New Roman" w:eastAsia="仿宋_GB2312" w:cs="Times New Roman"/>
          <w:b w:val="0"/>
          <w:bCs w:val="0"/>
          <w:sz w:val="32"/>
          <w:szCs w:val="32"/>
          <w:lang w:val="en-US" w:eastAsia="zh-CN"/>
        </w:rPr>
        <w:t xml:space="preserve">  全市统一使用制式承包合同，由市国保中心会同市司法局编制审定。受托主体不得自行变更租金、承包年限、土地用途等核心条款；确需调整，报市国保中心审查同意，签订书面补充协议，三十日内完成备案。</w:t>
      </w:r>
    </w:p>
    <w:p w14:paraId="7475E889">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市国保中心对备案材料实行形式审查。备案属于档案归集和行业管理，不确认民事合同效力，受托主体承担发包签约主体责任。材料不符合规定予以退回补正。</w:t>
      </w:r>
    </w:p>
    <w:p w14:paraId="24992F67">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农业补贴申报可以参考备案合同；未备案合同应当核实地块权属与实际经营情况，防范骗取补贴。合同到期、解除，地上附着物、改良投入按照合同及法律处理；紧急情况临时变更核心条款，可以先行处置，五个工作日内补报备案。</w:t>
      </w:r>
    </w:p>
    <w:p w14:paraId="44619894">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经营主体通过虚构地块、虚报耕种面积、隐瞒土地实际用途、伪造资料等方式套取、虚报冒领粮食及其他农业财政补贴的，受托主体应当及时核查、固定证据，开展催告督促，将线索及材料移送农业农村、财政主管部门并跟踪处置。可依据承包合同约定，行使解除合同、追回违规所得、主张违约金及损失赔偿等民事权利。农业农村局、财政主管部门依据《财政违法行为处罚处分条例》及财政资金管理规定开展核查追缴；涉嫌犯罪的，移送司法机关处理。</w:t>
      </w:r>
    </w:p>
    <w:p w14:paraId="46D87EF9">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第二十九条</w:t>
      </w:r>
      <w:r>
        <w:rPr>
          <w:rFonts w:hint="eastAsia" w:ascii="Times New Roman" w:hAnsi="Times New Roman" w:eastAsia="仿宋_GB2312" w:cs="Times New Roman"/>
          <w:b w:val="0"/>
          <w:bCs w:val="0"/>
          <w:sz w:val="32"/>
          <w:szCs w:val="32"/>
          <w:lang w:val="en-US" w:eastAsia="zh-CN"/>
        </w:rPr>
        <w:t xml:space="preserve">  新发包项目承包期限，由双方结合地类、国土空间规划、不动产登记条件、经营者能力合理协商确定。制式合同写明期限确定依据，提示法律风险。办理国有农用地使用权不动产登记，按照民法典保护用益物权。</w:t>
      </w:r>
    </w:p>
    <w:p w14:paraId="00F6DAB1">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存量合同承包期限鼓励协商调整；协商不成，由仲裁、诉讼确认合同效力与期限；行政机关不得直接认定无效或者变更合同期限。</w:t>
      </w:r>
    </w:p>
    <w:p w14:paraId="4048EBBE">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第三十条</w:t>
      </w:r>
      <w:r>
        <w:rPr>
          <w:rFonts w:hint="eastAsia" w:ascii="Times New Roman" w:hAnsi="Times New Roman" w:eastAsia="仿宋_GB2312" w:cs="Times New Roman"/>
          <w:b w:val="0"/>
          <w:bCs w:val="0"/>
          <w:sz w:val="32"/>
          <w:szCs w:val="32"/>
          <w:lang w:val="en-US" w:eastAsia="zh-CN"/>
        </w:rPr>
        <w:t xml:space="preserve">  原实际耕种人不享有法定身份优先承包权；国家所有交由集体经济组织发包的除外。发包公告可以约定同等条件优先交易，仅属于合同约定，不属于法定权利；法律行政法规另有规定从其规定。</w:t>
      </w:r>
    </w:p>
    <w:p w14:paraId="123FE319">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第三十一条</w:t>
      </w:r>
      <w:r>
        <w:rPr>
          <w:rFonts w:hint="eastAsia" w:ascii="Times New Roman" w:hAnsi="Times New Roman" w:eastAsia="仿宋_GB2312" w:cs="Times New Roman"/>
          <w:b w:val="0"/>
          <w:bCs w:val="0"/>
          <w:sz w:val="32"/>
          <w:szCs w:val="32"/>
          <w:lang w:val="en-US" w:eastAsia="zh-CN"/>
        </w:rPr>
        <w:t xml:space="preserve">  承包人死亡，承包经营收益按照民法典继承编处理。土地经营权能否继续承包，按照法律和原合同执行；协商调解不成，可以申请仲裁或者提起诉讼。</w:t>
      </w:r>
    </w:p>
    <w:p w14:paraId="40571AF9">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无继承人或者继承人放弃继续经营，按合同终止处置，地上资产按合同、法律处理。继承人就经营权产生争议，受托单位不作实体裁决，依据生效法律文书办理备案变更。</w:t>
      </w:r>
    </w:p>
    <w:p w14:paraId="0A5DEEEF">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第三十二条</w:t>
      </w:r>
      <w:r>
        <w:rPr>
          <w:rFonts w:hint="eastAsia" w:ascii="Times New Roman" w:hAnsi="Times New Roman" w:eastAsia="仿宋_GB2312" w:cs="Times New Roman"/>
          <w:b w:val="0"/>
          <w:bCs w:val="0"/>
          <w:sz w:val="32"/>
          <w:szCs w:val="32"/>
          <w:lang w:val="en-US" w:eastAsia="zh-CN"/>
        </w:rPr>
        <w:t xml:space="preserve">  承包方逾期缴纳承包费，受托单位履行书面催告，写明欠费金额、履行期限、法律后果，留存送达凭证。合同没有约定履行期限，催告给予不少于三十日履行期。未经催告，不得解除合同。</w:t>
      </w:r>
    </w:p>
    <w:p w14:paraId="05374F96">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期限届满仍不缴费，可以发送书面解除通知，通知到达对方合同解除。解除通知应当注明：本通知属于民事履约行为，不属于行政处理、行政强制决定。当事人对解除有异议，可以请求法院或者仲裁机构确认解除效力，司法机关对解除权开展实质审查。</w:t>
      </w:r>
    </w:p>
    <w:p w14:paraId="722ED1D2">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第三十三条</w:t>
      </w:r>
      <w:r>
        <w:rPr>
          <w:rFonts w:hint="eastAsia" w:ascii="Times New Roman" w:hAnsi="Times New Roman" w:eastAsia="仿宋_GB2312" w:cs="Times New Roman"/>
          <w:b w:val="0"/>
          <w:bCs w:val="0"/>
          <w:sz w:val="32"/>
          <w:szCs w:val="32"/>
          <w:lang w:val="en-US" w:eastAsia="zh-CN"/>
        </w:rPr>
        <w:t xml:space="preserve">  承包方遭受自然灾害，可以申请承包费缓缴、减免。受托单位依据水务、气象灾害评估结果分类处置：</w:t>
      </w:r>
    </w:p>
    <w:p w14:paraId="3C3E4411">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（一）周期性行洪淹水地块，一般予以缓缴，不予减免；周期性淹水认定由市水务局出具书面意见。</w:t>
      </w:r>
    </w:p>
    <w:p w14:paraId="5B0EC4A2">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（二）极端灾害造成地块整体绝收从严审批减免；已经获得农业保险理赔，结合理赔差额核定减免额度。</w:t>
      </w:r>
    </w:p>
    <w:p w14:paraId="32CD4126">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（三）承包方提交书面申请，附灾情、保险理赔材料；受托单位现场核查，属地公示无异议后审批。减免、缓缴具体流程另行制定。</w:t>
      </w:r>
    </w:p>
    <w:p w14:paraId="4BC125BE">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（四）本条缓缴、减免属于国有资产内部管理规则，不改变民事合同权利；当事人仍然可以通过协商、仲裁、诉讼主张民事权利。</w:t>
      </w:r>
    </w:p>
    <w:p w14:paraId="387B8929">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第三十四条</w:t>
      </w:r>
      <w:r>
        <w:rPr>
          <w:rFonts w:hint="eastAsia" w:ascii="Times New Roman" w:hAnsi="Times New Roman" w:eastAsia="仿宋_GB2312" w:cs="Times New Roman"/>
          <w:b w:val="0"/>
          <w:bCs w:val="0"/>
          <w:sz w:val="32"/>
          <w:szCs w:val="32"/>
          <w:lang w:val="en-US" w:eastAsia="zh-CN"/>
        </w:rPr>
        <w:t xml:space="preserve">  存量合同分类处置：</w:t>
      </w:r>
    </w:p>
    <w:p w14:paraId="3019BBEF">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（一）合同签订合法、无程序瑕疵，继续维持原约定期限；按年缴费的可以协商调价备案；一次性缴清费用的，履约期价格不作调整。</w:t>
      </w:r>
    </w:p>
    <w:p w14:paraId="77CA7323">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（二）合同约定永久承包、无终止期限，受托主体做好法律释明，引导签订补充协议完善期限；拒绝协商，引导仲裁、诉讼确认合同效力和履行期限。</w:t>
      </w:r>
    </w:p>
    <w:p w14:paraId="46465E47">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（三）合同条款违反法律强制性效力规定，该条款无效；做好告知工作，协商签订补充协议予以调整。</w:t>
      </w:r>
    </w:p>
    <w:p w14:paraId="7A843F8A">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四）本细则实施前合法有效的存量合同继续履行；存在程序瑕疵开展补正备案。补正备案仅属于行政管理，不能弥补民事效力缺陷，不得以备案使违法合同合法化。权属不清、手续不全地块实行一事一议，符合条件纳入统一管理，暂不具备条件建立台账逐年消化。一事一议处置历史耕种地块，综合考量：是否位于生态红线、行洪通道；耕种起始时间；缴费情况；国土调查地类；是否存在毁林毁草毁湿开垦；信访及社会稳定风险；全部研判材料书面归档，集体研究、对外公示，提请国有农业用地管理联席会议会商研判后，按程序报请市人民政府审定。</w:t>
      </w:r>
    </w:p>
    <w:p w14:paraId="553DBF70">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（五）存量合同甄别处置优先开展协商调解，签订补充协议、解除协议化解矛盾；调解达成协议，可以引导当事人申请人民法院司法确认，赋予强制执行力；调解不能达成一致，引导仲裁、诉讼。</w:t>
      </w:r>
    </w:p>
    <w:p w14:paraId="145E1B8F">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第三十五条</w:t>
      </w:r>
      <w:r>
        <w:rPr>
          <w:rFonts w:hint="eastAsia" w:ascii="Times New Roman" w:hAnsi="Times New Roman" w:eastAsia="仿宋_GB2312" w:cs="Times New Roman"/>
          <w:b w:val="0"/>
          <w:bCs w:val="0"/>
          <w:sz w:val="32"/>
          <w:szCs w:val="32"/>
          <w:lang w:val="en-US" w:eastAsia="zh-CN"/>
        </w:rPr>
        <w:t xml:space="preserve">  合同订立存在行贿、恶意串通、弄虚作假、公职人员违规干预，受托主体固定证据，暂停相关工作，书面上报市国保中心；涉嫌犯罪移送司法机关。</w:t>
      </w:r>
    </w:p>
    <w:p w14:paraId="6CD336C7">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是否合同无效、可撤销，由人民法院、仲裁机构认定，受托主体无权自行认定。仅依据内部核查材料，未取得生效裁判文书，不得单方收回土地。合同确认无效或者撤销，土地收回后按照公开发包程序处置。存在弄虚作假、行贿，按照国家联合惩戒限制参与发包；无法律依据，不得依据本细则限制经营主体资格。</w:t>
      </w:r>
    </w:p>
    <w:p w14:paraId="5C67E016">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第三十六条</w:t>
      </w:r>
      <w:r>
        <w:rPr>
          <w:rFonts w:hint="eastAsia" w:ascii="Times New Roman" w:hAnsi="Times New Roman" w:eastAsia="仿宋_GB2312" w:cs="Times New Roman"/>
          <w:b w:val="0"/>
          <w:bCs w:val="0"/>
          <w:sz w:val="32"/>
          <w:szCs w:val="32"/>
          <w:lang w:val="en-US" w:eastAsia="zh-CN"/>
        </w:rPr>
        <w:t xml:space="preserve">  同一地块存在多份存量合同，属于民事争议，行政机关不认定合同效力，优先调解；调解不成引导仲裁、诉讼。发现越权发包、违纪违法线索移送相关部门。</w:t>
      </w:r>
    </w:p>
    <w:p w14:paraId="52B1A5D6">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争议期间维持地块现状，不得强制收回、强制交付；依据生效裁判办理备案变更、解除。历史越权发包造成损失，内部追责相关责任人，对外责任按照法律承担。</w:t>
      </w:r>
    </w:p>
    <w:p w14:paraId="000C1F22">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p>
    <w:p w14:paraId="27A4117A">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第七章 经营权流转</w:t>
      </w:r>
    </w:p>
    <w:p w14:paraId="047B1E97">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p>
    <w:p w14:paraId="1478D252">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第三十七条</w:t>
      </w:r>
      <w:r>
        <w:rPr>
          <w:rFonts w:hint="eastAsia" w:ascii="Times New Roman" w:hAnsi="Times New Roman" w:eastAsia="仿宋_GB2312" w:cs="Times New Roman"/>
          <w:b w:val="0"/>
          <w:bCs w:val="0"/>
          <w:sz w:val="32"/>
          <w:szCs w:val="32"/>
          <w:lang w:val="en-US" w:eastAsia="zh-CN"/>
        </w:rPr>
        <w:t xml:space="preserve">  本细则施行以前私下流转，不否定流转民事效力，原承包方继续履行合同义务；实际经营者可以核实用途、资格后补办流转备案。</w:t>
      </w:r>
    </w:p>
    <w:p w14:paraId="5A0B6A98">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本细则施行后流转经营权，签订书面合同并办理备案。未备案不影响民事合同效力，但不出具流转备案证明；未办理不动产经营权登记，不得对抗善意第三人；备案不等同不动产登记。</w:t>
      </w:r>
    </w:p>
    <w:p w14:paraId="5BE54A5C">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第三十八条</w:t>
      </w:r>
      <w:r>
        <w:rPr>
          <w:rFonts w:hint="eastAsia" w:ascii="Times New Roman" w:hAnsi="Times New Roman" w:eastAsia="仿宋_GB2312" w:cs="Times New Roman"/>
          <w:b w:val="0"/>
          <w:bCs w:val="0"/>
          <w:sz w:val="32"/>
          <w:szCs w:val="32"/>
          <w:lang w:val="en-US" w:eastAsia="zh-CN"/>
        </w:rPr>
        <w:t xml:space="preserve">  欠费未结清、“非农化”“非粮化”未整改、权属存在争议、原合同禁止流转的，不予备案。作出不予备案处理应当书面告知理由。当事人对不予备案意见有异议的，可以自收到书面意见十个工作日内向市国保中心申请复核。受让方应当具备农业经营能力，失信情况核查执行第二十六条。</w:t>
      </w:r>
    </w:p>
    <w:p w14:paraId="382B9A45">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第三十九条</w:t>
      </w:r>
      <w:r>
        <w:rPr>
          <w:rFonts w:hint="eastAsia" w:ascii="Times New Roman" w:hAnsi="Times New Roman" w:eastAsia="仿宋_GB2312" w:cs="Times New Roman"/>
          <w:b w:val="0"/>
          <w:bCs w:val="0"/>
          <w:sz w:val="32"/>
          <w:szCs w:val="32"/>
          <w:lang w:val="en-US" w:eastAsia="zh-CN"/>
        </w:rPr>
        <w:t xml:space="preserve">  承包方流转国有农用地经营权，执行下列规定：</w:t>
      </w:r>
    </w:p>
    <w:p w14:paraId="331985D1">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（一）经营权出租、入股流转，应当向受托单位备案，流转期限不超过原合同剩余期限。</w:t>
      </w:r>
    </w:p>
    <w:p w14:paraId="407D1A26">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（二）承包合同全部权利义务概括转让，应当经受托单位审核同意，原承包方、受让方、受托单位共同签订变更协议，完成备案；受让方承继全部合同义务，期限不得超过原合同剩余期限。</w:t>
      </w:r>
    </w:p>
    <w:p w14:paraId="32A7DC20">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（三）已经办理国有农用地使用权不动产登记的，流转执行民法典相关规定；受托单位配合做好备案、登记辅助工作。</w:t>
      </w:r>
    </w:p>
    <w:p w14:paraId="39FBA96D">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（四）受托单位建立流转专项台账；流转材料报送市国保中心备案，市国保中心定期开展督查。</w:t>
      </w:r>
    </w:p>
    <w:p w14:paraId="0FE7CE9D">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第四十条</w:t>
      </w:r>
      <w:r>
        <w:rPr>
          <w:rFonts w:hint="eastAsia" w:ascii="Times New Roman" w:hAnsi="Times New Roman" w:eastAsia="仿宋_GB2312" w:cs="Times New Roman"/>
          <w:b w:val="0"/>
          <w:bCs w:val="0"/>
          <w:sz w:val="32"/>
          <w:szCs w:val="32"/>
          <w:lang w:val="en-US" w:eastAsia="zh-CN"/>
        </w:rPr>
        <w:t xml:space="preserve">  引导经营权向粮食生产经营主体流转；大规模连片流转核查经营能力，防范土地炒作；已经办理国有农用地使用权不动产登记的，可以依法办理抵押融资；仅流转取得土地经营权的，按照国家土地经营权抵押相关规定执行。受托单位做好政策指引，服务本地农业社会化服务和产业链建设。</w:t>
      </w:r>
    </w:p>
    <w:p w14:paraId="07AD196E">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p>
    <w:p w14:paraId="0B6BA19B">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第八章 保护监管与违约处置</w:t>
      </w:r>
    </w:p>
    <w:p w14:paraId="10B4886E">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p>
    <w:p w14:paraId="16CA852F">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第四十一条</w:t>
      </w:r>
      <w:r>
        <w:rPr>
          <w:rFonts w:hint="eastAsia" w:ascii="Times New Roman" w:hAnsi="Times New Roman" w:eastAsia="仿宋_GB2312" w:cs="Times New Roman"/>
          <w:b w:val="0"/>
          <w:bCs w:val="0"/>
          <w:sz w:val="32"/>
          <w:szCs w:val="32"/>
          <w:lang w:val="en-US" w:eastAsia="zh-CN"/>
        </w:rPr>
        <w:t xml:space="preserve"> 受托主体落实日常巡查、季度联合检查、半年清查、年度普查。发现毁林、毁草、盗挖黑土等行为及时制止，固定证据移送执法部门；处置材料归入地块档案。</w:t>
      </w:r>
    </w:p>
    <w:p w14:paraId="0D9CCCFE">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生态红线内国有农用地从严管控，存量承包地块按照上级政策整改，逐步退出收回。失信被执行人符合惩戒条件，合同到期后限制参与发包。承包方实施掠夺式经营、破坏黑土地，发包方可以依约解除合同，追偿损失。</w:t>
      </w:r>
    </w:p>
    <w:p w14:paraId="48F06785">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第四十二条</w:t>
      </w:r>
      <w:r>
        <w:rPr>
          <w:rFonts w:hint="eastAsia" w:ascii="Times New Roman" w:hAnsi="Times New Roman" w:eastAsia="仿宋_GB2312" w:cs="Times New Roman"/>
          <w:b w:val="0"/>
          <w:bCs w:val="0"/>
          <w:sz w:val="32"/>
          <w:szCs w:val="32"/>
          <w:lang w:val="en-US" w:eastAsia="zh-CN"/>
        </w:rPr>
        <w:t xml:space="preserve"> 合同解除或者被确认无效，承包方应当腾退土地；拒不腾退，申请人民法院强制执行。没有生效司法文书，不得实施强制清退、强制拆除、强制接管。</w:t>
      </w:r>
    </w:p>
    <w:p w14:paraId="1A9DAF1E">
      <w:pPr>
        <w:keepNext w:val="0"/>
        <w:keepLines w:val="0"/>
        <w:pageBreakBefore w:val="0"/>
        <w:widowControl w:val="0"/>
        <w:kinsoku/>
        <w:wordWrap/>
        <w:overflowPunct/>
        <w:topLinePunct w:val="0"/>
        <w:autoSpaceDE/>
        <w:autoSpaceDN/>
        <w:bidi w:val="0"/>
        <w:adjustRightInd/>
        <w:snapToGrid/>
        <w:ind w:firstLine="624"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诉讼、仲裁审理期间，只允许开展防撂荒、黑土地保护等保护性管护，不得经营性发包，不得交由第三方耕种，不得取得经营收益。确需保护性临时发包，报市人民政府批准，发包期限不超过争议处理周期，收益实行专户专账存储管理。临时承包人不享有优先承包权；收益待人民法院、仲裁机构生效法律文书确定归属后，按文书要求兑付；经法定程序确认无权利主体或者收益应当归国家所有的，按照非税收入管理规定上缴国库。</w:t>
      </w:r>
    </w:p>
    <w:p w14:paraId="63E1F85B">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sz w:val="32"/>
          <w:szCs w:val="32"/>
          <w:lang w:val="en-US" w:eastAsia="zh-CN"/>
        </w:rPr>
      </w:pPr>
    </w:p>
    <w:p w14:paraId="67700FC0">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第九章 纠纷调处与监督问责</w:t>
      </w:r>
    </w:p>
    <w:p w14:paraId="5FB5B604">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p>
    <w:p w14:paraId="5980505B">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第四十三条</w:t>
      </w:r>
      <w:r>
        <w:rPr>
          <w:rFonts w:hint="eastAsia" w:ascii="Times New Roman" w:hAnsi="Times New Roman" w:eastAsia="仿宋_GB2312" w:cs="Times New Roman"/>
          <w:b w:val="0"/>
          <w:bCs w:val="0"/>
          <w:sz w:val="32"/>
          <w:szCs w:val="32"/>
          <w:lang w:val="en-US" w:eastAsia="zh-CN"/>
        </w:rPr>
        <w:t xml:space="preserve"> 土地所有权权属争议执行《土地权属争议调查处理办法》，由市自然资源局开展调查、调解，拟定处理意见，报市人民政府作出权属处理决定。</w:t>
      </w:r>
    </w:p>
    <w:p w14:paraId="3EA9CF6F">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涉地信访落实属地分级化解；民事经营纠纷优先调解，调解不成引导仲裁、诉讼；行政履职问题开展联合核查闭环处置。调解协议签字后可作为备案参考依据。</w:t>
      </w:r>
    </w:p>
    <w:p w14:paraId="1EC29280">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设立国有农用地专项调解工作组，市国保中心牵头，自然资源、农业农村、属地乡镇共同参与。国有农用地民事经营纠纷实行调解前置，调解全程留痕归档；达成调解协议引导司法确认；对没有协商基础的，及时终结调解，防止久调不决；调解不成引导仲裁、诉讼。</w:t>
      </w:r>
    </w:p>
    <w:p w14:paraId="5F2C6D1C">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 xml:space="preserve">第四十四条  </w:t>
      </w:r>
      <w:r>
        <w:rPr>
          <w:rFonts w:hint="eastAsia" w:ascii="Times New Roman" w:hAnsi="Times New Roman" w:eastAsia="仿宋_GB2312" w:cs="Times New Roman"/>
          <w:b w:val="0"/>
          <w:bCs w:val="0"/>
          <w:sz w:val="32"/>
          <w:szCs w:val="32"/>
          <w:lang w:val="en-US" w:eastAsia="zh-CN"/>
        </w:rPr>
        <w:t>涉地信访纳入考核；推诿拖延造成矛盾升级、越级访的依规追责。常态化开展隐患排查，重大隐患落实领导包保，二十四小时内报送市人民政府。</w:t>
      </w:r>
    </w:p>
    <w:p w14:paraId="4C624150">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国有农用地绩效考核设置存量合同协议补正率、纠纷调解化解率指标，弱化单纯以收回土地数量作为考核导向，引导受托单位优先通过协商化解矛盾。</w:t>
      </w:r>
    </w:p>
    <w:p w14:paraId="5620AAD0">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第四十五条</w:t>
      </w:r>
      <w:r>
        <w:rPr>
          <w:rFonts w:hint="eastAsia" w:ascii="Times New Roman" w:hAnsi="Times New Roman" w:eastAsia="仿宋_GB2312" w:cs="Times New Roman"/>
          <w:b w:val="0"/>
          <w:bCs w:val="0"/>
          <w:sz w:val="32"/>
          <w:szCs w:val="32"/>
          <w:lang w:val="en-US" w:eastAsia="zh-CN"/>
        </w:rPr>
        <w:t xml:space="preserve">  受托单位及工作人员在发包、面积核验、收费、备案、台账、监管过程，履职不到位、弄虚作假、瞒报隐患、徇私舞弊、截留挪用承包费，造成国有资产流失、生态破坏、不良社会影响，视情节给予约谈、通报、绩效扣分、岗位调整，依规依纪追责；涉嫌犯罪移送有权机关。</w:t>
      </w:r>
    </w:p>
    <w:p w14:paraId="031401D2">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第四十六条</w:t>
      </w:r>
      <w:r>
        <w:rPr>
          <w:rFonts w:hint="eastAsia" w:ascii="Times New Roman" w:hAnsi="Times New Roman" w:eastAsia="仿宋_GB2312" w:cs="Times New Roman"/>
          <w:b w:val="0"/>
          <w:bCs w:val="0"/>
          <w:color w:val="auto"/>
          <w:sz w:val="32"/>
          <w:szCs w:val="32"/>
          <w:lang w:val="en-US" w:eastAsia="zh-CN"/>
        </w:rPr>
        <w:t xml:space="preserve">  建立国有农业用地管理干预过问登记归档制度。市国保中心、受托管护主体在办理国有农业用地发包、价格核定、合同变更解除、租金缓缴减免、地块收回处置、经营权流转工作中，对超出法定程序的口头、书面、批条以及非会议授意等干预事项予以登记留存。书面材料留存原件或复印件；口头授意的，经办人员记录时间、场景、具体要求后归入地块档案。属于正常业务指导、会议集体研究意见的，不予登记。</w:t>
      </w:r>
    </w:p>
    <w:p w14:paraId="0F95242B">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登记仅作为内部履职留痕，不作违纪定性；经研判涉嫌违规插手干预的，按程序移送纪检监察机关。</w:t>
      </w:r>
    </w:p>
    <w:p w14:paraId="78FD045D">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公职人员、领导干部不得本人直接承包、承租国有农业用地；严禁其幕后出资，通过配偶、子女及其近亲属、其他特定关系人以顶名承租、代持、变相出资等方式间接获取承包经营收益。领导干部近亲属、特定关系人通过公开发包、同等市场条件参与承包的，不受该限制；如存在领导干部利用职权谋取特殊利益情形的，应当及时制止、依规处置，发现问题线索的按程序移送纪检监察机关。</w:t>
      </w:r>
    </w:p>
    <w:p w14:paraId="0FC5B93E">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履职中发现涉嫌违纪或者违法犯罪问题，应当依照法律规定分别移送纪检监察机关、司法机关，做好登记留存，不得瞒报、迟报；对仅属于工作疏漏、履职不规范的一般性问题，优先内部整改纠偏。</w:t>
      </w:r>
    </w:p>
    <w:p w14:paraId="267147F2">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本条属于机关内部履职监管规则，不溯及本细则施行前已经完结的行为。历史行为是否构成违纪违法，依据行为发生时的法律、党内法规认定。</w:t>
      </w:r>
    </w:p>
    <w:p w14:paraId="26433BF9">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第四十七条</w:t>
      </w:r>
      <w:r>
        <w:rPr>
          <w:rFonts w:hint="eastAsia" w:ascii="Times New Roman" w:hAnsi="Times New Roman" w:eastAsia="仿宋_GB2312" w:cs="Times New Roman"/>
          <w:b w:val="0"/>
          <w:bCs w:val="0"/>
          <w:sz w:val="32"/>
          <w:szCs w:val="32"/>
          <w:lang w:val="en-US" w:eastAsia="zh-CN"/>
        </w:rPr>
        <w:t xml:space="preserve">  坚持严管与厚爱结合，落实容错纠错。因政策调整、历史遗留问题、不可抗力，履职程序完备、工作人员无徇私舞弊滥用职权行为，出现工作偏差不予追责，但应当落实整改。</w:t>
      </w:r>
    </w:p>
    <w:p w14:paraId="552B07BF">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p>
    <w:p w14:paraId="1A1590E7">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第十章 附  则</w:t>
      </w:r>
    </w:p>
    <w:p w14:paraId="678FC806">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p>
    <w:p w14:paraId="53AF7811">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第四十八条</w:t>
      </w:r>
      <w:r>
        <w:rPr>
          <w:rFonts w:hint="eastAsia" w:ascii="Times New Roman" w:hAnsi="Times New Roman" w:eastAsia="仿宋_GB2312" w:cs="Times New Roman"/>
          <w:b w:val="0"/>
          <w:bCs w:val="0"/>
          <w:sz w:val="32"/>
          <w:szCs w:val="32"/>
          <w:lang w:val="en-US" w:eastAsia="zh-CN"/>
        </w:rPr>
        <w:t xml:space="preserve"> 本细则中价格管控、程序约束属于行政机关内部履职要求，不作为人民法院、仲裁机构认定民事合同效力依据，当事人不得以合同不符合本内部管理条款主张民事合同无效。民事主体权利义务以法律、有效合同、生效司法文书为准。</w:t>
      </w:r>
    </w:p>
    <w:p w14:paraId="3A676E27">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本细则仅约束施行之后的管理行为，存量合同按照本细则处置规则执行。联席会议纪要、内部核查材料仅作为机关内部履职材料，不得直接作为对外行政行为依据。发包、价格、减免相关公示在市级媒体、属地公开场所、政府网站同步发布；收到异议五个工作日内核查答复。</w:t>
      </w:r>
    </w:p>
    <w:p w14:paraId="0CB3CD45">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第四十九条</w:t>
      </w:r>
      <w:r>
        <w:rPr>
          <w:rFonts w:hint="eastAsia" w:ascii="Times New Roman" w:hAnsi="Times New Roman" w:eastAsia="仿宋_GB2312" w:cs="Times New Roman"/>
          <w:b w:val="0"/>
          <w:bCs w:val="0"/>
          <w:sz w:val="32"/>
          <w:szCs w:val="32"/>
          <w:lang w:val="en-US" w:eastAsia="zh-CN"/>
        </w:rPr>
        <w:t xml:space="preserve">  本细则由富锦市人民政府解释。解释文稿由市国保中心起草，市司法局合法性审核，报市政府审定后公布。细则制定、修改、废止严格执行规范性文件法定程序。</w:t>
      </w:r>
    </w:p>
    <w:p w14:paraId="5391160F">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本细则要求配套出台的制度，尽量与本细则同步施行；确不能按期出台，制定过渡期工作口径，报市国保中心、市司法局备案。</w:t>
      </w:r>
    </w:p>
    <w:p w14:paraId="12B9F3F2">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第五十条</w:t>
      </w:r>
      <w:r>
        <w:rPr>
          <w:rFonts w:hint="eastAsia" w:ascii="Times New Roman" w:hAnsi="Times New Roman" w:eastAsia="仿宋_GB2312" w:cs="Times New Roman"/>
          <w:b w:val="0"/>
          <w:bCs w:val="0"/>
          <w:sz w:val="32"/>
          <w:szCs w:val="32"/>
          <w:lang w:val="en-US" w:eastAsia="zh-CN"/>
        </w:rPr>
        <w:t xml:space="preserve"> 本细则自2026年12月1日起施行，有效期五年。有效期届满六个月前，由市国保中心会同市司法局开展实施评估，需要继续实施的按程序重新公布。</w:t>
      </w:r>
    </w:p>
    <w:p w14:paraId="0069E5FF">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本细则公布十五日内报送佳木斯市人民政府备案；三十日内报送富锦市人大常委会备案。</w:t>
      </w:r>
    </w:p>
    <w:p w14:paraId="2F12C3E4">
      <w:pPr>
        <w:keepNext w:val="0"/>
        <w:keepLines w:val="0"/>
        <w:pageBreakBefore w:val="0"/>
        <w:widowControl w:val="0"/>
        <w:kinsoku/>
        <w:wordWrap/>
        <w:overflowPunct/>
        <w:topLinePunct w:val="0"/>
        <w:autoSpaceDE/>
        <w:autoSpaceDN/>
        <w:bidi w:val="0"/>
        <w:adjustRightInd/>
        <w:snapToGrid/>
        <w:ind w:firstLine="624"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本市之前出台相关规定与本细则不一致，以本细则为准；国家、省、佳木斯市出台新法律、法规、规章、政策，从其规定。</w:t>
      </w:r>
    </w:p>
    <w:p w14:paraId="0F9C254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z w:val="32"/>
          <w:szCs w:val="32"/>
          <w:lang w:val="en-US" w:eastAsia="zh-CN"/>
        </w:rPr>
      </w:pPr>
    </w:p>
    <w:p w14:paraId="2F79F9F3"/>
    <w:sectPr>
      <w:footerReference r:id="rId3" w:type="default"/>
      <w:footerReference r:id="rId4" w:type="even"/>
      <w:pgSz w:w="11906" w:h="16838"/>
      <w:pgMar w:top="2098" w:right="1474" w:bottom="1984" w:left="1587" w:header="851" w:footer="1417" w:gutter="0"/>
      <w:pgNumType w:fmt="numberInDash"/>
      <w:cols w:space="0" w:num="1"/>
      <w:rtlGutter w:val="0"/>
      <w:docGrid w:type="linesAndChars" w:linePitch="57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35734">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DADDD6">
                          <w:pPr>
                            <w:widowControl w:val="0"/>
                            <w:tabs>
                              <w:tab w:val="center" w:pos="4153"/>
                              <w:tab w:val="right" w:pos="8306"/>
                            </w:tabs>
                            <w:snapToGrid w:val="0"/>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- 1 -</w:t>
                          </w:r>
                          <w:r>
                            <w:rPr>
                              <w:rFonts w:hint="eastAsia" w:ascii="宋体" w:hAnsi="宋体" w:eastAsia="宋体" w:cs="宋体"/>
                              <w:kern w:val="2"/>
                              <w:sz w:val="28"/>
                              <w:szCs w:val="2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3EDADDD6">
                    <w:pPr>
                      <w:widowControl w:val="0"/>
                      <w:tabs>
                        <w:tab w:val="center" w:pos="4153"/>
                        <w:tab w:val="right" w:pos="8306"/>
                      </w:tabs>
                      <w:snapToGrid w:val="0"/>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- 1 -</w:t>
                    </w:r>
                    <w:r>
                      <w:rPr>
                        <w:rFonts w:hint="eastAsia" w:ascii="宋体" w:hAnsi="宋体" w:eastAsia="宋体" w:cs="宋体"/>
                        <w:kern w:val="2"/>
                        <w:sz w:val="28"/>
                        <w:szCs w:val="2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92EF6">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360DF2">
                          <w:pPr>
                            <w:widowControl w:val="0"/>
                            <w:tabs>
                              <w:tab w:val="center" w:pos="4153"/>
                              <w:tab w:val="right" w:pos="8306"/>
                            </w:tabs>
                            <w:snapToGrid w:val="0"/>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- 2 -</w:t>
                          </w:r>
                          <w:r>
                            <w:rPr>
                              <w:rFonts w:hint="eastAsia" w:ascii="宋体" w:hAnsi="宋体" w:eastAsia="宋体" w:cs="宋体"/>
                              <w:kern w:val="2"/>
                              <w:sz w:val="28"/>
                              <w:szCs w:val="2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73360DF2">
                    <w:pPr>
                      <w:widowControl w:val="0"/>
                      <w:tabs>
                        <w:tab w:val="center" w:pos="4153"/>
                        <w:tab w:val="right" w:pos="8306"/>
                      </w:tabs>
                      <w:snapToGrid w:val="0"/>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- 2 -</w:t>
                    </w:r>
                    <w:r>
                      <w:rPr>
                        <w:rFonts w:hint="eastAsia" w:ascii="宋体" w:hAnsi="宋体" w:eastAsia="宋体" w:cs="宋体"/>
                        <w:kern w:val="2"/>
                        <w:sz w:val="28"/>
                        <w:szCs w:val="28"/>
                        <w:lang w:val="en-US" w:eastAsia="zh-CN" w:bidi="ar-S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6622C7"/>
    <w:rsid w:val="4C662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北京分公司</Company>
  <Pages>30</Pages>
  <Words>0</Words>
  <Characters>0</Characters>
  <Lines>0</Lines>
  <Paragraphs>0</Paragraphs>
  <TotalTime>5</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2026-10-15T06:00:00Z</dcterms:created>
  <dc:creator>Administrator</dc:creator>
  <cp:lastModifiedBy>Administrator</cp:lastModifiedBy>
  <dcterms:modified xsi:type="dcterms:W3CDTF">2026-10-15T06:25:51Z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D8BAB855C9EB4DBD95F881DD9CE76B35_11</vt:lpwstr>
  </property>
</Properties>
</file>