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0EEF7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38204B40">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54F1BCB7">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375CDCD7">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425439A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15D05177">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559DDD5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52"/>
          <w:szCs w:val="52"/>
        </w:rPr>
        <w:t>富锦市城区防内涝应急预案</w:t>
      </w:r>
    </w:p>
    <w:p w14:paraId="34C262DF">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268F8D07">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20F8A97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2D0E8D3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2944A097">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42E10AF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62EBC3B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32523DC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5DC9E380">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24316ED1">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64E1521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603C2EF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336C7AA6">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6A34E839">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24AC25D2">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7EF87D9C">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08227A8A">
      <w:pPr>
        <w:pStyle w:val="2"/>
        <w:keepNext w:val="0"/>
        <w:keepLines w:val="0"/>
        <w:pageBreakBefore w:val="0"/>
        <w:kinsoku/>
        <w:wordWrap/>
        <w:overflowPunct/>
        <w:topLinePunct w:val="0"/>
        <w:bidi w:val="0"/>
        <w:spacing w:line="311" w:lineRule="auto"/>
        <w:rPr>
          <w:color w:val="auto"/>
          <w:sz w:val="32"/>
          <w:szCs w:val="32"/>
        </w:rPr>
        <w:sectPr>
          <w:footerReference r:id="rId3" w:type="default"/>
          <w:pgSz w:w="11906" w:h="16838"/>
          <w:pgMar w:top="1440" w:right="1800" w:bottom="1440" w:left="1800" w:header="851" w:footer="992" w:gutter="0"/>
          <w:pgNumType w:fmt="decimal" w:start="1"/>
          <w:cols w:space="425" w:num="1"/>
          <w:docGrid w:type="lines" w:linePitch="312" w:charSpace="0"/>
        </w:sectPr>
      </w:pPr>
    </w:p>
    <w:p w14:paraId="1655DFC3">
      <w:pPr>
        <w:pStyle w:val="2"/>
        <w:keepNext w:val="0"/>
        <w:keepLines w:val="0"/>
        <w:pageBreakBefore w:val="0"/>
        <w:kinsoku/>
        <w:wordWrap/>
        <w:overflowPunct/>
        <w:topLinePunct w:val="0"/>
        <w:bidi w:val="0"/>
        <w:spacing w:line="311" w:lineRule="auto"/>
        <w:rPr>
          <w:color w:val="auto"/>
          <w:sz w:val="32"/>
          <w:szCs w:val="32"/>
        </w:rPr>
      </w:pPr>
    </w:p>
    <w:sdt>
      <w:sdtPr>
        <w:rPr>
          <w:rFonts w:hint="eastAsia" w:ascii="黑体" w:hAnsi="黑体" w:eastAsia="黑体" w:cs="黑体"/>
          <w:color w:val="auto"/>
          <w:sz w:val="32"/>
          <w:szCs w:val="32"/>
        </w:rPr>
        <w:id w:val="147483340"/>
        <w:docPartObj>
          <w:docPartGallery w:val="Table of Contents"/>
          <w:docPartUnique/>
        </w:docPartObj>
      </w:sdtPr>
      <w:sdtEndPr>
        <w:rPr>
          <w:rFonts w:hint="eastAsia" w:ascii="黑体" w:hAnsi="黑体" w:eastAsia="黑体" w:cs="黑体"/>
          <w:color w:val="auto"/>
          <w:sz w:val="32"/>
          <w:szCs w:val="32"/>
        </w:rPr>
      </w:sdtEndPr>
      <w:sdtContent>
        <w:p w14:paraId="48E9D13F">
          <w:pPr>
            <w:keepNext w:val="0"/>
            <w:keepLines w:val="0"/>
            <w:pageBreakBefore w:val="0"/>
            <w:widowControl/>
            <w:kinsoku/>
            <w:wordWrap/>
            <w:overflowPunct/>
            <w:topLinePunct w:val="0"/>
            <w:autoSpaceDE w:val="0"/>
            <w:autoSpaceDN w:val="0"/>
            <w:bidi w:val="0"/>
            <w:adjustRightInd w:val="0"/>
            <w:snapToGrid w:val="0"/>
            <w:spacing w:before="100" w:line="400" w:lineRule="exact"/>
            <w:ind w:left="3753"/>
            <w:textAlignment w:val="baseline"/>
            <w:rPr>
              <w:rFonts w:hint="eastAsia" w:ascii="黑体" w:hAnsi="黑体" w:eastAsia="黑体" w:cs="黑体"/>
              <w:color w:val="auto"/>
              <w:sz w:val="32"/>
              <w:szCs w:val="32"/>
            </w:rPr>
          </w:pPr>
          <w:r>
            <w:rPr>
              <w:rFonts w:hint="eastAsia" w:ascii="黑体" w:hAnsi="黑体" w:eastAsia="黑体" w:cs="黑体"/>
              <w:b/>
              <w:bCs/>
              <w:color w:val="auto"/>
              <w:spacing w:val="-22"/>
              <w:sz w:val="32"/>
              <w:szCs w:val="32"/>
            </w:rPr>
            <w:t>目录</w:t>
          </w:r>
        </w:p>
        <w:p w14:paraId="7945554B">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328" w:line="400" w:lineRule="exact"/>
            <w:ind w:left="598"/>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"bookmark1"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6"/>
              <w:sz w:val="32"/>
              <w:szCs w:val="32"/>
            </w:rPr>
            <w:t>第一章总则</w:t>
          </w:r>
          <w:r>
            <w:rPr>
              <w:rFonts w:hint="eastAsia" w:ascii="黑体" w:hAnsi="黑体" w:eastAsia="黑体" w:cs="黑体"/>
              <w:color w:val="auto"/>
              <w:sz w:val="32"/>
              <w:szCs w:val="32"/>
            </w:rPr>
            <w:tab/>
          </w:r>
          <w:r>
            <w:rPr>
              <w:rFonts w:hint="eastAsia" w:ascii="黑体" w:hAnsi="黑体" w:eastAsia="黑体" w:cs="黑体"/>
              <w:color w:val="auto"/>
              <w:spacing w:val="-32"/>
              <w:sz w:val="32"/>
              <w:szCs w:val="32"/>
            </w:rPr>
            <w:t>1</w:t>
          </w:r>
          <w:r>
            <w:rPr>
              <w:rFonts w:hint="eastAsia" w:ascii="黑体" w:hAnsi="黑体" w:eastAsia="黑体" w:cs="黑体"/>
              <w:color w:val="auto"/>
              <w:spacing w:val="-32"/>
              <w:sz w:val="32"/>
              <w:szCs w:val="32"/>
            </w:rPr>
            <w:fldChar w:fldCharType="end"/>
          </w:r>
        </w:p>
        <w:p w14:paraId="7DD51C04">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1D7B318B">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"bookmark2"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一</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编制目的</w:t>
          </w:r>
          <w:r>
            <w:rPr>
              <w:rFonts w:hint="eastAsia" w:ascii="黑体" w:hAnsi="黑体" w:eastAsia="黑体" w:cs="黑体"/>
              <w:color w:val="auto"/>
              <w:sz w:val="32"/>
              <w:szCs w:val="32"/>
            </w:rPr>
            <w:tab/>
          </w:r>
          <w:r>
            <w:rPr>
              <w:rFonts w:hint="eastAsia" w:ascii="黑体" w:hAnsi="黑体" w:eastAsia="黑体" w:cs="黑体"/>
              <w:color w:val="auto"/>
              <w:spacing w:val="-32"/>
              <w:sz w:val="32"/>
              <w:szCs w:val="32"/>
            </w:rPr>
            <w:t>1</w:t>
          </w:r>
          <w:r>
            <w:rPr>
              <w:rFonts w:hint="eastAsia" w:ascii="黑体" w:hAnsi="黑体" w:eastAsia="黑体" w:cs="黑体"/>
              <w:color w:val="auto"/>
              <w:spacing w:val="-32"/>
              <w:sz w:val="32"/>
              <w:szCs w:val="32"/>
            </w:rPr>
            <w:fldChar w:fldCharType="end"/>
          </w:r>
        </w:p>
        <w:p w14:paraId="5B0E6FF9">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2D754A6D">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"bookmark3"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二</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编制依据</w:t>
          </w:r>
          <w:r>
            <w:rPr>
              <w:rFonts w:hint="eastAsia" w:ascii="黑体" w:hAnsi="黑体" w:eastAsia="黑体" w:cs="黑体"/>
              <w:color w:val="auto"/>
              <w:sz w:val="32"/>
              <w:szCs w:val="32"/>
            </w:rPr>
            <w:tab/>
          </w:r>
          <w:r>
            <w:rPr>
              <w:rFonts w:hint="eastAsia" w:ascii="黑体" w:hAnsi="黑体" w:eastAsia="黑体" w:cs="黑体"/>
              <w:color w:val="auto"/>
              <w:spacing w:val="-32"/>
              <w:sz w:val="32"/>
              <w:szCs w:val="32"/>
            </w:rPr>
            <w:t>1</w:t>
          </w:r>
          <w:r>
            <w:rPr>
              <w:rFonts w:hint="eastAsia" w:ascii="黑体" w:hAnsi="黑体" w:eastAsia="黑体" w:cs="黑体"/>
              <w:color w:val="auto"/>
              <w:spacing w:val="-32"/>
              <w:sz w:val="32"/>
              <w:szCs w:val="32"/>
            </w:rPr>
            <w:fldChar w:fldCharType="end"/>
          </w:r>
        </w:p>
        <w:p w14:paraId="644FF08F">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00FD07AA">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0"/>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"bookmark4"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
              <w:sz w:val="32"/>
              <w:szCs w:val="32"/>
            </w:rPr>
            <w:t>三</w:t>
          </w:r>
          <w:r>
            <w:rPr>
              <w:rFonts w:hint="eastAsia" w:ascii="仿宋_GB2312" w:hAnsi="仿宋_GB2312" w:eastAsia="仿宋_GB2312" w:cs="仿宋_GB2312"/>
              <w:spacing w:val="-2"/>
              <w:sz w:val="32"/>
              <w:szCs w:val="32"/>
            </w:rPr>
            <w:t>.</w:t>
          </w:r>
          <w:r>
            <w:rPr>
              <w:rFonts w:hint="eastAsia" w:ascii="黑体" w:hAnsi="黑体" w:eastAsia="黑体" w:cs="黑体"/>
              <w:color w:val="auto"/>
              <w:spacing w:val="-1"/>
              <w:sz w:val="32"/>
              <w:szCs w:val="32"/>
            </w:rPr>
            <w:t>适用范围</w:t>
          </w:r>
          <w:r>
            <w:rPr>
              <w:rFonts w:hint="eastAsia" w:ascii="黑体" w:hAnsi="黑体" w:eastAsia="黑体" w:cs="黑体"/>
              <w:color w:val="auto"/>
              <w:sz w:val="32"/>
              <w:szCs w:val="32"/>
            </w:rPr>
            <w:tab/>
          </w:r>
          <w:r>
            <w:rPr>
              <w:rFonts w:hint="eastAsia" w:ascii="黑体" w:hAnsi="黑体" w:eastAsia="黑体" w:cs="黑体"/>
              <w:color w:val="auto"/>
              <w:sz w:val="32"/>
              <w:szCs w:val="32"/>
            </w:rPr>
            <w:t>2</w:t>
          </w:r>
          <w:r>
            <w:rPr>
              <w:rFonts w:hint="eastAsia" w:ascii="黑体" w:hAnsi="黑体" w:eastAsia="黑体" w:cs="黑体"/>
              <w:color w:val="auto"/>
              <w:sz w:val="32"/>
              <w:szCs w:val="32"/>
            </w:rPr>
            <w:fldChar w:fldCharType="end"/>
          </w:r>
        </w:p>
        <w:p w14:paraId="1458D6C2">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15F35477">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86"/>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"bookmark5"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8"/>
              <w:sz w:val="32"/>
              <w:szCs w:val="32"/>
            </w:rPr>
            <w:t>四</w:t>
          </w:r>
          <w:r>
            <w:rPr>
              <w:rFonts w:hint="eastAsia" w:ascii="仿宋_GB2312" w:hAnsi="仿宋_GB2312" w:eastAsia="仿宋_GB2312" w:cs="仿宋_GB2312"/>
              <w:spacing w:val="-2"/>
              <w:sz w:val="32"/>
              <w:szCs w:val="32"/>
            </w:rPr>
            <w:t>.</w:t>
          </w:r>
          <w:r>
            <w:rPr>
              <w:rFonts w:hint="eastAsia" w:ascii="黑体" w:hAnsi="黑体" w:eastAsia="黑体" w:cs="黑体"/>
              <w:color w:val="auto"/>
              <w:spacing w:val="-8"/>
              <w:sz w:val="32"/>
              <w:szCs w:val="32"/>
            </w:rPr>
            <w:t>工作原则</w:t>
          </w:r>
          <w:r>
            <w:rPr>
              <w:rFonts w:hint="eastAsia" w:ascii="黑体" w:hAnsi="黑体" w:eastAsia="黑体" w:cs="黑体"/>
              <w:color w:val="auto"/>
              <w:sz w:val="32"/>
              <w:szCs w:val="32"/>
            </w:rPr>
            <w:tab/>
          </w:r>
          <w:r>
            <w:rPr>
              <w:rFonts w:hint="eastAsia" w:ascii="黑体" w:hAnsi="黑体" w:eastAsia="黑体" w:cs="黑体"/>
              <w:color w:val="auto"/>
              <w:sz w:val="32"/>
              <w:szCs w:val="32"/>
            </w:rPr>
            <w:t>2</w:t>
          </w:r>
          <w:r>
            <w:rPr>
              <w:rFonts w:hint="eastAsia" w:ascii="黑体" w:hAnsi="黑体" w:eastAsia="黑体" w:cs="黑体"/>
              <w:color w:val="auto"/>
              <w:sz w:val="32"/>
              <w:szCs w:val="32"/>
            </w:rPr>
            <w:fldChar w:fldCharType="end"/>
          </w:r>
        </w:p>
        <w:p w14:paraId="34700156">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198670AC">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598"/>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"bookmark6"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
              <w:sz w:val="32"/>
              <w:szCs w:val="32"/>
            </w:rPr>
            <w:t>第二章城市概况</w:t>
          </w:r>
          <w:r>
            <w:rPr>
              <w:rFonts w:hint="eastAsia" w:ascii="黑体" w:hAnsi="黑体" w:eastAsia="黑体" w:cs="黑体"/>
              <w:color w:val="auto"/>
              <w:sz w:val="32"/>
              <w:szCs w:val="32"/>
            </w:rPr>
            <w:tab/>
          </w:r>
          <w:r>
            <w:rPr>
              <w:rFonts w:hint="eastAsia" w:ascii="黑体" w:hAnsi="黑体" w:eastAsia="黑体" w:cs="黑体"/>
              <w:color w:val="auto"/>
              <w:sz w:val="32"/>
              <w:szCs w:val="32"/>
            </w:rPr>
            <w:t>3</w:t>
          </w:r>
          <w:r>
            <w:rPr>
              <w:rFonts w:hint="eastAsia" w:ascii="黑体" w:hAnsi="黑体" w:eastAsia="黑体" w:cs="黑体"/>
              <w:color w:val="auto"/>
              <w:sz w:val="32"/>
              <w:szCs w:val="32"/>
            </w:rPr>
            <w:fldChar w:fldCharType="end"/>
          </w:r>
        </w:p>
        <w:p w14:paraId="375FFB62">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3A6156DF">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"bookmark7"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2"/>
              <w:sz w:val="32"/>
              <w:szCs w:val="32"/>
            </w:rPr>
            <w:t>一</w:t>
          </w:r>
          <w:r>
            <w:rPr>
              <w:rFonts w:hint="eastAsia" w:ascii="仿宋_GB2312" w:hAnsi="仿宋_GB2312" w:eastAsia="仿宋_GB2312" w:cs="仿宋_GB2312"/>
              <w:spacing w:val="-2"/>
              <w:sz w:val="32"/>
              <w:szCs w:val="32"/>
            </w:rPr>
            <w:t>.</w:t>
          </w:r>
          <w:r>
            <w:rPr>
              <w:rFonts w:hint="eastAsia" w:ascii="黑体" w:hAnsi="黑体" w:eastAsia="黑体" w:cs="黑体"/>
              <w:color w:val="auto"/>
              <w:spacing w:val="-12"/>
              <w:sz w:val="32"/>
              <w:szCs w:val="32"/>
            </w:rPr>
            <w:t>自然地理</w:t>
          </w:r>
          <w:r>
            <w:rPr>
              <w:rFonts w:hint="eastAsia" w:ascii="黑体" w:hAnsi="黑体" w:eastAsia="黑体" w:cs="黑体"/>
              <w:color w:val="auto"/>
              <w:sz w:val="32"/>
              <w:szCs w:val="32"/>
            </w:rPr>
            <w:tab/>
          </w:r>
          <w:r>
            <w:rPr>
              <w:rFonts w:hint="eastAsia" w:ascii="黑体" w:hAnsi="黑体" w:eastAsia="黑体" w:cs="黑体"/>
              <w:color w:val="auto"/>
              <w:sz w:val="32"/>
              <w:szCs w:val="32"/>
            </w:rPr>
            <w:t>3</w:t>
          </w:r>
          <w:r>
            <w:rPr>
              <w:rFonts w:hint="eastAsia" w:ascii="黑体" w:hAnsi="黑体" w:eastAsia="黑体" w:cs="黑体"/>
              <w:color w:val="auto"/>
              <w:sz w:val="32"/>
              <w:szCs w:val="32"/>
            </w:rPr>
            <w:fldChar w:fldCharType="end"/>
          </w:r>
        </w:p>
        <w:p w14:paraId="702B93E6">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784F5D39">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"bookmark8"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二</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排水现状</w:t>
          </w:r>
          <w:r>
            <w:rPr>
              <w:rFonts w:hint="eastAsia" w:ascii="黑体" w:hAnsi="黑体" w:eastAsia="黑体" w:cs="黑体"/>
              <w:color w:val="auto"/>
              <w:sz w:val="32"/>
              <w:szCs w:val="32"/>
            </w:rPr>
            <w:tab/>
          </w:r>
          <w:r>
            <w:rPr>
              <w:rFonts w:hint="eastAsia" w:ascii="黑体" w:hAnsi="黑体" w:eastAsia="黑体" w:cs="黑体"/>
              <w:color w:val="auto"/>
              <w:sz w:val="32"/>
              <w:szCs w:val="32"/>
            </w:rPr>
            <w:t>5</w:t>
          </w:r>
          <w:r>
            <w:rPr>
              <w:rFonts w:hint="eastAsia" w:ascii="黑体" w:hAnsi="黑体" w:eastAsia="黑体" w:cs="黑体"/>
              <w:color w:val="auto"/>
              <w:sz w:val="32"/>
              <w:szCs w:val="32"/>
            </w:rPr>
            <w:fldChar w:fldCharType="end"/>
          </w:r>
        </w:p>
        <w:p w14:paraId="0506BF1D">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5492E592">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0"/>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"bookmark9"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
              <w:sz w:val="32"/>
              <w:szCs w:val="32"/>
            </w:rPr>
            <w:t>三</w:t>
          </w:r>
          <w:r>
            <w:rPr>
              <w:rFonts w:hint="eastAsia" w:ascii="仿宋_GB2312" w:hAnsi="仿宋_GB2312" w:eastAsia="仿宋_GB2312" w:cs="仿宋_GB2312"/>
              <w:spacing w:val="-2"/>
              <w:sz w:val="32"/>
              <w:szCs w:val="32"/>
            </w:rPr>
            <w:t>.</w:t>
          </w:r>
          <w:r>
            <w:rPr>
              <w:rFonts w:hint="eastAsia" w:ascii="黑体" w:hAnsi="黑体" w:eastAsia="黑体" w:cs="黑体"/>
              <w:color w:val="auto"/>
              <w:spacing w:val="-1"/>
              <w:sz w:val="32"/>
              <w:szCs w:val="32"/>
            </w:rPr>
            <w:t>2024年短期气候预测</w:t>
          </w:r>
          <w:r>
            <w:rPr>
              <w:rFonts w:hint="eastAsia" w:ascii="黑体" w:hAnsi="黑体" w:eastAsia="黑体" w:cs="黑体"/>
              <w:color w:val="auto"/>
              <w:sz w:val="32"/>
              <w:szCs w:val="32"/>
            </w:rPr>
            <w:tab/>
          </w:r>
          <w:r>
            <w:rPr>
              <w:rFonts w:hint="eastAsia" w:ascii="黑体" w:hAnsi="黑体" w:eastAsia="黑体" w:cs="黑体"/>
              <w:color w:val="auto"/>
              <w:sz w:val="32"/>
              <w:szCs w:val="32"/>
            </w:rPr>
            <w:t>9</w:t>
          </w:r>
          <w:r>
            <w:rPr>
              <w:rFonts w:hint="eastAsia" w:ascii="黑体" w:hAnsi="黑体" w:eastAsia="黑体" w:cs="黑体"/>
              <w:color w:val="auto"/>
              <w:sz w:val="32"/>
              <w:szCs w:val="32"/>
            </w:rPr>
            <w:fldChar w:fldCharType="end"/>
          </w:r>
        </w:p>
        <w:p w14:paraId="4B1E5FD2">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1876982B">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86"/>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"bookmark10"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0"/>
              <w:sz w:val="32"/>
              <w:szCs w:val="32"/>
            </w:rPr>
            <w:t>四</w:t>
          </w:r>
          <w:r>
            <w:rPr>
              <w:rFonts w:hint="eastAsia" w:ascii="仿宋_GB2312" w:hAnsi="仿宋_GB2312" w:eastAsia="仿宋_GB2312" w:cs="仿宋_GB2312"/>
              <w:spacing w:val="-2"/>
              <w:sz w:val="32"/>
              <w:szCs w:val="32"/>
            </w:rPr>
            <w:t>.</w:t>
          </w:r>
          <w:r>
            <w:rPr>
              <w:rFonts w:hint="eastAsia" w:ascii="黑体" w:hAnsi="黑体" w:eastAsia="黑体" w:cs="黑体"/>
              <w:color w:val="auto"/>
              <w:spacing w:val="-10"/>
              <w:sz w:val="32"/>
              <w:szCs w:val="32"/>
            </w:rPr>
            <w:t>内涝风险评估</w:t>
          </w:r>
          <w:r>
            <w:rPr>
              <w:rFonts w:hint="eastAsia" w:ascii="黑体" w:hAnsi="黑体" w:eastAsia="黑体" w:cs="黑体"/>
              <w:color w:val="auto"/>
              <w:sz w:val="32"/>
              <w:szCs w:val="32"/>
            </w:rPr>
            <w:tab/>
          </w:r>
          <w:r>
            <w:rPr>
              <w:rFonts w:hint="eastAsia" w:ascii="黑体" w:hAnsi="黑体" w:eastAsia="黑体" w:cs="黑体"/>
              <w:color w:val="auto"/>
              <w:spacing w:val="-8"/>
              <w:sz w:val="32"/>
              <w:szCs w:val="32"/>
            </w:rPr>
            <w:t>10</w:t>
          </w:r>
          <w:r>
            <w:rPr>
              <w:rFonts w:hint="eastAsia" w:ascii="黑体" w:hAnsi="黑体" w:eastAsia="黑体" w:cs="黑体"/>
              <w:color w:val="auto"/>
              <w:spacing w:val="-8"/>
              <w:sz w:val="32"/>
              <w:szCs w:val="32"/>
            </w:rPr>
            <w:fldChar w:fldCharType="end"/>
          </w:r>
        </w:p>
        <w:p w14:paraId="77E67183">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05CCDB06">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"bookmark11"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五</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危险性分析</w:t>
          </w:r>
          <w:r>
            <w:rPr>
              <w:rFonts w:hint="eastAsia" w:ascii="黑体" w:hAnsi="黑体" w:eastAsia="黑体" w:cs="黑体"/>
              <w:color w:val="auto"/>
              <w:sz w:val="32"/>
              <w:szCs w:val="32"/>
            </w:rPr>
            <w:tab/>
          </w:r>
          <w:r>
            <w:rPr>
              <w:rFonts w:hint="eastAsia" w:ascii="黑体" w:hAnsi="黑体" w:eastAsia="黑体" w:cs="黑体"/>
              <w:color w:val="auto"/>
              <w:spacing w:val="-8"/>
              <w:sz w:val="32"/>
              <w:szCs w:val="32"/>
            </w:rPr>
            <w:t>14</w:t>
          </w:r>
          <w:r>
            <w:rPr>
              <w:rFonts w:hint="eastAsia" w:ascii="黑体" w:hAnsi="黑体" w:eastAsia="黑体" w:cs="黑体"/>
              <w:color w:val="auto"/>
              <w:spacing w:val="-8"/>
              <w:sz w:val="32"/>
              <w:szCs w:val="32"/>
            </w:rPr>
            <w:fldChar w:fldCharType="end"/>
          </w:r>
        </w:p>
        <w:p w14:paraId="3E0346E6">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12CD32B7">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2"/>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"bookmark12"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六</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重点防护对象</w:t>
          </w:r>
          <w:r>
            <w:rPr>
              <w:rFonts w:hint="eastAsia" w:ascii="黑体" w:hAnsi="黑体" w:eastAsia="黑体" w:cs="黑体"/>
              <w:color w:val="auto"/>
              <w:sz w:val="32"/>
              <w:szCs w:val="32"/>
            </w:rPr>
            <w:tab/>
          </w:r>
          <w:r>
            <w:rPr>
              <w:rFonts w:hint="eastAsia" w:ascii="黑体" w:hAnsi="黑体" w:eastAsia="黑体" w:cs="黑体"/>
              <w:color w:val="auto"/>
              <w:spacing w:val="-8"/>
              <w:sz w:val="32"/>
              <w:szCs w:val="32"/>
            </w:rPr>
            <w:t>14</w:t>
          </w:r>
          <w:r>
            <w:rPr>
              <w:rFonts w:hint="eastAsia" w:ascii="黑体" w:hAnsi="黑体" w:eastAsia="黑体" w:cs="黑体"/>
              <w:color w:val="auto"/>
              <w:spacing w:val="-8"/>
              <w:sz w:val="32"/>
              <w:szCs w:val="32"/>
            </w:rPr>
            <w:fldChar w:fldCharType="end"/>
          </w:r>
        </w:p>
        <w:p w14:paraId="019BE9B9">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0F40F1DE">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598"/>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"bookmark13"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
              <w:sz w:val="32"/>
              <w:szCs w:val="32"/>
            </w:rPr>
            <w:t>第三章应急组织与职责</w:t>
          </w:r>
          <w:r>
            <w:rPr>
              <w:rFonts w:hint="eastAsia" w:ascii="黑体" w:hAnsi="黑体" w:eastAsia="黑体" w:cs="黑体"/>
              <w:color w:val="auto"/>
              <w:sz w:val="32"/>
              <w:szCs w:val="32"/>
            </w:rPr>
            <w:tab/>
          </w:r>
          <w:r>
            <w:rPr>
              <w:rFonts w:hint="eastAsia" w:ascii="黑体" w:hAnsi="黑体" w:eastAsia="黑体" w:cs="黑体"/>
              <w:color w:val="auto"/>
              <w:spacing w:val="-8"/>
              <w:sz w:val="32"/>
              <w:szCs w:val="32"/>
            </w:rPr>
            <w:t>16</w:t>
          </w:r>
          <w:r>
            <w:rPr>
              <w:rFonts w:hint="eastAsia" w:ascii="黑体" w:hAnsi="黑体" w:eastAsia="黑体" w:cs="黑体"/>
              <w:color w:val="auto"/>
              <w:spacing w:val="-8"/>
              <w:sz w:val="32"/>
              <w:szCs w:val="32"/>
            </w:rPr>
            <w:fldChar w:fldCharType="end"/>
          </w:r>
        </w:p>
        <w:p w14:paraId="7C240CAE">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7A2F3882">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"bookmark14"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一</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应急组织形式</w:t>
          </w:r>
          <w:r>
            <w:rPr>
              <w:rFonts w:hint="eastAsia" w:ascii="黑体" w:hAnsi="黑体" w:eastAsia="黑体" w:cs="黑体"/>
              <w:color w:val="auto"/>
              <w:sz w:val="32"/>
              <w:szCs w:val="32"/>
            </w:rPr>
            <w:tab/>
          </w:r>
          <w:r>
            <w:rPr>
              <w:rFonts w:hint="eastAsia" w:ascii="黑体" w:hAnsi="黑体" w:eastAsia="黑体" w:cs="黑体"/>
              <w:color w:val="auto"/>
              <w:spacing w:val="-8"/>
              <w:sz w:val="32"/>
              <w:szCs w:val="32"/>
            </w:rPr>
            <w:t>16</w:t>
          </w:r>
          <w:r>
            <w:rPr>
              <w:rFonts w:hint="eastAsia" w:ascii="黑体" w:hAnsi="黑体" w:eastAsia="黑体" w:cs="黑体"/>
              <w:color w:val="auto"/>
              <w:spacing w:val="-8"/>
              <w:sz w:val="32"/>
              <w:szCs w:val="32"/>
            </w:rPr>
            <w:fldChar w:fldCharType="end"/>
          </w:r>
        </w:p>
        <w:p w14:paraId="3CDF4887">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24E2F456">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1164"/>
            <w:textAlignment w:val="baseline"/>
            <w:rPr>
              <w:rFonts w:hint="eastAsia" w:ascii="黑体" w:hAnsi="黑体" w:eastAsia="黑体" w:cs="黑体"/>
              <w:color w:val="auto"/>
              <w:sz w:val="32"/>
              <w:szCs w:val="32"/>
            </w:rPr>
          </w:pPr>
        </w:p>
        <w:p w14:paraId="365987CC">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"bookmark15"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二</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应急成员职责</w:t>
          </w:r>
          <w:r>
            <w:rPr>
              <w:rFonts w:hint="eastAsia" w:ascii="黑体" w:hAnsi="黑体" w:eastAsia="黑体" w:cs="黑体"/>
              <w:color w:val="auto"/>
              <w:sz w:val="32"/>
              <w:szCs w:val="32"/>
            </w:rPr>
            <w:tab/>
          </w:r>
          <w:r>
            <w:rPr>
              <w:rFonts w:hint="eastAsia" w:ascii="黑体" w:hAnsi="黑体" w:eastAsia="黑体" w:cs="黑体"/>
              <w:color w:val="auto"/>
              <w:spacing w:val="-8"/>
              <w:sz w:val="32"/>
              <w:szCs w:val="32"/>
            </w:rPr>
            <w:t>16</w:t>
          </w:r>
          <w:r>
            <w:rPr>
              <w:rFonts w:hint="eastAsia" w:ascii="黑体" w:hAnsi="黑体" w:eastAsia="黑体" w:cs="黑体"/>
              <w:color w:val="auto"/>
              <w:spacing w:val="-8"/>
              <w:sz w:val="32"/>
              <w:szCs w:val="32"/>
            </w:rPr>
            <w:fldChar w:fldCharType="end"/>
          </w:r>
        </w:p>
        <w:p w14:paraId="5C082C7A">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7CEF8A9D">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598"/>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"bookmark16"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
              <w:sz w:val="32"/>
              <w:szCs w:val="32"/>
            </w:rPr>
            <w:t>第四章预防与预警</w:t>
          </w:r>
          <w:r>
            <w:rPr>
              <w:rFonts w:hint="eastAsia" w:ascii="黑体" w:hAnsi="黑体" w:eastAsia="黑体" w:cs="黑体"/>
              <w:color w:val="auto"/>
              <w:sz w:val="32"/>
              <w:szCs w:val="32"/>
            </w:rPr>
            <w:tab/>
          </w:r>
          <w:r>
            <w:rPr>
              <w:rFonts w:hint="eastAsia" w:ascii="黑体" w:hAnsi="黑体" w:eastAsia="黑体" w:cs="黑体"/>
              <w:color w:val="auto"/>
              <w:spacing w:val="-8"/>
              <w:sz w:val="32"/>
              <w:szCs w:val="32"/>
            </w:rPr>
            <w:t>19</w:t>
          </w:r>
          <w:r>
            <w:rPr>
              <w:rFonts w:hint="eastAsia" w:ascii="黑体" w:hAnsi="黑体" w:eastAsia="黑体" w:cs="黑体"/>
              <w:color w:val="auto"/>
              <w:spacing w:val="-8"/>
              <w:sz w:val="32"/>
              <w:szCs w:val="32"/>
            </w:rPr>
            <w:fldChar w:fldCharType="end"/>
          </w:r>
        </w:p>
        <w:p w14:paraId="215A6345">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62E839EF">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"bookmark17"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一</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预防预警信息</w:t>
          </w:r>
          <w:r>
            <w:rPr>
              <w:rFonts w:hint="eastAsia" w:ascii="黑体" w:hAnsi="黑体" w:eastAsia="黑体" w:cs="黑体"/>
              <w:color w:val="auto"/>
              <w:sz w:val="32"/>
              <w:szCs w:val="32"/>
            </w:rPr>
            <w:tab/>
          </w:r>
          <w:r>
            <w:rPr>
              <w:rFonts w:hint="eastAsia" w:ascii="黑体" w:hAnsi="黑体" w:eastAsia="黑体" w:cs="黑体"/>
              <w:color w:val="auto"/>
              <w:spacing w:val="-8"/>
              <w:sz w:val="32"/>
              <w:szCs w:val="32"/>
            </w:rPr>
            <w:t>19</w:t>
          </w:r>
          <w:r>
            <w:rPr>
              <w:rFonts w:hint="eastAsia" w:ascii="黑体" w:hAnsi="黑体" w:eastAsia="黑体" w:cs="黑体"/>
              <w:color w:val="auto"/>
              <w:spacing w:val="-8"/>
              <w:sz w:val="32"/>
              <w:szCs w:val="32"/>
            </w:rPr>
            <w:fldChar w:fldCharType="end"/>
          </w:r>
        </w:p>
        <w:p w14:paraId="5E52F107">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70B5CFAA">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"bookmark18"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二</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人员及物资准备</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20</w:t>
          </w:r>
          <w:r>
            <w:rPr>
              <w:rFonts w:hint="eastAsia" w:ascii="黑体" w:hAnsi="黑体" w:eastAsia="黑体" w:cs="黑体"/>
              <w:color w:val="auto"/>
              <w:spacing w:val="-4"/>
              <w:sz w:val="32"/>
              <w:szCs w:val="32"/>
            </w:rPr>
            <w:fldChar w:fldCharType="end"/>
          </w:r>
        </w:p>
        <w:p w14:paraId="320917EF">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349FC5B7">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0"/>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"bookmark19"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
              <w:sz w:val="32"/>
              <w:szCs w:val="32"/>
            </w:rPr>
            <w:t>三</w:t>
          </w:r>
          <w:r>
            <w:rPr>
              <w:rFonts w:hint="eastAsia" w:ascii="仿宋_GB2312" w:hAnsi="仿宋_GB2312" w:eastAsia="仿宋_GB2312" w:cs="仿宋_GB2312"/>
              <w:spacing w:val="-2"/>
              <w:sz w:val="32"/>
              <w:szCs w:val="32"/>
            </w:rPr>
            <w:t>.</w:t>
          </w:r>
          <w:r>
            <w:rPr>
              <w:rFonts w:hint="eastAsia" w:ascii="黑体" w:hAnsi="黑体" w:eastAsia="黑体" w:cs="黑体"/>
              <w:color w:val="auto"/>
              <w:spacing w:val="-1"/>
              <w:sz w:val="32"/>
              <w:szCs w:val="32"/>
            </w:rPr>
            <w:t>预防检查</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20</w:t>
          </w:r>
          <w:r>
            <w:rPr>
              <w:rFonts w:hint="eastAsia" w:ascii="黑体" w:hAnsi="黑体" w:eastAsia="黑体" w:cs="黑体"/>
              <w:color w:val="auto"/>
              <w:spacing w:val="-4"/>
              <w:sz w:val="32"/>
              <w:szCs w:val="32"/>
            </w:rPr>
            <w:fldChar w:fldCharType="end"/>
          </w:r>
        </w:p>
      </w:sdtContent>
    </w:sdt>
    <w:p w14:paraId="555BB2FB">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sdt>
      <w:sdtPr>
        <w:rPr>
          <w:rFonts w:hint="eastAsia" w:ascii="黑体" w:hAnsi="黑体" w:eastAsia="黑体" w:cs="黑体"/>
          <w:color w:val="auto"/>
          <w:sz w:val="32"/>
          <w:szCs w:val="32"/>
        </w:rPr>
        <w:id w:val="147480248"/>
        <w:docPartObj>
          <w:docPartGallery w:val="Table of Contents"/>
          <w:docPartUnique/>
        </w:docPartObj>
      </w:sdtPr>
      <w:sdtEndPr>
        <w:rPr>
          <w:rFonts w:hint="eastAsia" w:ascii="黑体" w:hAnsi="黑体" w:eastAsia="黑体" w:cs="黑体"/>
          <w:color w:val="auto"/>
          <w:sz w:val="32"/>
          <w:szCs w:val="32"/>
        </w:rPr>
      </w:sdtEndPr>
      <w:sdtContent>
        <w:p w14:paraId="7D22DDF8">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1186"/>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"bookmark20"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8"/>
              <w:sz w:val="32"/>
              <w:szCs w:val="32"/>
            </w:rPr>
            <w:t>四</w:t>
          </w:r>
          <w:r>
            <w:rPr>
              <w:rFonts w:hint="eastAsia" w:ascii="仿宋_GB2312" w:hAnsi="仿宋_GB2312" w:eastAsia="仿宋_GB2312" w:cs="仿宋_GB2312"/>
              <w:spacing w:val="-2"/>
              <w:sz w:val="32"/>
              <w:szCs w:val="32"/>
            </w:rPr>
            <w:t>.</w:t>
          </w:r>
          <w:r>
            <w:rPr>
              <w:rFonts w:hint="eastAsia" w:ascii="黑体" w:hAnsi="黑体" w:eastAsia="黑体" w:cs="黑体"/>
              <w:color w:val="auto"/>
              <w:spacing w:val="-8"/>
              <w:sz w:val="32"/>
              <w:szCs w:val="32"/>
            </w:rPr>
            <w:t>预警行动</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22</w:t>
          </w:r>
          <w:r>
            <w:rPr>
              <w:rFonts w:hint="eastAsia" w:ascii="黑体" w:hAnsi="黑体" w:eastAsia="黑体" w:cs="黑体"/>
              <w:color w:val="auto"/>
              <w:spacing w:val="-4"/>
              <w:sz w:val="32"/>
              <w:szCs w:val="32"/>
            </w:rPr>
            <w:fldChar w:fldCharType="end"/>
          </w:r>
        </w:p>
        <w:p w14:paraId="61B2EBD9">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125C7012">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598"/>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"bookmark21"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
              <w:sz w:val="32"/>
              <w:szCs w:val="32"/>
            </w:rPr>
            <w:t>第五章应急响应级别划分</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23</w:t>
          </w:r>
          <w:r>
            <w:rPr>
              <w:rFonts w:hint="eastAsia" w:ascii="黑体" w:hAnsi="黑体" w:eastAsia="黑体" w:cs="黑体"/>
              <w:color w:val="auto"/>
              <w:spacing w:val="-4"/>
              <w:sz w:val="32"/>
              <w:szCs w:val="32"/>
            </w:rPr>
            <w:fldChar w:fldCharType="end"/>
          </w:r>
        </w:p>
        <w:p w14:paraId="51C477F1">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3908203E">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598"/>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"bookmark22"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
              <w:sz w:val="32"/>
              <w:szCs w:val="32"/>
            </w:rPr>
            <w:t>第六章应急启动</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24</w:t>
          </w:r>
          <w:r>
            <w:rPr>
              <w:rFonts w:hint="eastAsia" w:ascii="黑体" w:hAnsi="黑体" w:eastAsia="黑体" w:cs="黑体"/>
              <w:color w:val="auto"/>
              <w:spacing w:val="-4"/>
              <w:sz w:val="32"/>
              <w:szCs w:val="32"/>
            </w:rPr>
            <w:fldChar w:fldCharType="end"/>
          </w:r>
        </w:p>
        <w:p w14:paraId="21F44D07">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3D3B0E0C">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"bookmark23"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一</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蓝色应急响应启动</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24</w:t>
          </w:r>
          <w:r>
            <w:rPr>
              <w:rFonts w:hint="eastAsia" w:ascii="黑体" w:hAnsi="黑体" w:eastAsia="黑体" w:cs="黑体"/>
              <w:color w:val="auto"/>
              <w:spacing w:val="-4"/>
              <w:sz w:val="32"/>
              <w:szCs w:val="32"/>
            </w:rPr>
            <w:fldChar w:fldCharType="end"/>
          </w:r>
        </w:p>
        <w:p w14:paraId="7CA77FC8">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515EF30D">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"bookmark24"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二</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黄色应急响应启动</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24</w:t>
          </w:r>
          <w:r>
            <w:rPr>
              <w:rFonts w:hint="eastAsia" w:ascii="黑体" w:hAnsi="黑体" w:eastAsia="黑体" w:cs="黑体"/>
              <w:color w:val="auto"/>
              <w:spacing w:val="-4"/>
              <w:sz w:val="32"/>
              <w:szCs w:val="32"/>
            </w:rPr>
            <w:fldChar w:fldCharType="end"/>
          </w:r>
        </w:p>
        <w:p w14:paraId="398BB116">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05A1F875">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0"/>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"bookmark25"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
              <w:sz w:val="32"/>
              <w:szCs w:val="32"/>
            </w:rPr>
            <w:t>三</w:t>
          </w:r>
          <w:r>
            <w:rPr>
              <w:rFonts w:hint="eastAsia" w:ascii="仿宋_GB2312" w:hAnsi="仿宋_GB2312" w:eastAsia="仿宋_GB2312" w:cs="仿宋_GB2312"/>
              <w:spacing w:val="-2"/>
              <w:sz w:val="32"/>
              <w:szCs w:val="32"/>
            </w:rPr>
            <w:t>.</w:t>
          </w:r>
          <w:r>
            <w:rPr>
              <w:rFonts w:hint="eastAsia" w:ascii="黑体" w:hAnsi="黑体" w:eastAsia="黑体" w:cs="黑体"/>
              <w:color w:val="auto"/>
              <w:spacing w:val="-1"/>
              <w:sz w:val="32"/>
              <w:szCs w:val="32"/>
            </w:rPr>
            <w:t>橙色应急响应启动</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26</w:t>
          </w:r>
          <w:r>
            <w:rPr>
              <w:rFonts w:hint="eastAsia" w:ascii="黑体" w:hAnsi="黑体" w:eastAsia="黑体" w:cs="黑体"/>
              <w:color w:val="auto"/>
              <w:spacing w:val="-4"/>
              <w:sz w:val="32"/>
              <w:szCs w:val="32"/>
            </w:rPr>
            <w:fldChar w:fldCharType="end"/>
          </w:r>
        </w:p>
        <w:p w14:paraId="334901A0">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21F10505">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86"/>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"bookmark26"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3"/>
              <w:sz w:val="32"/>
              <w:szCs w:val="32"/>
            </w:rPr>
            <w:t>四</w:t>
          </w:r>
          <w:r>
            <w:rPr>
              <w:rFonts w:hint="eastAsia" w:ascii="仿宋_GB2312" w:hAnsi="仿宋_GB2312" w:eastAsia="仿宋_GB2312" w:cs="仿宋_GB2312"/>
              <w:spacing w:val="-2"/>
              <w:sz w:val="32"/>
              <w:szCs w:val="32"/>
            </w:rPr>
            <w:t>.</w:t>
          </w:r>
          <w:r>
            <w:rPr>
              <w:rFonts w:hint="eastAsia" w:ascii="黑体" w:hAnsi="黑体" w:eastAsia="黑体" w:cs="黑体"/>
              <w:color w:val="auto"/>
              <w:spacing w:val="-3"/>
              <w:sz w:val="32"/>
              <w:szCs w:val="32"/>
            </w:rPr>
            <w:t>红色应急响应启动</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27</w:t>
          </w:r>
          <w:r>
            <w:rPr>
              <w:rFonts w:hint="eastAsia" w:ascii="黑体" w:hAnsi="黑体" w:eastAsia="黑体" w:cs="黑体"/>
              <w:color w:val="auto"/>
              <w:spacing w:val="-4"/>
              <w:sz w:val="32"/>
              <w:szCs w:val="32"/>
            </w:rPr>
            <w:fldChar w:fldCharType="end"/>
          </w:r>
        </w:p>
        <w:p w14:paraId="14A6D7A2">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0A5B5B03">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"bookmark27"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五</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应急响应措施</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28</w:t>
          </w:r>
          <w:r>
            <w:rPr>
              <w:rFonts w:hint="eastAsia" w:ascii="黑体" w:hAnsi="黑体" w:eastAsia="黑体" w:cs="黑体"/>
              <w:color w:val="auto"/>
              <w:spacing w:val="-4"/>
              <w:sz w:val="32"/>
              <w:szCs w:val="32"/>
            </w:rPr>
            <w:fldChar w:fldCharType="end"/>
          </w:r>
        </w:p>
        <w:p w14:paraId="399EE2A4">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00DE4130">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2"/>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"bookmark28"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
              <w:sz w:val="32"/>
              <w:szCs w:val="32"/>
            </w:rPr>
            <w:t>六</w:t>
          </w:r>
          <w:r>
            <w:rPr>
              <w:rFonts w:hint="eastAsia" w:ascii="仿宋_GB2312" w:hAnsi="仿宋_GB2312" w:eastAsia="仿宋_GB2312" w:cs="仿宋_GB2312"/>
              <w:spacing w:val="-2"/>
              <w:sz w:val="32"/>
              <w:szCs w:val="32"/>
            </w:rPr>
            <w:t>.</w:t>
          </w:r>
          <w:r>
            <w:rPr>
              <w:rFonts w:hint="eastAsia" w:ascii="黑体" w:hAnsi="黑体" w:eastAsia="黑体" w:cs="黑体"/>
              <w:color w:val="auto"/>
              <w:spacing w:val="-1"/>
              <w:sz w:val="32"/>
              <w:szCs w:val="32"/>
            </w:rPr>
            <w:t>应急相应等级变更</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31</w:t>
          </w:r>
          <w:r>
            <w:rPr>
              <w:rFonts w:hint="eastAsia" w:ascii="黑体" w:hAnsi="黑体" w:eastAsia="黑体" w:cs="黑体"/>
              <w:color w:val="auto"/>
              <w:spacing w:val="-4"/>
              <w:sz w:val="32"/>
              <w:szCs w:val="32"/>
            </w:rPr>
            <w:fldChar w:fldCharType="end"/>
          </w:r>
        </w:p>
        <w:p w14:paraId="0801F4DD">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6F7EE06D">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59"/>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"bookmark29"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
              <w:sz w:val="32"/>
              <w:szCs w:val="32"/>
            </w:rPr>
            <w:t>七</w:t>
          </w:r>
          <w:r>
            <w:rPr>
              <w:rFonts w:hint="eastAsia" w:ascii="仿宋_GB2312" w:hAnsi="仿宋_GB2312" w:eastAsia="仿宋_GB2312" w:cs="仿宋_GB2312"/>
              <w:spacing w:val="-2"/>
              <w:sz w:val="32"/>
              <w:szCs w:val="32"/>
            </w:rPr>
            <w:t>.</w:t>
          </w:r>
          <w:r>
            <w:rPr>
              <w:rFonts w:hint="eastAsia" w:ascii="黑体" w:hAnsi="黑体" w:eastAsia="黑体" w:cs="黑体"/>
              <w:color w:val="auto"/>
              <w:spacing w:val="-1"/>
              <w:sz w:val="32"/>
              <w:szCs w:val="32"/>
            </w:rPr>
            <w:t>应急终止</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31</w:t>
          </w:r>
          <w:r>
            <w:rPr>
              <w:rFonts w:hint="eastAsia" w:ascii="黑体" w:hAnsi="黑体" w:eastAsia="黑体" w:cs="黑体"/>
              <w:color w:val="auto"/>
              <w:spacing w:val="-4"/>
              <w:sz w:val="32"/>
              <w:szCs w:val="32"/>
            </w:rPr>
            <w:fldChar w:fldCharType="end"/>
          </w:r>
        </w:p>
        <w:p w14:paraId="278B770A">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1F8F83DC">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598"/>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"bookmark30"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
              <w:sz w:val="32"/>
              <w:szCs w:val="32"/>
            </w:rPr>
            <w:t>第七章应急处置</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32</w:t>
          </w:r>
          <w:r>
            <w:rPr>
              <w:rFonts w:hint="eastAsia" w:ascii="黑体" w:hAnsi="黑体" w:eastAsia="黑体" w:cs="黑体"/>
              <w:color w:val="auto"/>
              <w:spacing w:val="-4"/>
              <w:sz w:val="32"/>
              <w:szCs w:val="32"/>
            </w:rPr>
            <w:fldChar w:fldCharType="end"/>
          </w:r>
        </w:p>
        <w:p w14:paraId="0430DEF6">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3983B3BC">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"bookmark31"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5"/>
              <w:sz w:val="32"/>
              <w:szCs w:val="32"/>
            </w:rPr>
            <w:t>一</w:t>
          </w:r>
          <w:r>
            <w:rPr>
              <w:rFonts w:hint="eastAsia" w:ascii="仿宋_GB2312" w:hAnsi="仿宋_GB2312" w:eastAsia="仿宋_GB2312" w:cs="仿宋_GB2312"/>
              <w:spacing w:val="-2"/>
              <w:sz w:val="32"/>
              <w:szCs w:val="32"/>
            </w:rPr>
            <w:t>.</w:t>
          </w:r>
          <w:r>
            <w:rPr>
              <w:rFonts w:hint="eastAsia" w:ascii="黑体" w:hAnsi="黑体" w:eastAsia="黑体" w:cs="黑体"/>
              <w:color w:val="auto"/>
              <w:spacing w:val="-5"/>
              <w:sz w:val="32"/>
              <w:szCs w:val="32"/>
            </w:rPr>
            <w:t>先期处置</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32</w:t>
          </w:r>
          <w:r>
            <w:rPr>
              <w:rFonts w:hint="eastAsia" w:ascii="黑体" w:hAnsi="黑体" w:eastAsia="黑体" w:cs="黑体"/>
              <w:color w:val="auto"/>
              <w:spacing w:val="-4"/>
              <w:sz w:val="32"/>
              <w:szCs w:val="32"/>
            </w:rPr>
            <w:fldChar w:fldCharType="end"/>
          </w:r>
        </w:p>
        <w:p w14:paraId="520C3F3D">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5A493BB5">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"bookmark32"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二</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应急处置</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32</w:t>
          </w:r>
          <w:r>
            <w:rPr>
              <w:rFonts w:hint="eastAsia" w:ascii="黑体" w:hAnsi="黑体" w:eastAsia="黑体" w:cs="黑体"/>
              <w:color w:val="auto"/>
              <w:spacing w:val="-4"/>
              <w:sz w:val="32"/>
              <w:szCs w:val="32"/>
            </w:rPr>
            <w:fldChar w:fldCharType="end"/>
          </w:r>
        </w:p>
        <w:p w14:paraId="22FFD595">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5D99683A">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0"/>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"bookmark33"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
              <w:sz w:val="32"/>
              <w:szCs w:val="32"/>
            </w:rPr>
            <w:t>三</w:t>
          </w:r>
          <w:r>
            <w:rPr>
              <w:rFonts w:hint="eastAsia" w:ascii="仿宋_GB2312" w:hAnsi="仿宋_GB2312" w:eastAsia="仿宋_GB2312" w:cs="仿宋_GB2312"/>
              <w:spacing w:val="-2"/>
              <w:sz w:val="32"/>
              <w:szCs w:val="32"/>
            </w:rPr>
            <w:t>.</w:t>
          </w:r>
          <w:r>
            <w:rPr>
              <w:rFonts w:hint="eastAsia" w:ascii="黑体" w:hAnsi="黑体" w:eastAsia="黑体" w:cs="黑体"/>
              <w:color w:val="auto"/>
              <w:spacing w:val="-1"/>
              <w:sz w:val="32"/>
              <w:szCs w:val="32"/>
            </w:rPr>
            <w:t>应急救援</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33</w:t>
          </w:r>
          <w:r>
            <w:rPr>
              <w:rFonts w:hint="eastAsia" w:ascii="黑体" w:hAnsi="黑体" w:eastAsia="黑体" w:cs="黑体"/>
              <w:color w:val="auto"/>
              <w:spacing w:val="-4"/>
              <w:sz w:val="32"/>
              <w:szCs w:val="32"/>
            </w:rPr>
            <w:fldChar w:fldCharType="end"/>
          </w:r>
        </w:p>
        <w:p w14:paraId="1140553B">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33628FF4">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86"/>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"bookmark34"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8"/>
              <w:sz w:val="32"/>
              <w:szCs w:val="32"/>
            </w:rPr>
            <w:t>四</w:t>
          </w:r>
          <w:r>
            <w:rPr>
              <w:rFonts w:hint="eastAsia" w:ascii="仿宋_GB2312" w:hAnsi="仿宋_GB2312" w:eastAsia="仿宋_GB2312" w:cs="仿宋_GB2312"/>
              <w:spacing w:val="-2"/>
              <w:sz w:val="32"/>
              <w:szCs w:val="32"/>
            </w:rPr>
            <w:t>.</w:t>
          </w:r>
          <w:r>
            <w:rPr>
              <w:rFonts w:hint="eastAsia" w:ascii="黑体" w:hAnsi="黑体" w:eastAsia="黑体" w:cs="黑体"/>
              <w:color w:val="auto"/>
              <w:spacing w:val="-8"/>
              <w:sz w:val="32"/>
              <w:szCs w:val="32"/>
            </w:rPr>
            <w:t>扩大应急</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34</w:t>
          </w:r>
          <w:r>
            <w:rPr>
              <w:rFonts w:hint="eastAsia" w:ascii="黑体" w:hAnsi="黑体" w:eastAsia="黑体" w:cs="黑体"/>
              <w:color w:val="auto"/>
              <w:spacing w:val="-4"/>
              <w:sz w:val="32"/>
              <w:szCs w:val="32"/>
            </w:rPr>
            <w:fldChar w:fldCharType="end"/>
          </w:r>
        </w:p>
        <w:p w14:paraId="18009112">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textAlignment w:val="baseline"/>
            <w:rPr>
              <w:rFonts w:hint="eastAsia" w:ascii="黑体" w:hAnsi="黑体" w:eastAsia="黑体" w:cs="黑体"/>
              <w:color w:val="auto"/>
              <w:sz w:val="32"/>
              <w:szCs w:val="32"/>
            </w:rPr>
          </w:pPr>
        </w:p>
        <w:p w14:paraId="2DB106C1">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598"/>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"bookmark35"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
              <w:sz w:val="32"/>
              <w:szCs w:val="32"/>
            </w:rPr>
            <w:t>第八章应急保障</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35</w:t>
          </w:r>
          <w:r>
            <w:rPr>
              <w:rFonts w:hint="eastAsia" w:ascii="黑体" w:hAnsi="黑体" w:eastAsia="黑体" w:cs="黑体"/>
              <w:color w:val="auto"/>
              <w:spacing w:val="-4"/>
              <w:sz w:val="32"/>
              <w:szCs w:val="32"/>
            </w:rPr>
            <w:fldChar w:fldCharType="end"/>
          </w:r>
        </w:p>
        <w:p w14:paraId="16F25251">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31C04B00">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"bookmark36"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一</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通信与信息保障</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35</w:t>
          </w:r>
          <w:r>
            <w:rPr>
              <w:rFonts w:hint="eastAsia" w:ascii="黑体" w:hAnsi="黑体" w:eastAsia="黑体" w:cs="黑体"/>
              <w:color w:val="auto"/>
              <w:spacing w:val="-4"/>
              <w:sz w:val="32"/>
              <w:szCs w:val="32"/>
            </w:rPr>
            <w:fldChar w:fldCharType="end"/>
          </w:r>
        </w:p>
        <w:p w14:paraId="1BF49D0B">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3FE98BAD">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"bookmark37"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二</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应急队伍保障</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35</w:t>
          </w:r>
          <w:r>
            <w:rPr>
              <w:rFonts w:hint="eastAsia" w:ascii="黑体" w:hAnsi="黑体" w:eastAsia="黑体" w:cs="黑体"/>
              <w:color w:val="auto"/>
              <w:spacing w:val="-4"/>
              <w:sz w:val="32"/>
              <w:szCs w:val="32"/>
            </w:rPr>
            <w:fldChar w:fldCharType="end"/>
          </w:r>
        </w:p>
        <w:p w14:paraId="626CB0A6">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4C32D30A">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1160"/>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"bookmark38"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
              <w:sz w:val="32"/>
              <w:szCs w:val="32"/>
            </w:rPr>
            <w:t>三</w:t>
          </w:r>
          <w:r>
            <w:rPr>
              <w:rFonts w:hint="eastAsia" w:ascii="仿宋_GB2312" w:hAnsi="仿宋_GB2312" w:eastAsia="仿宋_GB2312" w:cs="仿宋_GB2312"/>
              <w:spacing w:val="-2"/>
              <w:sz w:val="32"/>
              <w:szCs w:val="32"/>
            </w:rPr>
            <w:t>.</w:t>
          </w:r>
          <w:r>
            <w:rPr>
              <w:rFonts w:hint="eastAsia" w:ascii="黑体" w:hAnsi="黑体" w:eastAsia="黑体" w:cs="黑体"/>
              <w:color w:val="auto"/>
              <w:spacing w:val="-1"/>
              <w:sz w:val="32"/>
              <w:szCs w:val="32"/>
            </w:rPr>
            <w:t>应急物资保障</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35</w:t>
          </w:r>
          <w:r>
            <w:rPr>
              <w:rFonts w:hint="eastAsia" w:ascii="黑体" w:hAnsi="黑体" w:eastAsia="黑体" w:cs="黑体"/>
              <w:color w:val="auto"/>
              <w:spacing w:val="-4"/>
              <w:sz w:val="32"/>
              <w:szCs w:val="32"/>
            </w:rPr>
            <w:fldChar w:fldCharType="end"/>
          </w:r>
        </w:p>
        <w:p w14:paraId="5EF233BA">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3864BBC2">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86"/>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"bookmark39"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8"/>
              <w:sz w:val="32"/>
              <w:szCs w:val="32"/>
            </w:rPr>
            <w:t>四</w:t>
          </w:r>
          <w:r>
            <w:rPr>
              <w:rFonts w:hint="eastAsia" w:ascii="仿宋_GB2312" w:hAnsi="仿宋_GB2312" w:eastAsia="仿宋_GB2312" w:cs="仿宋_GB2312"/>
              <w:spacing w:val="-2"/>
              <w:sz w:val="32"/>
              <w:szCs w:val="32"/>
            </w:rPr>
            <w:t>.</w:t>
          </w:r>
          <w:r>
            <w:rPr>
              <w:rFonts w:hint="eastAsia" w:ascii="黑体" w:hAnsi="黑体" w:eastAsia="黑体" w:cs="黑体"/>
              <w:color w:val="auto"/>
              <w:spacing w:val="-8"/>
              <w:sz w:val="32"/>
              <w:szCs w:val="32"/>
            </w:rPr>
            <w:t>经费保障</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36</w:t>
          </w:r>
          <w:r>
            <w:rPr>
              <w:rFonts w:hint="eastAsia" w:ascii="黑体" w:hAnsi="黑体" w:eastAsia="黑体" w:cs="黑体"/>
              <w:color w:val="auto"/>
              <w:spacing w:val="-4"/>
              <w:sz w:val="32"/>
              <w:szCs w:val="32"/>
            </w:rPr>
            <w:fldChar w:fldCharType="end"/>
          </w:r>
        </w:p>
      </w:sdtContent>
    </w:sdt>
    <w:p w14:paraId="5A287AEA">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86"/>
        <w:textAlignment w:val="baseline"/>
        <w:rPr>
          <w:rFonts w:hint="eastAsia" w:ascii="黑体" w:hAnsi="黑体" w:eastAsia="黑体" w:cs="黑体"/>
          <w:color w:val="auto"/>
          <w:sz w:val="32"/>
          <w:szCs w:val="32"/>
        </w:rPr>
      </w:pPr>
    </w:p>
    <w:sdt>
      <w:sdtPr>
        <w:rPr>
          <w:rFonts w:hint="eastAsia" w:ascii="黑体" w:hAnsi="黑体" w:eastAsia="黑体" w:cs="黑体"/>
          <w:color w:val="auto"/>
          <w:sz w:val="32"/>
          <w:szCs w:val="32"/>
        </w:rPr>
        <w:id w:val="147483567"/>
        <w:docPartObj>
          <w:docPartGallery w:val="Table of Contents"/>
          <w:docPartUnique/>
        </w:docPartObj>
      </w:sdtPr>
      <w:sdtEndPr>
        <w:rPr>
          <w:rFonts w:hint="eastAsia" w:ascii="宋体" w:hAnsi="宋体" w:eastAsia="宋体" w:cs="宋体"/>
          <w:color w:val="auto"/>
          <w:sz w:val="32"/>
          <w:szCs w:val="32"/>
        </w:rPr>
      </w:sdtEndPr>
      <w:sdtContent>
        <w:p w14:paraId="458BE947">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"bookmark40"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5"/>
              <w:sz w:val="32"/>
              <w:szCs w:val="32"/>
            </w:rPr>
            <w:t>五</w:t>
          </w:r>
          <w:r>
            <w:rPr>
              <w:rFonts w:hint="eastAsia" w:ascii="仿宋_GB2312" w:hAnsi="仿宋_GB2312" w:eastAsia="仿宋_GB2312" w:cs="仿宋_GB2312"/>
              <w:spacing w:val="-2"/>
              <w:sz w:val="32"/>
              <w:szCs w:val="32"/>
            </w:rPr>
            <w:t>.</w:t>
          </w:r>
          <w:r>
            <w:rPr>
              <w:rFonts w:hint="eastAsia" w:ascii="黑体" w:hAnsi="黑体" w:eastAsia="黑体" w:cs="黑体"/>
              <w:color w:val="auto"/>
              <w:spacing w:val="-5"/>
              <w:sz w:val="32"/>
              <w:szCs w:val="32"/>
            </w:rPr>
            <w:t>交通保障</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36</w:t>
          </w:r>
          <w:r>
            <w:rPr>
              <w:rFonts w:hint="eastAsia" w:ascii="黑体" w:hAnsi="黑体" w:eastAsia="黑体" w:cs="黑体"/>
              <w:color w:val="auto"/>
              <w:spacing w:val="-4"/>
              <w:sz w:val="32"/>
              <w:szCs w:val="32"/>
            </w:rPr>
            <w:fldChar w:fldCharType="end"/>
          </w:r>
        </w:p>
        <w:p w14:paraId="6D839DC7">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2FB86068">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598"/>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"bookmark41"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
              <w:sz w:val="32"/>
              <w:szCs w:val="32"/>
            </w:rPr>
            <w:t>第九章注意事项</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37</w:t>
          </w:r>
          <w:r>
            <w:rPr>
              <w:rFonts w:hint="eastAsia" w:ascii="黑体" w:hAnsi="黑体" w:eastAsia="黑体" w:cs="黑体"/>
              <w:color w:val="auto"/>
              <w:spacing w:val="-4"/>
              <w:sz w:val="32"/>
              <w:szCs w:val="32"/>
            </w:rPr>
            <w:fldChar w:fldCharType="end"/>
          </w:r>
        </w:p>
        <w:p w14:paraId="4CC8E892">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27DCCADD">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"bookmark42"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一</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现场注意事项</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37</w:t>
          </w:r>
          <w:r>
            <w:rPr>
              <w:rFonts w:hint="eastAsia" w:ascii="黑体" w:hAnsi="黑体" w:eastAsia="黑体" w:cs="黑体"/>
              <w:color w:val="auto"/>
              <w:spacing w:val="-4"/>
              <w:sz w:val="32"/>
              <w:szCs w:val="32"/>
            </w:rPr>
            <w:fldChar w:fldCharType="end"/>
          </w:r>
        </w:p>
        <w:p w14:paraId="27C9FA9B">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163DB725">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"bookmark43"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二</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后续处置</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37</w:t>
          </w:r>
          <w:r>
            <w:rPr>
              <w:rFonts w:hint="eastAsia" w:ascii="黑体" w:hAnsi="黑体" w:eastAsia="黑体" w:cs="黑体"/>
              <w:color w:val="auto"/>
              <w:spacing w:val="-4"/>
              <w:sz w:val="32"/>
              <w:szCs w:val="32"/>
            </w:rPr>
            <w:fldChar w:fldCharType="end"/>
          </w:r>
        </w:p>
        <w:p w14:paraId="38DDF4E8">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7C672D1F">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598"/>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"bookmark44"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1"/>
              <w:sz w:val="32"/>
              <w:szCs w:val="32"/>
            </w:rPr>
            <w:t>第十章应急预案管理</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39</w:t>
          </w:r>
          <w:r>
            <w:rPr>
              <w:rFonts w:hint="eastAsia" w:ascii="黑体" w:hAnsi="黑体" w:eastAsia="黑体" w:cs="黑体"/>
              <w:color w:val="auto"/>
              <w:spacing w:val="-4"/>
              <w:sz w:val="32"/>
              <w:szCs w:val="32"/>
            </w:rPr>
            <w:fldChar w:fldCharType="end"/>
          </w:r>
        </w:p>
        <w:p w14:paraId="72CFEB22">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4A7B7E9A">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"bookmark45"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5"/>
              <w:sz w:val="32"/>
              <w:szCs w:val="32"/>
            </w:rPr>
            <w:t>一</w:t>
          </w:r>
          <w:r>
            <w:rPr>
              <w:rFonts w:hint="eastAsia" w:ascii="仿宋_GB2312" w:hAnsi="仿宋_GB2312" w:eastAsia="仿宋_GB2312" w:cs="仿宋_GB2312"/>
              <w:spacing w:val="-2"/>
              <w:sz w:val="32"/>
              <w:szCs w:val="32"/>
            </w:rPr>
            <w:t>.</w:t>
          </w:r>
          <w:r>
            <w:rPr>
              <w:rFonts w:hint="eastAsia" w:ascii="黑体" w:hAnsi="黑体" w:eastAsia="黑体" w:cs="黑体"/>
              <w:color w:val="auto"/>
              <w:spacing w:val="-5"/>
              <w:sz w:val="32"/>
              <w:szCs w:val="32"/>
            </w:rPr>
            <w:t>宣传教育</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39</w:t>
          </w:r>
          <w:r>
            <w:rPr>
              <w:rFonts w:hint="eastAsia" w:ascii="黑体" w:hAnsi="黑体" w:eastAsia="黑体" w:cs="黑体"/>
              <w:color w:val="auto"/>
              <w:spacing w:val="-4"/>
              <w:sz w:val="32"/>
              <w:szCs w:val="32"/>
            </w:rPr>
            <w:fldChar w:fldCharType="end"/>
          </w:r>
        </w:p>
        <w:p w14:paraId="79C39867">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74989552">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"bookmark46"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2"/>
              <w:sz w:val="32"/>
              <w:szCs w:val="32"/>
            </w:rPr>
            <w:t>二</w:t>
          </w:r>
          <w:r>
            <w:rPr>
              <w:rFonts w:hint="eastAsia" w:ascii="仿宋_GB2312" w:hAnsi="仿宋_GB2312" w:eastAsia="仿宋_GB2312" w:cs="仿宋_GB2312"/>
              <w:spacing w:val="-2"/>
              <w:sz w:val="32"/>
              <w:szCs w:val="32"/>
            </w:rPr>
            <w:t>.</w:t>
          </w:r>
          <w:r>
            <w:rPr>
              <w:rFonts w:hint="eastAsia" w:ascii="黑体" w:hAnsi="黑体" w:eastAsia="黑体" w:cs="黑体"/>
              <w:color w:val="auto"/>
              <w:spacing w:val="-2"/>
              <w:sz w:val="32"/>
              <w:szCs w:val="32"/>
            </w:rPr>
            <w:t>应急培训</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39</w:t>
          </w:r>
          <w:r>
            <w:rPr>
              <w:rFonts w:hint="eastAsia" w:ascii="黑体" w:hAnsi="黑体" w:eastAsia="黑体" w:cs="黑体"/>
              <w:color w:val="auto"/>
              <w:spacing w:val="-4"/>
              <w:sz w:val="32"/>
              <w:szCs w:val="32"/>
            </w:rPr>
            <w:fldChar w:fldCharType="end"/>
          </w:r>
        </w:p>
        <w:p w14:paraId="503BB307">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1DD21C69">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1" w:line="400" w:lineRule="exact"/>
            <w:ind w:left="1160"/>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"bookmark47"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5"/>
              <w:sz w:val="32"/>
              <w:szCs w:val="32"/>
            </w:rPr>
            <w:t>三</w:t>
          </w:r>
          <w:r>
            <w:rPr>
              <w:rFonts w:hint="eastAsia" w:ascii="仿宋_GB2312" w:hAnsi="仿宋_GB2312" w:eastAsia="仿宋_GB2312" w:cs="仿宋_GB2312"/>
              <w:spacing w:val="-2"/>
              <w:sz w:val="32"/>
              <w:szCs w:val="32"/>
            </w:rPr>
            <w:t>.</w:t>
          </w:r>
          <w:r>
            <w:rPr>
              <w:rFonts w:hint="eastAsia" w:ascii="黑体" w:hAnsi="黑体" w:eastAsia="黑体" w:cs="黑体"/>
              <w:color w:val="auto"/>
              <w:spacing w:val="-5"/>
              <w:sz w:val="32"/>
              <w:szCs w:val="32"/>
            </w:rPr>
            <w:t>责任与奖惩</w:t>
          </w:r>
          <w:r>
            <w:rPr>
              <w:rFonts w:hint="eastAsia" w:ascii="黑体" w:hAnsi="黑体" w:eastAsia="黑体" w:cs="黑体"/>
              <w:color w:val="auto"/>
              <w:sz w:val="32"/>
              <w:szCs w:val="32"/>
            </w:rPr>
            <w:tab/>
          </w:r>
          <w:r>
            <w:rPr>
              <w:rFonts w:hint="eastAsia" w:ascii="黑体" w:hAnsi="黑体" w:eastAsia="黑体" w:cs="黑体"/>
              <w:color w:val="auto"/>
              <w:spacing w:val="-4"/>
              <w:sz w:val="32"/>
              <w:szCs w:val="32"/>
            </w:rPr>
            <w:t>39</w:t>
          </w:r>
          <w:r>
            <w:rPr>
              <w:rFonts w:hint="eastAsia" w:ascii="黑体" w:hAnsi="黑体" w:eastAsia="黑体" w:cs="黑体"/>
              <w:color w:val="auto"/>
              <w:spacing w:val="-4"/>
              <w:sz w:val="32"/>
              <w:szCs w:val="32"/>
            </w:rPr>
            <w:fldChar w:fldCharType="end"/>
          </w:r>
        </w:p>
        <w:p w14:paraId="61A46716">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77E645A0">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86"/>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"bookmark48"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8"/>
              <w:sz w:val="32"/>
              <w:szCs w:val="32"/>
            </w:rPr>
            <w:t>四</w:t>
          </w:r>
          <w:r>
            <w:rPr>
              <w:rFonts w:hint="eastAsia" w:ascii="黑体" w:hAnsi="黑体" w:eastAsia="黑体" w:cs="黑体"/>
              <w:color w:val="auto"/>
              <w:spacing w:val="-8"/>
              <w:sz w:val="32"/>
              <w:szCs w:val="32"/>
              <w:lang w:val="en-US" w:eastAsia="zh-CN"/>
            </w:rPr>
            <w:t>.</w:t>
          </w:r>
          <w:r>
            <w:rPr>
              <w:rFonts w:hint="eastAsia" w:ascii="黑体" w:hAnsi="黑体" w:eastAsia="黑体" w:cs="黑体"/>
              <w:color w:val="auto"/>
              <w:spacing w:val="-8"/>
              <w:sz w:val="32"/>
              <w:szCs w:val="32"/>
            </w:rPr>
            <w:t>工作评价</w:t>
          </w:r>
          <w:r>
            <w:rPr>
              <w:rFonts w:hint="eastAsia" w:ascii="黑体" w:hAnsi="黑体" w:eastAsia="黑体" w:cs="黑体"/>
              <w:color w:val="auto"/>
              <w:sz w:val="32"/>
              <w:szCs w:val="32"/>
            </w:rPr>
            <w:tab/>
          </w:r>
          <w:r>
            <w:rPr>
              <w:rFonts w:hint="eastAsia" w:ascii="黑体" w:hAnsi="黑体" w:eastAsia="黑体" w:cs="黑体"/>
              <w:color w:val="auto"/>
              <w:spacing w:val="-2"/>
              <w:sz w:val="32"/>
              <w:szCs w:val="32"/>
            </w:rPr>
            <w:t>40</w:t>
          </w:r>
          <w:r>
            <w:rPr>
              <w:rFonts w:hint="eastAsia" w:ascii="黑体" w:hAnsi="黑体" w:eastAsia="黑体" w:cs="黑体"/>
              <w:color w:val="auto"/>
              <w:spacing w:val="-2"/>
              <w:sz w:val="32"/>
              <w:szCs w:val="32"/>
            </w:rPr>
            <w:fldChar w:fldCharType="end"/>
          </w:r>
        </w:p>
        <w:p w14:paraId="3233D058">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4C12DFF0">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"bookmark49"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5"/>
              <w:sz w:val="32"/>
              <w:szCs w:val="32"/>
            </w:rPr>
            <w:t>五</w:t>
          </w:r>
          <w:r>
            <w:rPr>
              <w:rFonts w:hint="eastAsia" w:ascii="黑体" w:hAnsi="黑体" w:eastAsia="黑体" w:cs="黑体"/>
              <w:color w:val="auto"/>
              <w:spacing w:val="-5"/>
              <w:sz w:val="32"/>
              <w:szCs w:val="32"/>
              <w:lang w:val="en-US" w:eastAsia="zh-CN"/>
            </w:rPr>
            <w:t>.</w:t>
          </w:r>
          <w:r>
            <w:rPr>
              <w:rFonts w:hint="eastAsia" w:ascii="黑体" w:hAnsi="黑体" w:eastAsia="黑体" w:cs="黑体"/>
              <w:color w:val="auto"/>
              <w:spacing w:val="-5"/>
              <w:sz w:val="32"/>
              <w:szCs w:val="32"/>
            </w:rPr>
            <w:t>管理与更新</w:t>
          </w:r>
          <w:r>
            <w:rPr>
              <w:rFonts w:hint="eastAsia" w:ascii="黑体" w:hAnsi="黑体" w:eastAsia="黑体" w:cs="黑体"/>
              <w:color w:val="auto"/>
              <w:sz w:val="32"/>
              <w:szCs w:val="32"/>
            </w:rPr>
            <w:tab/>
          </w:r>
          <w:r>
            <w:rPr>
              <w:rFonts w:hint="eastAsia" w:ascii="黑体" w:hAnsi="黑体" w:eastAsia="黑体" w:cs="黑体"/>
              <w:color w:val="auto"/>
              <w:spacing w:val="-2"/>
              <w:sz w:val="32"/>
              <w:szCs w:val="32"/>
            </w:rPr>
            <w:t>40</w:t>
          </w:r>
          <w:r>
            <w:rPr>
              <w:rFonts w:hint="eastAsia" w:ascii="黑体" w:hAnsi="黑体" w:eastAsia="黑体" w:cs="黑体"/>
              <w:color w:val="auto"/>
              <w:spacing w:val="-2"/>
              <w:sz w:val="32"/>
              <w:szCs w:val="32"/>
            </w:rPr>
            <w:fldChar w:fldCharType="end"/>
          </w:r>
        </w:p>
        <w:p w14:paraId="3044F4BC">
          <w:pPr>
            <w:pStyle w:val="2"/>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黑体" w:hAnsi="黑体" w:eastAsia="黑体" w:cs="黑体"/>
              <w:color w:val="auto"/>
              <w:sz w:val="32"/>
              <w:szCs w:val="32"/>
            </w:rPr>
          </w:pPr>
        </w:p>
        <w:p w14:paraId="5A63C0BC">
          <w:pPr>
            <w:keepNext w:val="0"/>
            <w:keepLines w:val="0"/>
            <w:pageBreakBefore w:val="0"/>
            <w:widowControl/>
            <w:tabs>
              <w:tab w:val="right" w:leader="dot" w:pos="8327"/>
            </w:tabs>
            <w:kinsoku/>
            <w:wordWrap/>
            <w:overflowPunct/>
            <w:topLinePunct w:val="0"/>
            <w:autoSpaceDE w:val="0"/>
            <w:autoSpaceDN w:val="0"/>
            <w:bidi w:val="0"/>
            <w:adjustRightInd w:val="0"/>
            <w:snapToGrid w:val="0"/>
            <w:spacing w:before="92" w:line="400" w:lineRule="exact"/>
            <w:ind w:left="1164"/>
            <w:textAlignment w:val="baseline"/>
            <w:rPr>
              <w:rFonts w:hint="eastAsia" w:ascii="黑体" w:hAnsi="黑体" w:eastAsia="黑体" w:cs="黑体"/>
              <w:color w:val="auto"/>
              <w:sz w:val="32"/>
              <w:szCs w:val="32"/>
            </w:rPr>
          </w:pPr>
          <w:r>
            <w:rPr>
              <w:rFonts w:hint="eastAsia" w:ascii="黑体" w:hAnsi="黑体" w:eastAsia="黑体" w:cs="黑体"/>
              <w:color w:val="auto"/>
              <w:sz w:val="32"/>
              <w:szCs w:val="32"/>
            </w:rPr>
            <w:fldChar w:fldCharType="begin"/>
          </w:r>
          <w:r>
            <w:rPr>
              <w:rFonts w:hint="eastAsia" w:ascii="黑体" w:hAnsi="黑体" w:eastAsia="黑体" w:cs="黑体"/>
              <w:color w:val="auto"/>
              <w:sz w:val="32"/>
              <w:szCs w:val="32"/>
            </w:rPr>
            <w:instrText xml:space="preserve"> HYPERLINK \l "bookmark49" </w:instrText>
          </w:r>
          <w:r>
            <w:rPr>
              <w:rFonts w:hint="eastAsia" w:ascii="黑体" w:hAnsi="黑体" w:eastAsia="黑体" w:cs="黑体"/>
              <w:color w:val="auto"/>
              <w:sz w:val="32"/>
              <w:szCs w:val="32"/>
            </w:rPr>
            <w:fldChar w:fldCharType="separate"/>
          </w:r>
          <w:r>
            <w:rPr>
              <w:rFonts w:hint="eastAsia" w:ascii="黑体" w:hAnsi="黑体" w:eastAsia="黑体" w:cs="黑体"/>
              <w:color w:val="auto"/>
              <w:spacing w:val="-5"/>
              <w:sz w:val="32"/>
              <w:szCs w:val="32"/>
              <w:lang w:val="en-US" w:eastAsia="zh-CN"/>
            </w:rPr>
            <w:t>六.实施时间</w:t>
          </w:r>
          <w:r>
            <w:rPr>
              <w:rFonts w:hint="eastAsia" w:ascii="黑体" w:hAnsi="黑体" w:eastAsia="黑体" w:cs="黑体"/>
              <w:color w:val="auto"/>
              <w:sz w:val="32"/>
              <w:szCs w:val="32"/>
            </w:rPr>
            <w:tab/>
          </w:r>
          <w:r>
            <w:rPr>
              <w:rFonts w:hint="eastAsia" w:ascii="黑体" w:hAnsi="黑体" w:eastAsia="黑体" w:cs="黑体"/>
              <w:color w:val="auto"/>
              <w:spacing w:val="-2"/>
              <w:sz w:val="32"/>
              <w:szCs w:val="32"/>
            </w:rPr>
            <w:t>40</w:t>
          </w:r>
          <w:r>
            <w:rPr>
              <w:rFonts w:hint="eastAsia" w:ascii="黑体" w:hAnsi="黑体" w:eastAsia="黑体" w:cs="黑体"/>
              <w:color w:val="auto"/>
              <w:spacing w:val="-2"/>
              <w:sz w:val="32"/>
              <w:szCs w:val="32"/>
            </w:rPr>
            <w:fldChar w:fldCharType="end"/>
          </w:r>
        </w:p>
        <w:p w14:paraId="4467792F">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sdtContent>
    </w:sdt>
    <w:p w14:paraId="09191E0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5BA2FF6B">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0F315DC0">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4DC3A4A2">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24E7A780">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65AF628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142BC4F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514D867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6CAFA3D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27096BA7">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7CA68E46">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4057A6A1">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22580E57">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53F2C48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258713D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第一章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14:paraId="56A386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一、编制目的</w:t>
      </w:r>
    </w:p>
    <w:p w14:paraId="16C1159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做好2024年我市城区内涝防治抢险工作，规范内涝防治的应急管理及响应程序，迅速有效的实施内涝防治及抢险应急处置，避免或最大限度地减少灾害造成的人员伤亡和财产损失，保障人民群众的生命财产安全。</w:t>
      </w:r>
    </w:p>
    <w:p w14:paraId="431B71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二、编制依据</w:t>
      </w:r>
    </w:p>
    <w:p w14:paraId="6ADB24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《国务院办公厅关于加强城市内涝治理的实施意见》</w:t>
      </w:r>
    </w:p>
    <w:p w14:paraId="05410B2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《中华人民共和国突发事件应对法》</w:t>
      </w:r>
    </w:p>
    <w:p w14:paraId="7FDF085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《中华人民共和国防洪法》</w:t>
      </w:r>
    </w:p>
    <w:p w14:paraId="3DFF4A5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《中华人民共和国防汛条例》</w:t>
      </w:r>
    </w:p>
    <w:p w14:paraId="64D87E5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《国家突发事件应急预案管理办法》（国办发〔2013〕101号）</w:t>
      </w:r>
    </w:p>
    <w:p w14:paraId="4E4A532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《生产安全事故应急条例》中华人民共和国国务院令第708号</w:t>
      </w:r>
    </w:p>
    <w:p w14:paraId="66977C0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《国家突发公共事件总体应急预案》</w:t>
      </w:r>
    </w:p>
    <w:p w14:paraId="45466AC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《国家防汛抗旱应急预案》</w:t>
      </w:r>
    </w:p>
    <w:p w14:paraId="2D201AB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《城镇排水与污水处理条例》</w:t>
      </w:r>
    </w:p>
    <w:p w14:paraId="1FC9705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《黑龙江省突发公共事件总体应急预案》</w:t>
      </w:r>
    </w:p>
    <w:p w14:paraId="269BDE3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《黑龙江省突发事件应急预案管理办法》</w:t>
      </w:r>
    </w:p>
    <w:p w14:paraId="57C4E97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《黑龙江省突发环境事件应急预案》</w:t>
      </w:r>
    </w:p>
    <w:p w14:paraId="66B8E49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《黑龙江省气象灾害应急预案》</w:t>
      </w:r>
    </w:p>
    <w:p w14:paraId="48C3C02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《黑龙江省富锦市城市防洪规划报告》</w:t>
      </w:r>
    </w:p>
    <w:p w14:paraId="7DD114B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《洪涝灾情评估标准》（SL579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2012）</w:t>
      </w:r>
    </w:p>
    <w:p w14:paraId="4A8BC7E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《城市防洪应急预案编制导则》（SL754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2017）</w:t>
      </w:r>
    </w:p>
    <w:p w14:paraId="308284F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《防洪风险评价导则》（SL602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2013）</w:t>
      </w:r>
    </w:p>
    <w:p w14:paraId="250B571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《城镇内涝防治技术规范》（GB51222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2017）</w:t>
      </w:r>
    </w:p>
    <w:p w14:paraId="3A3DACA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《室外排水设计标准》（GB50014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2021）</w:t>
      </w:r>
    </w:p>
    <w:p w14:paraId="3B853A9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其它相关法律、法规、标准和规范</w:t>
      </w:r>
    </w:p>
    <w:p w14:paraId="3596A3A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三</w:t>
      </w:r>
      <w:r>
        <w:rPr>
          <w:rFonts w:hint="eastAsia" w:ascii="楷体" w:hAnsi="楷体" w:eastAsia="楷体" w:cs="楷体"/>
          <w:sz w:val="32"/>
          <w:szCs w:val="32"/>
          <w:lang w:eastAsia="zh-CN"/>
        </w:rPr>
        <w:t>、</w:t>
      </w:r>
      <w:r>
        <w:rPr>
          <w:rFonts w:hint="eastAsia" w:ascii="楷体" w:hAnsi="楷体" w:eastAsia="楷体" w:cs="楷体"/>
          <w:sz w:val="32"/>
          <w:szCs w:val="32"/>
        </w:rPr>
        <w:t>适用范围</w:t>
      </w:r>
    </w:p>
    <w:p w14:paraId="19E5AFD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本预案适用于我市城区建成区市政道路及与排水系统有关区域积水内涝的强排处置，主要包括大到暴雨或江河倒灌造成的局部或大范围积水内涝、交通受阻以及危及市区百姓出行等事件。</w:t>
      </w:r>
    </w:p>
    <w:p w14:paraId="02F429A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四</w:t>
      </w:r>
      <w:r>
        <w:rPr>
          <w:rFonts w:hint="eastAsia" w:ascii="楷体" w:hAnsi="楷体" w:eastAsia="楷体" w:cs="楷体"/>
          <w:sz w:val="32"/>
          <w:szCs w:val="32"/>
          <w:lang w:eastAsia="zh-CN"/>
        </w:rPr>
        <w:t>、</w:t>
      </w:r>
      <w:r>
        <w:rPr>
          <w:rFonts w:hint="eastAsia" w:ascii="楷体" w:hAnsi="楷体" w:eastAsia="楷体" w:cs="楷体"/>
          <w:sz w:val="32"/>
          <w:szCs w:val="32"/>
        </w:rPr>
        <w:t>工作原则</w:t>
      </w:r>
    </w:p>
    <w:p w14:paraId="5E1B03E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内涝防治抢险实行“安全第一、常备不懈，以防为主、全力抢险”的方针，遵循团结协作和局部利益服从大局利益的原则。</w:t>
      </w:r>
    </w:p>
    <w:p w14:paraId="75445A2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以人为本、安全第一，以保障人民群众的生命与财产安全，以最大限度地减少城区内涝造成的人员伤亡和财产损失为首要任务，同时切实加强应急处置人员的安全防护。</w:t>
      </w:r>
    </w:p>
    <w:p w14:paraId="525C787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第二章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城市概况</w:t>
      </w:r>
    </w:p>
    <w:p w14:paraId="29C18E4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一</w:t>
      </w:r>
      <w:r>
        <w:rPr>
          <w:rFonts w:hint="eastAsia" w:ascii="楷体" w:hAnsi="楷体" w:eastAsia="楷体" w:cs="楷体"/>
          <w:sz w:val="32"/>
          <w:szCs w:val="32"/>
          <w:lang w:eastAsia="zh-CN"/>
        </w:rPr>
        <w:t>、</w:t>
      </w:r>
      <w:r>
        <w:rPr>
          <w:rFonts w:hint="eastAsia" w:ascii="楷体" w:hAnsi="楷体" w:eastAsia="楷体" w:cs="楷体"/>
          <w:sz w:val="32"/>
          <w:szCs w:val="32"/>
        </w:rPr>
        <w:t>自然地理</w:t>
      </w:r>
    </w:p>
    <w:p w14:paraId="0EBFA2E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地理位置</w:t>
      </w:r>
    </w:p>
    <w:p w14:paraId="73995F1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富锦市地处黑龙江省东北部，松花江下游南岸，是三江平原腹地的中心城市，西与桦川、集贤县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友谊县</w:t>
      </w:r>
      <w:r>
        <w:rPr>
          <w:rFonts w:hint="eastAsia" w:ascii="仿宋_GB2312" w:hAnsi="仿宋_GB2312" w:eastAsia="仿宋_GB2312" w:cs="仿宋_GB2312"/>
          <w:sz w:val="32"/>
          <w:szCs w:val="32"/>
        </w:rPr>
        <w:t>毗连；东与饶河县、同江市为邻；南与宝清县接壤；北与绥滨县隔江相望。</w:t>
      </w:r>
    </w:p>
    <w:p w14:paraId="21BDA59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地形地貌</w:t>
      </w:r>
    </w:p>
    <w:p w14:paraId="3F1A4B7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富锦市地势较为平坦，呈南高北低走向，地面坡度较小，约为3度左右，海拔高度在60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80m之间。地质属第四纪冲击层，松花江冲击平原，内陆沉降盆地。根据地质勘察资料，下部粉土质粘土较厚，厚度4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2m，地基承载力一般在150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200MP之间。根据《中国地震烈度区划图》，富锦市地区地震烈度小于6度。</w:t>
      </w:r>
    </w:p>
    <w:p w14:paraId="25B36B1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气候条件</w:t>
      </w:r>
    </w:p>
    <w:p w14:paraId="77E1D40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富锦市属温和半湿润农业气候区，有明显的大陆性季风特点。四季分明，春季风力大，蒸发大于降水；夏季气温高，降水集中；秋季降温快，冬季漫长，寒冷、干燥。</w:t>
      </w:r>
    </w:p>
    <w:p w14:paraId="4728CA1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富锦30年整编气象资料（1981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2010年）年平均气温3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4℃,最冷月平均气温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0℃,最热月平均气温22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2℃,历年极端最高气温38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9℃,极端最低气温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8℃。年平均降水量512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3毫米，其中5</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9月降水量404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1毫米，占全年降水量的79％，年平均相对湿度68％。近10年来，年平均日照2400小时。年平均蒸发量1141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0毫米。稳定通过10℃积温为2724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3℃,无霜期在136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188天。主要气象灾害有低温冷害、霜冻、干旱、洪涝、大风、冰雹等。富锦市位于黑龙江省第二积温带下限、第三积温带上限。富锦区域年平均降水量512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3毫米，其中作物生长期(5月</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9月)降水404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1毫米，占全年降水总量的79％，最多年降水量为2019年1072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9毫米，最少年降水量为1999年308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5毫米，年蒸发量1226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4毫米，蒸发量大于降水量，特点是5</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6月份蒸发量显著，达415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0毫米，约占全年的三分之一，蒸发量大于降水量容易山现春旱，秋季蒸发少易产生秋涝。全年平均相对湿度为67％，春季为61％，夏季76%;全年平均地面温度4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8℃,超平均气温1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4℃。</w:t>
      </w:r>
    </w:p>
    <w:p w14:paraId="7C7DCF2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水文地质情况</w:t>
      </w:r>
    </w:p>
    <w:p w14:paraId="07E8425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（1）水文状况</w:t>
      </w:r>
    </w:p>
    <w:p w14:paraId="451222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过境河流松花江流经84公里，最高水位61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02米，最低枯水位55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03米，每秒最大流量16400立方米，最小流量360立方米，是灌溉、水运、渔业生产的主要水域；内七星河流长73公里，挠力河流长240公里。境内河流外七星河流长183公里，季节性河流有别拉洪河、寒</w:t>
      </w:r>
      <w:r>
        <w:rPr>
          <w:rFonts w:hint="eastAsia" w:ascii="仿宋_GB2312" w:hAnsi="仿宋_GB2312" w:eastAsia="仿宋_GB2312" w:cs="仿宋_GB2312"/>
          <w:sz w:val="32"/>
          <w:szCs w:val="32"/>
          <w:lang w:val="en-US" w:eastAsia="zh-CN"/>
        </w:rPr>
        <w:t>葱</w:t>
      </w:r>
      <w:r>
        <w:rPr>
          <w:rFonts w:hint="eastAsia" w:ascii="仿宋_GB2312" w:hAnsi="仿宋_GB2312" w:eastAsia="仿宋_GB2312" w:cs="仿宋_GB2312"/>
          <w:sz w:val="32"/>
          <w:szCs w:val="32"/>
        </w:rPr>
        <w:t>沟、漂筏河、莲花河、七星河等。</w:t>
      </w:r>
    </w:p>
    <w:p w14:paraId="4DD621D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（2）地表径流</w:t>
      </w:r>
    </w:p>
    <w:p w14:paraId="1221C5D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富锦市地表水源仅有一处为松花江，松花江在市区北部由西向东流过，历史最高洪水位为61</w:t>
      </w:r>
      <w:r>
        <w:rPr>
          <w:rFonts w:hint="eastAsia" w:ascii="仿宋_GB2312" w:hAnsi="仿宋_GB2312" w:eastAsia="仿宋_GB2312" w:cs="仿宋_GB2312"/>
          <w:sz w:val="32"/>
          <w:szCs w:val="32"/>
          <w:lang w:val="en-US" w:eastAsia="zh-CN"/>
        </w:rPr>
        <w:t>.93</w:t>
      </w:r>
      <w:r>
        <w:rPr>
          <w:rFonts w:hint="eastAsia" w:ascii="仿宋_GB2312" w:hAnsi="仿宋_GB2312" w:eastAsia="仿宋_GB2312" w:cs="仿宋_GB2312"/>
          <w:sz w:val="32"/>
          <w:szCs w:val="32"/>
        </w:rPr>
        <w:t>m（</w:t>
      </w:r>
      <w:r>
        <w:rPr>
          <w:rFonts w:hint="eastAsia" w:ascii="仿宋_GB2312" w:hAnsi="仿宋_GB2312" w:eastAsia="仿宋_GB2312" w:cs="仿宋_GB2312"/>
          <w:sz w:val="32"/>
          <w:szCs w:val="32"/>
          <w:lang w:val="en-US" w:eastAsia="zh-CN"/>
        </w:rPr>
        <w:t>2020</w:t>
      </w:r>
      <w:r>
        <w:rPr>
          <w:rFonts w:hint="eastAsia" w:ascii="仿宋_GB2312" w:hAnsi="仿宋_GB2312" w:eastAsia="仿宋_GB2312" w:cs="仿宋_GB2312"/>
          <w:sz w:val="32"/>
          <w:szCs w:val="32"/>
        </w:rPr>
        <w:t>年），最低水位</w:t>
      </w:r>
      <w:r>
        <w:rPr>
          <w:rFonts w:hint="eastAsia" w:ascii="仿宋_GB2312" w:hAnsi="仿宋_GB2312" w:eastAsia="仿宋_GB2312" w:cs="仿宋_GB2312"/>
          <w:sz w:val="32"/>
          <w:szCs w:val="32"/>
          <w:lang w:val="en-US" w:eastAsia="zh-CN"/>
        </w:rPr>
        <w:t>54.66</w:t>
      </w:r>
      <w:r>
        <w:rPr>
          <w:rFonts w:hint="eastAsia" w:ascii="仿宋_GB2312" w:hAnsi="仿宋_GB2312" w:eastAsia="仿宋_GB2312" w:cs="仿宋_GB2312"/>
          <w:sz w:val="32"/>
          <w:szCs w:val="32"/>
        </w:rPr>
        <w:t>m</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2003年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，平均水位56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74m。最大流量16400m³/s，最小流量307</w:t>
      </w:r>
      <w:r>
        <w:rPr>
          <w:rFonts w:hint="eastAsia" w:ascii="仿宋_GB2312" w:hAnsi="仿宋_GB2312" w:eastAsia="仿宋_GB2312" w:cs="仿宋_GB2312"/>
          <w:sz w:val="32"/>
          <w:szCs w:val="32"/>
          <w:lang w:val="en-US" w:eastAsia="zh-CN"/>
        </w:rPr>
        <w:t>m³</w:t>
      </w:r>
      <w:r>
        <w:rPr>
          <w:rFonts w:hint="eastAsia" w:ascii="仿宋_GB2312" w:hAnsi="仿宋_GB2312" w:eastAsia="仿宋_GB2312" w:cs="仿宋_GB2312"/>
          <w:sz w:val="32"/>
          <w:szCs w:val="32"/>
        </w:rPr>
        <w:t>/s。富锦市位于松花江下游，根据《黑龙江省地面水环境质量功能区划分和水环境质量补充标准》（DB23/485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1998）该河段为Ⅲ类水体，水量充足。</w:t>
      </w:r>
    </w:p>
    <w:p w14:paraId="71BBAB6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二</w:t>
      </w:r>
      <w:r>
        <w:rPr>
          <w:rFonts w:hint="eastAsia" w:ascii="楷体" w:hAnsi="楷体" w:eastAsia="楷体" w:cs="楷体"/>
          <w:b w:val="0"/>
          <w:bCs w:val="0"/>
          <w:sz w:val="32"/>
          <w:szCs w:val="32"/>
          <w:lang w:eastAsia="zh-CN"/>
        </w:rPr>
        <w:t>、</w:t>
      </w:r>
      <w:r>
        <w:rPr>
          <w:rFonts w:hint="eastAsia" w:ascii="楷体" w:hAnsi="楷体" w:eastAsia="楷体" w:cs="楷体"/>
          <w:b w:val="0"/>
          <w:bCs w:val="0"/>
          <w:sz w:val="32"/>
          <w:szCs w:val="32"/>
        </w:rPr>
        <w:t>排水现状</w:t>
      </w:r>
    </w:p>
    <w:p w14:paraId="759F4C5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排水管网</w:t>
      </w:r>
    </w:p>
    <w:p w14:paraId="4B577B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富锦市城区地势比较平坦，总体趋势西南高、东北低，松花江在城市北侧自西向东流过，城区内无内河。富锦市现状城区排水体制以合流制为主，少量路段建有分流制管道，末端与合流管道混接，现状排水管渠总长约121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6公里(含连接管)，其中：合流管渠长103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8公里；污水管道7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2公里；雨水管道10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6公里。另有富锦市城区东部易涝点治理、富锦市西部城区排水防涝改造、富锦市老城区排水防涝改造等项目正在建设中（上述项目新建雨水管渠39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321km）。现有沟渠7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51km（红旗</w:t>
      </w:r>
      <w:r>
        <w:rPr>
          <w:rFonts w:hint="eastAsia" w:ascii="仿宋_GB2312" w:hAnsi="仿宋_GB2312" w:eastAsia="仿宋_GB2312" w:cs="仿宋_GB2312"/>
          <w:sz w:val="32"/>
          <w:szCs w:val="32"/>
          <w:lang w:val="en-US" w:eastAsia="zh-CN"/>
        </w:rPr>
        <w:t>灌</w:t>
      </w:r>
      <w:r>
        <w:rPr>
          <w:rFonts w:hint="eastAsia" w:ascii="仿宋_GB2312" w:hAnsi="仿宋_GB2312" w:eastAsia="仿宋_GB2312" w:cs="仿宋_GB2312"/>
          <w:sz w:val="32"/>
          <w:szCs w:val="32"/>
        </w:rPr>
        <w:t>渠、幸福</w:t>
      </w:r>
      <w:r>
        <w:rPr>
          <w:rFonts w:hint="eastAsia" w:ascii="仿宋_GB2312" w:hAnsi="仿宋_GB2312" w:eastAsia="仿宋_GB2312" w:cs="仿宋_GB2312"/>
          <w:sz w:val="32"/>
          <w:szCs w:val="32"/>
          <w:lang w:val="en-US" w:eastAsia="zh-CN"/>
        </w:rPr>
        <w:t>灌</w:t>
      </w:r>
      <w:r>
        <w:rPr>
          <w:rFonts w:hint="eastAsia" w:ascii="仿宋_GB2312" w:hAnsi="仿宋_GB2312" w:eastAsia="仿宋_GB2312" w:cs="仿宋_GB2312"/>
          <w:sz w:val="32"/>
          <w:szCs w:val="32"/>
        </w:rPr>
        <w:t>渠），3座既有穿堤排水建筑物。</w:t>
      </w:r>
    </w:p>
    <w:p w14:paraId="226D4B1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现状排水管道合流总干线起于富绥路，沿锦绣大街（管径d600</w:t>
      </w:r>
      <w:r>
        <w:rPr>
          <w:rFonts w:hint="eastAsia" w:ascii="仿宋_GB2312" w:hAnsi="仿宋_GB2312" w:eastAsia="仿宋_GB2312" w:cs="仿宋_GB2312"/>
          <w:sz w:val="32"/>
          <w:szCs w:val="32"/>
          <w:lang w:eastAsia="zh-CN"/>
        </w:rPr>
        <w:t>毫米</w:t>
      </w:r>
      <w:r>
        <w:rPr>
          <w:rFonts w:hint="eastAsia" w:ascii="仿宋_GB2312" w:hAnsi="仿宋_GB2312" w:eastAsia="仿宋_GB2312" w:cs="仿宋_GB2312"/>
          <w:sz w:val="32"/>
          <w:szCs w:val="32"/>
        </w:rPr>
        <w:t>）由西向东敷设至东平路后折向北，再沿东平路向北敷设至南八街后折向东，沿南八街向东敷设至民华路后折向北，继续敷设至进思大街折向西，至专用线折向北到永兴泵站，最后向西北敷设至污水处理厂，东平路至污水处理厂均为石砌暗渠2000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2000～2500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2000</w:t>
      </w:r>
      <w:r>
        <w:rPr>
          <w:rFonts w:hint="eastAsia" w:ascii="仿宋_GB2312" w:hAnsi="仿宋_GB2312" w:eastAsia="仿宋_GB2312" w:cs="仿宋_GB2312"/>
          <w:sz w:val="32"/>
          <w:szCs w:val="32"/>
          <w:lang w:eastAsia="zh-CN"/>
        </w:rPr>
        <w:t>毫米</w:t>
      </w:r>
      <w:r>
        <w:rPr>
          <w:rFonts w:hint="eastAsia" w:ascii="仿宋_GB2312" w:hAnsi="仿宋_GB2312" w:eastAsia="仿宋_GB2312" w:cs="仿宋_GB2312"/>
          <w:sz w:val="32"/>
          <w:szCs w:val="32"/>
        </w:rPr>
        <w:t>。其中，西部区合流干线沿温馨路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幸福路、西平路由南向北至滨江大街汇合，污水经六小污水泵站（800</w:t>
      </w:r>
      <w:r>
        <w:rPr>
          <w:rFonts w:hint="eastAsia" w:ascii="仿宋_GB2312" w:hAnsi="仿宋_GB2312" w:eastAsia="仿宋_GB2312" w:cs="仿宋_GB2312"/>
          <w:sz w:val="32"/>
          <w:szCs w:val="32"/>
          <w:lang w:eastAsia="zh-CN"/>
        </w:rPr>
        <w:t>m³</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小时</w:t>
      </w:r>
      <w:r>
        <w:rPr>
          <w:rFonts w:hint="eastAsia" w:ascii="仿宋_GB2312" w:hAnsi="仿宋_GB2312" w:eastAsia="仿宋_GB2312" w:cs="仿宋_GB2312"/>
          <w:sz w:val="32"/>
          <w:szCs w:val="32"/>
        </w:rPr>
        <w:t>）提升压力至新开路高点后汇入滨江大街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北三街干管，接入合流总干线，管径d400～d1000</w:t>
      </w:r>
      <w:r>
        <w:rPr>
          <w:rFonts w:hint="eastAsia" w:ascii="仿宋_GB2312" w:hAnsi="仿宋_GB2312" w:eastAsia="仿宋_GB2312" w:cs="仿宋_GB2312"/>
          <w:sz w:val="32"/>
          <w:szCs w:val="32"/>
          <w:lang w:eastAsia="zh-CN"/>
        </w:rPr>
        <w:t>毫米</w:t>
      </w:r>
      <w:r>
        <w:rPr>
          <w:rFonts w:hint="eastAsia" w:ascii="仿宋_GB2312" w:hAnsi="仿宋_GB2312" w:eastAsia="仿宋_GB2312" w:cs="仿宋_GB2312"/>
          <w:sz w:val="32"/>
          <w:szCs w:val="32"/>
        </w:rPr>
        <w:t>。中部（西平路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东平路）、东部（东平路以东）合流干线主要沿中央大街、文明街、进思大街、南二道街、正大街、北二道街、滨江大街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北三道街等由西向东汇入合流总干线，支管沿南北向道路按地势就近汇入干线，管径d400～d1000</w:t>
      </w:r>
      <w:r>
        <w:rPr>
          <w:rFonts w:hint="eastAsia" w:ascii="仿宋_GB2312" w:hAnsi="仿宋_GB2312" w:eastAsia="仿宋_GB2312" w:cs="仿宋_GB2312"/>
          <w:sz w:val="32"/>
          <w:szCs w:val="32"/>
          <w:lang w:eastAsia="zh-CN"/>
        </w:rPr>
        <w:t>毫米</w:t>
      </w:r>
      <w:r>
        <w:rPr>
          <w:rFonts w:hint="eastAsia" w:ascii="仿宋_GB2312" w:hAnsi="仿宋_GB2312" w:eastAsia="仿宋_GB2312" w:cs="仿宋_GB2312"/>
          <w:sz w:val="32"/>
          <w:szCs w:val="32"/>
        </w:rPr>
        <w:t>。在东平路北侧设有东平路泵站（1200</w:t>
      </w:r>
      <w:r>
        <w:rPr>
          <w:rFonts w:hint="eastAsia" w:ascii="仿宋_GB2312" w:hAnsi="仿宋_GB2312" w:eastAsia="仿宋_GB2312" w:cs="仿宋_GB2312"/>
          <w:sz w:val="32"/>
          <w:szCs w:val="32"/>
          <w:lang w:val="en-US" w:eastAsia="zh-CN"/>
        </w:rPr>
        <w:t>m³</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小时</w:t>
      </w:r>
      <w:r>
        <w:rPr>
          <w:rFonts w:hint="eastAsia" w:ascii="仿宋_GB2312" w:hAnsi="仿宋_GB2312" w:eastAsia="仿宋_GB2312" w:cs="仿宋_GB2312"/>
          <w:sz w:val="32"/>
          <w:szCs w:val="32"/>
        </w:rPr>
        <w:t>），因管道走向及泵站出水口能力等原因，仅能溢流周边少量雨水。在城区东北部设有永兴泵站（2880</w:t>
      </w:r>
      <w:r>
        <w:rPr>
          <w:rFonts w:hint="eastAsia" w:ascii="仿宋_GB2312" w:hAnsi="仿宋_GB2312" w:eastAsia="仿宋_GB2312" w:cs="仿宋_GB2312"/>
          <w:sz w:val="32"/>
          <w:szCs w:val="32"/>
          <w:lang w:val="en-US" w:eastAsia="zh-CN"/>
        </w:rPr>
        <w:t>m³</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小时</w:t>
      </w:r>
      <w:r>
        <w:rPr>
          <w:rFonts w:hint="eastAsia" w:ascii="仿宋_GB2312" w:hAnsi="仿宋_GB2312" w:eastAsia="仿宋_GB2312" w:cs="仿宋_GB2312"/>
          <w:sz w:val="32"/>
          <w:szCs w:val="32"/>
        </w:rPr>
        <w:t>，同时设有临时水泵及临时过坝管），城区大部分雨水通过该泵站溢流。</w:t>
      </w:r>
    </w:p>
    <w:p w14:paraId="47F29C5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排水设施现状</w:t>
      </w:r>
    </w:p>
    <w:p w14:paraId="6D1B1A1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富锦市城区内共设泵站5座，其中雨水泵站3座，污水泵站2座。</w:t>
      </w:r>
    </w:p>
    <w:p w14:paraId="50A34F7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雨水泵站：</w:t>
      </w:r>
    </w:p>
    <w:p w14:paraId="3946825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（1）幸福路雨水泵站</w:t>
      </w:r>
    </w:p>
    <w:p w14:paraId="085789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幸福路雨水泵站位于东经132°0′15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66″北纬47°14′49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59″，富锦市锦西新区与老城区交界线上，幸福路的最北端。泵站内有混流式清水泵2台，电机30千瓦，每台流量750</w:t>
      </w:r>
      <w:r>
        <w:rPr>
          <w:rFonts w:hint="eastAsia" w:ascii="仿宋_GB2312" w:hAnsi="仿宋_GB2312" w:eastAsia="仿宋_GB2312" w:cs="仿宋_GB2312"/>
          <w:sz w:val="32"/>
          <w:szCs w:val="32"/>
          <w:lang w:val="en-US" w:eastAsia="zh-CN"/>
        </w:rPr>
        <w:t>m³</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小时</w:t>
      </w:r>
      <w:r>
        <w:rPr>
          <w:rFonts w:hint="eastAsia" w:ascii="仿宋_GB2312" w:hAnsi="仿宋_GB2312" w:eastAsia="仿宋_GB2312" w:cs="仿宋_GB2312"/>
          <w:sz w:val="32"/>
          <w:szCs w:val="32"/>
        </w:rPr>
        <w:t>。闸门北水泥台高程60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597米，南侧水泥台地面高程61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098米。</w:t>
      </w:r>
    </w:p>
    <w:p w14:paraId="62B1777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（2）永兴雨水泵站</w:t>
      </w:r>
    </w:p>
    <w:p w14:paraId="0460928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永兴雨水泵站位于东经132°02′35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94″北纬47°16′30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59″，泵站内有混流式清水泵2台，电机55千瓦，每台流量1440</w:t>
      </w:r>
      <w:r>
        <w:rPr>
          <w:rFonts w:hint="eastAsia" w:ascii="仿宋_GB2312" w:hAnsi="仿宋_GB2312" w:eastAsia="仿宋_GB2312" w:cs="仿宋_GB2312"/>
          <w:sz w:val="32"/>
          <w:szCs w:val="32"/>
          <w:lang w:eastAsia="zh-CN"/>
        </w:rPr>
        <w:t>m³</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小时</w:t>
      </w:r>
      <w:r>
        <w:rPr>
          <w:rFonts w:hint="eastAsia" w:ascii="仿宋_GB2312" w:hAnsi="仿宋_GB2312" w:eastAsia="仿宋_GB2312" w:cs="仿宋_GB2312"/>
          <w:sz w:val="32"/>
          <w:szCs w:val="32"/>
        </w:rPr>
        <w:t>。闸门北水泥台高程60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008米，南侧水泥台地面高程61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679米。</w:t>
      </w:r>
    </w:p>
    <w:p w14:paraId="779C50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（3）东平路雨水泵站</w:t>
      </w:r>
    </w:p>
    <w:p w14:paraId="4234CD2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东平路雨水泵站位于东经132°01′59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21″北纬47°15′52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76″。泵站内有真空泵一台，电机型号Y180L</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4，22千瓦，流量300</w:t>
      </w:r>
      <w:r>
        <w:rPr>
          <w:rFonts w:hint="eastAsia" w:ascii="仿宋_GB2312" w:hAnsi="仿宋_GB2312" w:eastAsia="仿宋_GB2312" w:cs="仿宋_GB2312"/>
          <w:sz w:val="32"/>
          <w:szCs w:val="32"/>
          <w:lang w:val="en-US" w:eastAsia="zh-CN"/>
        </w:rPr>
        <w:t>m³</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小时</w:t>
      </w:r>
      <w:r>
        <w:rPr>
          <w:rFonts w:hint="eastAsia" w:ascii="仿宋_GB2312" w:hAnsi="仿宋_GB2312" w:eastAsia="仿宋_GB2312" w:cs="仿宋_GB2312"/>
          <w:sz w:val="32"/>
          <w:szCs w:val="32"/>
        </w:rPr>
        <w:t>；轴流泵一台，电机型号Y2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200L</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4，30千瓦，流量900</w:t>
      </w:r>
      <w:r>
        <w:rPr>
          <w:rFonts w:hint="eastAsia" w:ascii="仿宋_GB2312" w:hAnsi="仿宋_GB2312" w:eastAsia="仿宋_GB2312" w:cs="仿宋_GB2312"/>
          <w:sz w:val="32"/>
          <w:szCs w:val="32"/>
          <w:lang w:val="en-US" w:eastAsia="zh-CN"/>
        </w:rPr>
        <w:t>m³</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小时</w:t>
      </w:r>
      <w:r>
        <w:rPr>
          <w:rFonts w:hint="eastAsia" w:ascii="仿宋_GB2312" w:hAnsi="仿宋_GB2312" w:eastAsia="仿宋_GB2312" w:cs="仿宋_GB2312"/>
          <w:sz w:val="32"/>
          <w:szCs w:val="32"/>
        </w:rPr>
        <w:t>。</w:t>
      </w:r>
    </w:p>
    <w:p w14:paraId="327CC3B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污水泵站：</w:t>
      </w:r>
    </w:p>
    <w:p w14:paraId="4B3D9AF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（1）六小污水泵站</w:t>
      </w:r>
    </w:p>
    <w:p w14:paraId="5D9DBD2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泵站内有200WQ400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45潜水排污泵2台，150WQ250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30潜水排污泵2台，电机37千瓦，两用两备，每台流量400</w:t>
      </w:r>
      <w:r>
        <w:rPr>
          <w:rFonts w:hint="eastAsia" w:ascii="仿宋_GB2312" w:hAnsi="仿宋_GB2312" w:eastAsia="仿宋_GB2312" w:cs="仿宋_GB2312"/>
          <w:sz w:val="32"/>
          <w:szCs w:val="32"/>
          <w:lang w:val="en-US" w:eastAsia="zh-CN"/>
        </w:rPr>
        <w:t>m³</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小时</w:t>
      </w:r>
      <w:r>
        <w:rPr>
          <w:rFonts w:hint="eastAsia" w:ascii="仿宋_GB2312" w:hAnsi="仿宋_GB2312" w:eastAsia="仿宋_GB2312" w:cs="仿宋_GB2312"/>
          <w:sz w:val="32"/>
          <w:szCs w:val="32"/>
        </w:rPr>
        <w:t>。</w:t>
      </w:r>
    </w:p>
    <w:p w14:paraId="5FE340F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（2）科技楼泵站</w:t>
      </w:r>
    </w:p>
    <w:p w14:paraId="7A7B6C6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泵站内有轴流泵1台，电机型号Y280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8VZ，45千瓦，每台流量500</w:t>
      </w:r>
      <w:r>
        <w:rPr>
          <w:rFonts w:hint="eastAsia" w:ascii="仿宋_GB2312" w:hAnsi="仿宋_GB2312" w:eastAsia="仿宋_GB2312" w:cs="仿宋_GB2312"/>
          <w:sz w:val="32"/>
          <w:szCs w:val="32"/>
          <w:lang w:val="en-US" w:eastAsia="zh-CN"/>
        </w:rPr>
        <w:t>m³</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小时</w:t>
      </w:r>
      <w:r>
        <w:rPr>
          <w:rFonts w:hint="eastAsia" w:ascii="仿宋_GB2312" w:hAnsi="仿宋_GB2312" w:eastAsia="仿宋_GB2312" w:cs="仿宋_GB2312"/>
          <w:sz w:val="32"/>
          <w:szCs w:val="32"/>
        </w:rPr>
        <w:t>。</w:t>
      </w:r>
    </w:p>
    <w:p w14:paraId="316492C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排水口现状</w:t>
      </w:r>
    </w:p>
    <w:p w14:paraId="6C421EB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（1）幸福路排水口</w:t>
      </w:r>
    </w:p>
    <w:p w14:paraId="7022DF7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幸福路排水口位于东经132°0′15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66″北纬47°14′49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59″处，强排0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3m³/s，25920m³/d，排污口截面积5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，将富锦市西部区域的溢流雨水就近排至松花江。</w:t>
      </w:r>
    </w:p>
    <w:p w14:paraId="149F536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（2）东平路排水口</w:t>
      </w:r>
    </w:p>
    <w:p w14:paraId="42AE8BE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东平路排水口位于东经132°01′59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21″北纬47°15′52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76″处，强排0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2m³/s，17280m³/d，排污口截面积1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，将富锦市老城区区域的溢流雨水就近排至松花江。</w:t>
      </w:r>
    </w:p>
    <w:p w14:paraId="3D237D3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（3）永兴排水口</w:t>
      </w:r>
    </w:p>
    <w:p w14:paraId="345CB3E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幸福路排水口位于东经132°02′35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94″北纬47°16′30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59″处，强排0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m³</w:t>
      </w:r>
      <w:r>
        <w:rPr>
          <w:rFonts w:hint="eastAsia" w:ascii="仿宋_GB2312" w:hAnsi="仿宋_GB2312" w:eastAsia="仿宋_GB2312" w:cs="仿宋_GB2312"/>
          <w:sz w:val="32"/>
          <w:szCs w:val="32"/>
        </w:rPr>
        <w:t>/s，34560</w:t>
      </w:r>
      <w:r>
        <w:rPr>
          <w:rFonts w:hint="eastAsia" w:ascii="仿宋_GB2312" w:hAnsi="仿宋_GB2312" w:eastAsia="仿宋_GB2312" w:cs="仿宋_GB2312"/>
          <w:sz w:val="32"/>
          <w:szCs w:val="32"/>
          <w:lang w:eastAsia="zh-CN"/>
        </w:rPr>
        <w:t>m³</w:t>
      </w:r>
      <w:r>
        <w:rPr>
          <w:rFonts w:hint="eastAsia" w:ascii="仿宋_GB2312" w:hAnsi="仿宋_GB2312" w:eastAsia="仿宋_GB2312" w:cs="仿宋_GB2312"/>
          <w:sz w:val="32"/>
          <w:szCs w:val="32"/>
        </w:rPr>
        <w:t>/d，排污口截面积5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，将锦东区的溢流雨水就近排至松花江。</w:t>
      </w:r>
    </w:p>
    <w:p w14:paraId="2EAB3EE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城区内涝积水情况</w:t>
      </w:r>
    </w:p>
    <w:p w14:paraId="52152B2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富锦市属中温带大陆性季风气候，冬季寒冷漫长，夏季炎热短暂、降雨集中，降水年际变化较大，且有连续丰水年和连续枯水年交替现象，多年平均降水量512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毫米</w:t>
      </w:r>
      <w:r>
        <w:rPr>
          <w:rFonts w:hint="eastAsia" w:ascii="仿宋_GB2312" w:hAnsi="仿宋_GB2312" w:eastAsia="仿宋_GB2312" w:cs="仿宋_GB2312"/>
          <w:sz w:val="32"/>
          <w:szCs w:val="32"/>
        </w:rPr>
        <w:t>，全年降水分布不均，多集中在6</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9月份，占全年总降水的60％以上，暴雨多发生在7、8月份，7月中旬至8月上旬为大暴雨集中期，实测1968年7月25日24</w:t>
      </w:r>
      <w:r>
        <w:rPr>
          <w:rFonts w:hint="eastAsia" w:ascii="仿宋_GB2312" w:hAnsi="仿宋_GB2312" w:eastAsia="仿宋_GB2312" w:cs="仿宋_GB2312"/>
          <w:sz w:val="32"/>
          <w:szCs w:val="32"/>
          <w:lang w:eastAsia="zh-CN"/>
        </w:rPr>
        <w:t>小时</w:t>
      </w:r>
      <w:r>
        <w:rPr>
          <w:rFonts w:hint="eastAsia" w:ascii="仿宋_GB2312" w:hAnsi="仿宋_GB2312" w:eastAsia="仿宋_GB2312" w:cs="仿宋_GB2312"/>
          <w:sz w:val="32"/>
          <w:szCs w:val="32"/>
        </w:rPr>
        <w:t>降雨120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eastAsia="zh-CN"/>
        </w:rPr>
        <w:t>毫米</w:t>
      </w:r>
      <w:r>
        <w:rPr>
          <w:rFonts w:hint="eastAsia" w:ascii="仿宋_GB2312" w:hAnsi="仿宋_GB2312" w:eastAsia="仿宋_GB2312" w:cs="仿宋_GB2312"/>
          <w:sz w:val="32"/>
          <w:szCs w:val="32"/>
        </w:rPr>
        <w:t>。</w:t>
      </w:r>
    </w:p>
    <w:p w14:paraId="728D4AD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富锦市气象局提供资料显示，大水年份有1960年、1968年、1984年、1994年、1998年、2013年、2018年、2023年等。其中最严重的一次城市内涝发生在2013年6月，富锦市降雨导致中央大街、向阳路、东平路、新开路、文明街等部分路段平房居民家中和地下商服进水，人民群众生命财产安全受到严重威胁。此次内涝共造成直接经济损失约800万元。</w:t>
      </w:r>
    </w:p>
    <w:p w14:paraId="38F86EA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富锦市防涝应急设施储备情况</w:t>
      </w:r>
    </w:p>
    <w:p w14:paraId="784764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仓库3座，管理用房1座，总建筑面积3760平方米，其中森林草原防灭火及防汛物资储备库建筑面积1500平方米，医药物资储备库建筑面积600平方米，防灾救灾物资储备库建筑面积960平方米，管理用房建筑面积700平方米，并配套建设道路及停车场4300平方米、绿地2000平方米、围墙320米、电动大门1座。</w:t>
      </w:r>
    </w:p>
    <w:p w14:paraId="5614CF5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三</w:t>
      </w:r>
      <w:r>
        <w:rPr>
          <w:rFonts w:hint="eastAsia" w:ascii="楷体" w:hAnsi="楷体" w:eastAsia="楷体" w:cs="楷体"/>
          <w:sz w:val="32"/>
          <w:szCs w:val="32"/>
          <w:lang w:eastAsia="zh-CN"/>
        </w:rPr>
        <w:t>、</w:t>
      </w:r>
      <w:r>
        <w:rPr>
          <w:rFonts w:hint="eastAsia" w:ascii="楷体" w:hAnsi="楷体" w:eastAsia="楷体" w:cs="楷体"/>
          <w:sz w:val="32"/>
          <w:szCs w:val="32"/>
        </w:rPr>
        <w:t>2024年短期气候预测</w:t>
      </w:r>
    </w:p>
    <w:p w14:paraId="438447E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预计2024年夏季全市平均气温正常略高，夏初和夏末有阶段性低温；夏季全市平均降水量略多，降水时空分布不均，局地强对流天气多发，西部降水多于东部，夏末降水较多。</w:t>
      </w:r>
    </w:p>
    <w:p w14:paraId="5A53E06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气温预测</w:t>
      </w:r>
    </w:p>
    <w:p w14:paraId="5849B63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预计夏季（6</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8月）全市平均气温为20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5～21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5℃,接近常年或比常年高0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2℃左右，夏初与夏末有阶段性低温。6月全市平均气温为19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0～20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0℃,接近常年同期；7月全市平均气温为23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0～24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0℃,比常年高1℃左右；8月全市平均气温为19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5～20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5℃,比常年低0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5℃左右。</w:t>
      </w:r>
    </w:p>
    <w:p w14:paraId="32CC338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降水预测</w:t>
      </w:r>
    </w:p>
    <w:p w14:paraId="3806555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计夏季全市平均降水量为340～380毫米，比常年多1成左右。降水空间分布不均，我市西部平均降水量为370～420毫米，比常年多1～2成，东部平均降水量为310～350毫米，接近常年或比常年多0～1成。6月全市平均降水量75～85毫米，接近常年或比常年少0～1成；7月全市平均降水量为110～130毫米，接近常年或比常年少0～1成；8月全市平均降水量为140～160毫米，比常年多2～3成。</w:t>
      </w:r>
    </w:p>
    <w:p w14:paraId="3F6D41B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有关建议</w:t>
      </w:r>
    </w:p>
    <w:p w14:paraId="2E14DE7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1）预测2024年夏季全市平均降水量略多，但时空分布不均，可能出现旱涝交替。夏末多雨，可能导致短时洪涝；夏中有高温少雨时段，可能导致短时干旱。</w:t>
      </w:r>
    </w:p>
    <w:p w14:paraId="1359223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预测2024年夏季冷暖空气活动频繁，局地强对流天气多发。应注意防范短时强降水引发的城市内涝、短时洪涝、中小河流短时洪水、山洪、泥石流等灾害的发生；防范冰雹、雷雨、大风等灾害性天气造成的危害和损失。</w:t>
      </w:r>
    </w:p>
    <w:p w14:paraId="08C11B6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3）预测夏季松花江上游平均降水量比常年多2成左右，受客水影响，我市松花江流域有出现汛情的可能，应重点防范。</w:t>
      </w:r>
    </w:p>
    <w:p w14:paraId="7B6403F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4）预测2024年夏初、夏末有阶段性低温，可能对农业生产造成不利影响。相关部门应及时关注中、短期天气预报，做好防范；各级农业部门针对夏季出现的低温时段，积极采取措施，保证作物正常生长发育。</w:t>
      </w:r>
    </w:p>
    <w:p w14:paraId="2CCD24C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四</w:t>
      </w:r>
      <w:r>
        <w:rPr>
          <w:rFonts w:hint="eastAsia" w:ascii="楷体" w:hAnsi="楷体" w:eastAsia="楷体" w:cs="楷体"/>
          <w:sz w:val="32"/>
          <w:szCs w:val="32"/>
          <w:lang w:eastAsia="zh-CN"/>
        </w:rPr>
        <w:t>、</w:t>
      </w:r>
      <w:r>
        <w:rPr>
          <w:rFonts w:hint="eastAsia" w:ascii="楷体" w:hAnsi="楷体" w:eastAsia="楷体" w:cs="楷体"/>
          <w:sz w:val="32"/>
          <w:szCs w:val="32"/>
        </w:rPr>
        <w:t>内涝风险评估</w:t>
      </w:r>
    </w:p>
    <w:p w14:paraId="1B3B0DE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《富锦市城市排水专项规划（2021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2035）》采用水力模型法对现有管道进行了二维校核，在现有地形条件、用地性质、管道布局的条件下，现状管道皆不满足2年一遇。采用InfoworksI</w:t>
      </w:r>
      <w:r>
        <w:rPr>
          <w:rFonts w:hint="eastAsia" w:ascii="仿宋_GB2312" w:hAnsi="仿宋_GB2312" w:eastAsia="仿宋_GB2312" w:cs="仿宋_GB2312"/>
          <w:sz w:val="32"/>
          <w:szCs w:val="32"/>
          <w:lang w:eastAsia="zh-CN"/>
        </w:rPr>
        <w:t>厘米</w:t>
      </w:r>
      <w:r>
        <w:rPr>
          <w:rFonts w:hint="eastAsia" w:ascii="仿宋_GB2312" w:hAnsi="仿宋_GB2312" w:eastAsia="仿宋_GB2312" w:cs="仿宋_GB2312"/>
          <w:sz w:val="32"/>
          <w:szCs w:val="32"/>
        </w:rPr>
        <w:t>中的SW</w:t>
      </w:r>
      <w:r>
        <w:rPr>
          <w:rFonts w:hint="eastAsia" w:ascii="仿宋_GB2312" w:hAnsi="仿宋_GB2312" w:eastAsia="仿宋_GB2312" w:cs="仿宋_GB2312"/>
          <w:sz w:val="32"/>
          <w:szCs w:val="32"/>
          <w:lang w:eastAsia="zh-CN"/>
        </w:rPr>
        <w:t>毫米</w:t>
      </w:r>
      <w:r>
        <w:rPr>
          <w:rFonts w:hint="eastAsia" w:ascii="仿宋_GB2312" w:hAnsi="仿宋_GB2312" w:eastAsia="仿宋_GB2312" w:cs="仿宋_GB2312"/>
          <w:sz w:val="32"/>
          <w:szCs w:val="32"/>
        </w:rPr>
        <w:t>水力模型对现状排水管道的模拟结果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如下（图中只给出了积水深度大于0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15m的情况）。图中：（1）管道绿色为满足相应重现期的使用要求，紫色和蓝色为超负荷；（2）检查井蓝色为积水，圆圈数越多积水越深；（3）地面上蓝色斑块为积水点，颜色越深积水越深。</w:t>
      </w:r>
    </w:p>
    <w:p w14:paraId="16F3EA75">
      <w:pPr>
        <w:keepNext w:val="0"/>
        <w:keepLines w:val="0"/>
        <w:pageBreakBefore w:val="0"/>
        <w:widowControl/>
        <w:kinsoku/>
        <w:wordWrap/>
        <w:overflowPunct/>
        <w:topLinePunct w:val="0"/>
        <w:autoSpaceDE w:val="0"/>
        <w:autoSpaceDN w:val="0"/>
        <w:bidi w:val="0"/>
        <w:adjustRightInd w:val="0"/>
        <w:snapToGrid w:val="0"/>
        <w:spacing w:line="600" w:lineRule="exact"/>
        <w:ind w:firstLine="1312"/>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position w:val="-117"/>
          <w:sz w:val="32"/>
          <w:szCs w:val="32"/>
        </w:rPr>
        <w:drawing>
          <wp:anchor distT="0" distB="0" distL="0" distR="0" simplePos="0" relativeHeight="251662336" behindDoc="0" locked="0" layoutInCell="1" allowOverlap="1">
            <wp:simplePos x="0" y="0"/>
            <wp:positionH relativeFrom="column">
              <wp:posOffset>1061720</wp:posOffset>
            </wp:positionH>
            <wp:positionV relativeFrom="paragraph">
              <wp:posOffset>66040</wp:posOffset>
            </wp:positionV>
            <wp:extent cx="3013075" cy="2165350"/>
            <wp:effectExtent l="0" t="0" r="15875" b="635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6"/>
                    <a:stretch>
                      <a:fillRect/>
                    </a:stretch>
                  </pic:blipFill>
                  <pic:spPr>
                    <a:xfrm>
                      <a:off x="0" y="0"/>
                      <a:ext cx="3013075" cy="2165350"/>
                    </a:xfrm>
                    <a:prstGeom prst="rect">
                      <a:avLst/>
                    </a:prstGeom>
                  </pic:spPr>
                </pic:pic>
              </a:graphicData>
            </a:graphic>
          </wp:anchor>
        </w:drawing>
      </w:r>
    </w:p>
    <w:p w14:paraId="36ED4785">
      <w:pPr>
        <w:keepNext w:val="0"/>
        <w:keepLines w:val="0"/>
        <w:pageBreakBefore w:val="0"/>
        <w:widowControl/>
        <w:kinsoku/>
        <w:wordWrap/>
        <w:overflowPunct/>
        <w:topLinePunct w:val="0"/>
        <w:autoSpaceDE w:val="0"/>
        <w:autoSpaceDN w:val="0"/>
        <w:bidi w:val="0"/>
        <w:adjustRightInd w:val="0"/>
        <w:snapToGrid w:val="0"/>
        <w:spacing w:line="600" w:lineRule="exact"/>
        <w:ind w:left="2494"/>
        <w:jc w:val="both"/>
        <w:textAlignment w:val="baseline"/>
        <w:rPr>
          <w:rFonts w:hint="eastAsia" w:ascii="仿宋_GB2312" w:hAnsi="仿宋_GB2312" w:eastAsia="仿宋_GB2312" w:cs="仿宋_GB2312"/>
          <w:color w:val="auto"/>
          <w:spacing w:val="-6"/>
          <w:sz w:val="32"/>
          <w:szCs w:val="32"/>
        </w:rPr>
      </w:pPr>
    </w:p>
    <w:p w14:paraId="7DAA5417">
      <w:pPr>
        <w:keepNext w:val="0"/>
        <w:keepLines w:val="0"/>
        <w:pageBreakBefore w:val="0"/>
        <w:widowControl/>
        <w:kinsoku/>
        <w:wordWrap/>
        <w:overflowPunct/>
        <w:topLinePunct w:val="0"/>
        <w:autoSpaceDE w:val="0"/>
        <w:autoSpaceDN w:val="0"/>
        <w:bidi w:val="0"/>
        <w:adjustRightInd w:val="0"/>
        <w:snapToGrid w:val="0"/>
        <w:spacing w:line="600" w:lineRule="exact"/>
        <w:ind w:left="2494"/>
        <w:jc w:val="both"/>
        <w:textAlignment w:val="baseline"/>
        <w:rPr>
          <w:rFonts w:hint="eastAsia" w:ascii="仿宋_GB2312" w:hAnsi="仿宋_GB2312" w:eastAsia="仿宋_GB2312" w:cs="仿宋_GB2312"/>
          <w:color w:val="auto"/>
          <w:spacing w:val="-6"/>
          <w:sz w:val="32"/>
          <w:szCs w:val="32"/>
        </w:rPr>
      </w:pPr>
    </w:p>
    <w:p w14:paraId="06814979">
      <w:pPr>
        <w:keepNext w:val="0"/>
        <w:keepLines w:val="0"/>
        <w:pageBreakBefore w:val="0"/>
        <w:widowControl/>
        <w:kinsoku/>
        <w:wordWrap/>
        <w:overflowPunct/>
        <w:topLinePunct w:val="0"/>
        <w:autoSpaceDE w:val="0"/>
        <w:autoSpaceDN w:val="0"/>
        <w:bidi w:val="0"/>
        <w:adjustRightInd w:val="0"/>
        <w:snapToGrid w:val="0"/>
        <w:spacing w:line="600" w:lineRule="exact"/>
        <w:ind w:left="2494"/>
        <w:jc w:val="both"/>
        <w:textAlignment w:val="baseline"/>
        <w:rPr>
          <w:rFonts w:hint="eastAsia" w:ascii="仿宋_GB2312" w:hAnsi="仿宋_GB2312" w:eastAsia="仿宋_GB2312" w:cs="仿宋_GB2312"/>
          <w:color w:val="auto"/>
          <w:spacing w:val="-6"/>
          <w:sz w:val="32"/>
          <w:szCs w:val="32"/>
        </w:rPr>
      </w:pPr>
    </w:p>
    <w:p w14:paraId="6C4CF2FC">
      <w:pPr>
        <w:keepNext w:val="0"/>
        <w:keepLines w:val="0"/>
        <w:pageBreakBefore w:val="0"/>
        <w:widowControl/>
        <w:kinsoku/>
        <w:wordWrap/>
        <w:overflowPunct/>
        <w:topLinePunct w:val="0"/>
        <w:autoSpaceDE w:val="0"/>
        <w:autoSpaceDN w:val="0"/>
        <w:bidi w:val="0"/>
        <w:adjustRightInd w:val="0"/>
        <w:snapToGrid w:val="0"/>
        <w:spacing w:line="600" w:lineRule="exact"/>
        <w:ind w:left="2494"/>
        <w:jc w:val="both"/>
        <w:textAlignment w:val="baseline"/>
        <w:rPr>
          <w:rFonts w:hint="eastAsia" w:ascii="仿宋_GB2312" w:hAnsi="仿宋_GB2312" w:eastAsia="仿宋_GB2312" w:cs="仿宋_GB2312"/>
          <w:color w:val="auto"/>
          <w:spacing w:val="-6"/>
          <w:sz w:val="32"/>
          <w:szCs w:val="32"/>
        </w:rPr>
      </w:pPr>
    </w:p>
    <w:p w14:paraId="02C2D912">
      <w:pPr>
        <w:keepNext w:val="0"/>
        <w:keepLines w:val="0"/>
        <w:pageBreakBefore w:val="0"/>
        <w:widowControl/>
        <w:kinsoku/>
        <w:wordWrap/>
        <w:overflowPunct/>
        <w:topLinePunct w:val="0"/>
        <w:autoSpaceDE w:val="0"/>
        <w:autoSpaceDN w:val="0"/>
        <w:bidi w:val="0"/>
        <w:adjustRightInd w:val="0"/>
        <w:snapToGrid w:val="0"/>
        <w:spacing w:line="600" w:lineRule="exact"/>
        <w:jc w:val="both"/>
        <w:textAlignment w:val="baseline"/>
        <w:rPr>
          <w:rFonts w:hint="eastAsia" w:ascii="仿宋_GB2312" w:hAnsi="仿宋_GB2312" w:eastAsia="仿宋_GB2312" w:cs="仿宋_GB2312"/>
          <w:color w:val="auto"/>
          <w:spacing w:val="-6"/>
          <w:sz w:val="32"/>
          <w:szCs w:val="32"/>
        </w:rPr>
      </w:pPr>
    </w:p>
    <w:p w14:paraId="0B4A2567">
      <w:pPr>
        <w:keepNext w:val="0"/>
        <w:keepLines w:val="0"/>
        <w:pageBreakBefore w:val="0"/>
        <w:widowControl/>
        <w:kinsoku/>
        <w:wordWrap/>
        <w:overflowPunct/>
        <w:topLinePunct w:val="0"/>
        <w:autoSpaceDE w:val="0"/>
        <w:autoSpaceDN w:val="0"/>
        <w:bidi w:val="0"/>
        <w:adjustRightInd w:val="0"/>
        <w:snapToGrid w:val="0"/>
        <w:spacing w:line="600" w:lineRule="exact"/>
        <w:ind w:left="2494"/>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6"/>
          <w:sz w:val="32"/>
          <w:szCs w:val="32"/>
        </w:rPr>
        <w:t>图</w:t>
      </w:r>
      <w:r>
        <w:rPr>
          <w:rFonts w:hint="eastAsia" w:ascii="仿宋_GB2312" w:hAnsi="仿宋_GB2312" w:eastAsia="仿宋_GB2312" w:cs="仿宋_GB2312"/>
          <w:color w:val="auto"/>
          <w:spacing w:val="-37"/>
          <w:sz w:val="32"/>
          <w:szCs w:val="32"/>
        </w:rPr>
        <w:t xml:space="preserve"> </w:t>
      </w:r>
      <w:r>
        <w:rPr>
          <w:rFonts w:hint="eastAsia" w:ascii="仿宋_GB2312" w:hAnsi="仿宋_GB2312" w:eastAsia="仿宋_GB2312" w:cs="仿宋_GB2312"/>
          <w:color w:val="auto"/>
          <w:spacing w:val="-6"/>
          <w:sz w:val="32"/>
          <w:szCs w:val="32"/>
        </w:rPr>
        <w:t>1  现有管道</w:t>
      </w:r>
      <w:r>
        <w:rPr>
          <w:rFonts w:hint="eastAsia" w:ascii="仿宋_GB2312" w:hAnsi="仿宋_GB2312" w:eastAsia="仿宋_GB2312" w:cs="仿宋_GB2312"/>
          <w:color w:val="auto"/>
          <w:spacing w:val="-37"/>
          <w:sz w:val="32"/>
          <w:szCs w:val="32"/>
        </w:rPr>
        <w:t xml:space="preserve"> </w:t>
      </w:r>
      <w:r>
        <w:rPr>
          <w:rFonts w:hint="eastAsia" w:ascii="仿宋_GB2312" w:hAnsi="仿宋_GB2312" w:eastAsia="仿宋_GB2312" w:cs="仿宋_GB2312"/>
          <w:color w:val="auto"/>
          <w:spacing w:val="-6"/>
          <w:sz w:val="32"/>
          <w:szCs w:val="32"/>
        </w:rPr>
        <w:t>1 年一遇模拟结果</w:t>
      </w:r>
    </w:p>
    <w:p w14:paraId="4CAE4C3F">
      <w:pPr>
        <w:pStyle w:val="2"/>
        <w:keepNext w:val="0"/>
        <w:keepLines w:val="0"/>
        <w:pageBreakBefore w:val="0"/>
        <w:widowControl/>
        <w:kinsoku/>
        <w:wordWrap/>
        <w:overflowPunct/>
        <w:topLinePunct w:val="0"/>
        <w:autoSpaceDE w:val="0"/>
        <w:autoSpaceDN w:val="0"/>
        <w:bidi w:val="0"/>
        <w:adjustRightInd w:val="0"/>
        <w:snapToGrid w:val="0"/>
        <w:spacing w:line="600" w:lineRule="exact"/>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position w:val="-120"/>
          <w:sz w:val="32"/>
          <w:szCs w:val="32"/>
        </w:rPr>
        <w:drawing>
          <wp:anchor distT="0" distB="0" distL="0" distR="0" simplePos="0" relativeHeight="251663360" behindDoc="0" locked="0" layoutInCell="1" allowOverlap="1">
            <wp:simplePos x="0" y="0"/>
            <wp:positionH relativeFrom="column">
              <wp:posOffset>735965</wp:posOffset>
            </wp:positionH>
            <wp:positionV relativeFrom="paragraph">
              <wp:posOffset>243840</wp:posOffset>
            </wp:positionV>
            <wp:extent cx="3912870" cy="3829050"/>
            <wp:effectExtent l="0" t="0" r="1143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7"/>
                    <a:stretch>
                      <a:fillRect/>
                    </a:stretch>
                  </pic:blipFill>
                  <pic:spPr>
                    <a:xfrm>
                      <a:off x="0" y="0"/>
                      <a:ext cx="3912870" cy="3829684"/>
                    </a:xfrm>
                    <a:prstGeom prst="rect">
                      <a:avLst/>
                    </a:prstGeom>
                  </pic:spPr>
                </pic:pic>
              </a:graphicData>
            </a:graphic>
          </wp:anchor>
        </w:drawing>
      </w:r>
    </w:p>
    <w:p w14:paraId="7FD56623">
      <w:pPr>
        <w:keepNext w:val="0"/>
        <w:keepLines w:val="0"/>
        <w:pageBreakBefore w:val="0"/>
        <w:widowControl/>
        <w:kinsoku/>
        <w:wordWrap/>
        <w:overflowPunct/>
        <w:topLinePunct w:val="0"/>
        <w:autoSpaceDE w:val="0"/>
        <w:autoSpaceDN w:val="0"/>
        <w:bidi w:val="0"/>
        <w:adjustRightInd w:val="0"/>
        <w:snapToGrid w:val="0"/>
        <w:spacing w:line="600" w:lineRule="exact"/>
        <w:ind w:firstLine="1369"/>
        <w:jc w:val="both"/>
        <w:textAlignment w:val="baseline"/>
        <w:rPr>
          <w:rFonts w:hint="eastAsia" w:ascii="仿宋_GB2312" w:hAnsi="仿宋_GB2312" w:eastAsia="仿宋_GB2312" w:cs="仿宋_GB2312"/>
          <w:color w:val="auto"/>
          <w:sz w:val="32"/>
          <w:szCs w:val="32"/>
        </w:rPr>
      </w:pPr>
    </w:p>
    <w:p w14:paraId="435B12A2">
      <w:pPr>
        <w:keepNext w:val="0"/>
        <w:keepLines w:val="0"/>
        <w:pageBreakBefore w:val="0"/>
        <w:widowControl/>
        <w:kinsoku/>
        <w:wordWrap/>
        <w:overflowPunct/>
        <w:topLinePunct w:val="0"/>
        <w:autoSpaceDE w:val="0"/>
        <w:autoSpaceDN w:val="0"/>
        <w:bidi w:val="0"/>
        <w:adjustRightInd w:val="0"/>
        <w:snapToGrid w:val="0"/>
        <w:spacing w:line="600" w:lineRule="exact"/>
        <w:ind w:firstLine="1369"/>
        <w:jc w:val="both"/>
        <w:textAlignment w:val="baseline"/>
        <w:rPr>
          <w:rFonts w:hint="eastAsia" w:ascii="仿宋_GB2312" w:hAnsi="仿宋_GB2312" w:eastAsia="仿宋_GB2312" w:cs="仿宋_GB2312"/>
          <w:color w:val="auto"/>
          <w:sz w:val="32"/>
          <w:szCs w:val="32"/>
        </w:rPr>
      </w:pPr>
    </w:p>
    <w:p w14:paraId="253E45C7">
      <w:pPr>
        <w:keepNext w:val="0"/>
        <w:keepLines w:val="0"/>
        <w:pageBreakBefore w:val="0"/>
        <w:widowControl/>
        <w:kinsoku/>
        <w:wordWrap/>
        <w:overflowPunct/>
        <w:topLinePunct w:val="0"/>
        <w:autoSpaceDE w:val="0"/>
        <w:autoSpaceDN w:val="0"/>
        <w:bidi w:val="0"/>
        <w:adjustRightInd w:val="0"/>
        <w:snapToGrid w:val="0"/>
        <w:spacing w:line="600" w:lineRule="exact"/>
        <w:ind w:firstLine="1369"/>
        <w:jc w:val="both"/>
        <w:textAlignment w:val="baseline"/>
        <w:rPr>
          <w:rFonts w:hint="eastAsia" w:ascii="仿宋_GB2312" w:hAnsi="仿宋_GB2312" w:eastAsia="仿宋_GB2312" w:cs="仿宋_GB2312"/>
          <w:color w:val="auto"/>
          <w:sz w:val="32"/>
          <w:szCs w:val="32"/>
        </w:rPr>
      </w:pPr>
    </w:p>
    <w:p w14:paraId="2888EB97">
      <w:pPr>
        <w:keepNext w:val="0"/>
        <w:keepLines w:val="0"/>
        <w:pageBreakBefore w:val="0"/>
        <w:widowControl/>
        <w:kinsoku/>
        <w:wordWrap/>
        <w:overflowPunct/>
        <w:topLinePunct w:val="0"/>
        <w:autoSpaceDE w:val="0"/>
        <w:autoSpaceDN w:val="0"/>
        <w:bidi w:val="0"/>
        <w:adjustRightInd w:val="0"/>
        <w:snapToGrid w:val="0"/>
        <w:spacing w:line="600" w:lineRule="exact"/>
        <w:ind w:left="2494"/>
        <w:jc w:val="both"/>
        <w:textAlignment w:val="baseline"/>
        <w:rPr>
          <w:rFonts w:hint="eastAsia" w:ascii="仿宋_GB2312" w:hAnsi="仿宋_GB2312" w:eastAsia="仿宋_GB2312" w:cs="仿宋_GB2312"/>
          <w:color w:val="auto"/>
          <w:spacing w:val="-3"/>
          <w:sz w:val="32"/>
          <w:szCs w:val="32"/>
        </w:rPr>
      </w:pPr>
    </w:p>
    <w:p w14:paraId="6ACE5469">
      <w:pPr>
        <w:keepNext w:val="0"/>
        <w:keepLines w:val="0"/>
        <w:pageBreakBefore w:val="0"/>
        <w:widowControl/>
        <w:kinsoku/>
        <w:wordWrap/>
        <w:overflowPunct/>
        <w:topLinePunct w:val="0"/>
        <w:autoSpaceDE w:val="0"/>
        <w:autoSpaceDN w:val="0"/>
        <w:bidi w:val="0"/>
        <w:adjustRightInd w:val="0"/>
        <w:snapToGrid w:val="0"/>
        <w:spacing w:line="600" w:lineRule="exact"/>
        <w:ind w:left="2494"/>
        <w:jc w:val="both"/>
        <w:textAlignment w:val="baseline"/>
        <w:rPr>
          <w:rFonts w:hint="eastAsia" w:ascii="仿宋_GB2312" w:hAnsi="仿宋_GB2312" w:eastAsia="仿宋_GB2312" w:cs="仿宋_GB2312"/>
          <w:color w:val="auto"/>
          <w:spacing w:val="-3"/>
          <w:sz w:val="32"/>
          <w:szCs w:val="32"/>
        </w:rPr>
      </w:pPr>
    </w:p>
    <w:p w14:paraId="329EB0CA">
      <w:pPr>
        <w:keepNext w:val="0"/>
        <w:keepLines w:val="0"/>
        <w:pageBreakBefore w:val="0"/>
        <w:widowControl/>
        <w:kinsoku/>
        <w:wordWrap/>
        <w:overflowPunct/>
        <w:topLinePunct w:val="0"/>
        <w:autoSpaceDE w:val="0"/>
        <w:autoSpaceDN w:val="0"/>
        <w:bidi w:val="0"/>
        <w:adjustRightInd w:val="0"/>
        <w:snapToGrid w:val="0"/>
        <w:spacing w:line="600" w:lineRule="exact"/>
        <w:ind w:left="2494"/>
        <w:jc w:val="both"/>
        <w:textAlignment w:val="baseline"/>
        <w:rPr>
          <w:rFonts w:hint="eastAsia" w:ascii="仿宋_GB2312" w:hAnsi="仿宋_GB2312" w:eastAsia="仿宋_GB2312" w:cs="仿宋_GB2312"/>
          <w:color w:val="auto"/>
          <w:spacing w:val="-3"/>
          <w:sz w:val="32"/>
          <w:szCs w:val="32"/>
        </w:rPr>
      </w:pPr>
    </w:p>
    <w:p w14:paraId="19B78B46">
      <w:pPr>
        <w:keepNext w:val="0"/>
        <w:keepLines w:val="0"/>
        <w:pageBreakBefore w:val="0"/>
        <w:widowControl/>
        <w:kinsoku/>
        <w:wordWrap/>
        <w:overflowPunct/>
        <w:topLinePunct w:val="0"/>
        <w:autoSpaceDE w:val="0"/>
        <w:autoSpaceDN w:val="0"/>
        <w:bidi w:val="0"/>
        <w:adjustRightInd w:val="0"/>
        <w:snapToGrid w:val="0"/>
        <w:spacing w:line="600" w:lineRule="exact"/>
        <w:ind w:left="2494"/>
        <w:jc w:val="both"/>
        <w:textAlignment w:val="baseline"/>
        <w:rPr>
          <w:rFonts w:hint="eastAsia" w:ascii="仿宋_GB2312" w:hAnsi="仿宋_GB2312" w:eastAsia="仿宋_GB2312" w:cs="仿宋_GB2312"/>
          <w:color w:val="auto"/>
          <w:spacing w:val="-3"/>
          <w:sz w:val="32"/>
          <w:szCs w:val="32"/>
        </w:rPr>
      </w:pPr>
    </w:p>
    <w:p w14:paraId="509A972C">
      <w:pPr>
        <w:keepNext w:val="0"/>
        <w:keepLines w:val="0"/>
        <w:pageBreakBefore w:val="0"/>
        <w:widowControl/>
        <w:kinsoku/>
        <w:wordWrap/>
        <w:overflowPunct/>
        <w:topLinePunct w:val="0"/>
        <w:autoSpaceDE w:val="0"/>
        <w:autoSpaceDN w:val="0"/>
        <w:bidi w:val="0"/>
        <w:adjustRightInd w:val="0"/>
        <w:snapToGrid w:val="0"/>
        <w:spacing w:line="600" w:lineRule="exact"/>
        <w:ind w:left="2494"/>
        <w:jc w:val="both"/>
        <w:textAlignment w:val="baseline"/>
        <w:rPr>
          <w:rFonts w:hint="eastAsia" w:ascii="仿宋_GB2312" w:hAnsi="仿宋_GB2312" w:eastAsia="仿宋_GB2312" w:cs="仿宋_GB2312"/>
          <w:color w:val="auto"/>
          <w:spacing w:val="-3"/>
          <w:sz w:val="32"/>
          <w:szCs w:val="32"/>
        </w:rPr>
      </w:pPr>
    </w:p>
    <w:p w14:paraId="5F7E4ADA">
      <w:pPr>
        <w:keepNext w:val="0"/>
        <w:keepLines w:val="0"/>
        <w:pageBreakBefore w:val="0"/>
        <w:widowControl/>
        <w:kinsoku/>
        <w:wordWrap/>
        <w:overflowPunct/>
        <w:topLinePunct w:val="0"/>
        <w:autoSpaceDE w:val="0"/>
        <w:autoSpaceDN w:val="0"/>
        <w:bidi w:val="0"/>
        <w:adjustRightInd w:val="0"/>
        <w:snapToGrid w:val="0"/>
        <w:spacing w:line="600" w:lineRule="exact"/>
        <w:ind w:left="2494"/>
        <w:jc w:val="both"/>
        <w:textAlignment w:val="baseline"/>
        <w:rPr>
          <w:rFonts w:hint="eastAsia" w:ascii="仿宋_GB2312" w:hAnsi="仿宋_GB2312" w:eastAsia="仿宋_GB2312" w:cs="仿宋_GB2312"/>
          <w:color w:val="auto"/>
          <w:spacing w:val="-3"/>
          <w:sz w:val="32"/>
          <w:szCs w:val="32"/>
        </w:rPr>
      </w:pPr>
    </w:p>
    <w:p w14:paraId="1B8265D5">
      <w:pPr>
        <w:keepNext w:val="0"/>
        <w:keepLines w:val="0"/>
        <w:pageBreakBefore w:val="0"/>
        <w:widowControl/>
        <w:kinsoku/>
        <w:wordWrap/>
        <w:overflowPunct/>
        <w:topLinePunct w:val="0"/>
        <w:autoSpaceDE w:val="0"/>
        <w:autoSpaceDN w:val="0"/>
        <w:bidi w:val="0"/>
        <w:adjustRightInd w:val="0"/>
        <w:snapToGrid w:val="0"/>
        <w:spacing w:line="600" w:lineRule="exact"/>
        <w:jc w:val="both"/>
        <w:textAlignment w:val="baseline"/>
        <w:rPr>
          <w:rFonts w:hint="eastAsia" w:ascii="仿宋_GB2312" w:hAnsi="仿宋_GB2312" w:eastAsia="仿宋_GB2312" w:cs="仿宋_GB2312"/>
          <w:color w:val="auto"/>
          <w:spacing w:val="-3"/>
          <w:sz w:val="32"/>
          <w:szCs w:val="32"/>
        </w:rPr>
      </w:pPr>
    </w:p>
    <w:p w14:paraId="47F4F850">
      <w:pPr>
        <w:keepNext w:val="0"/>
        <w:keepLines w:val="0"/>
        <w:pageBreakBefore w:val="0"/>
        <w:widowControl/>
        <w:kinsoku/>
        <w:wordWrap/>
        <w:overflowPunct/>
        <w:topLinePunct w:val="0"/>
        <w:autoSpaceDE w:val="0"/>
        <w:autoSpaceDN w:val="0"/>
        <w:bidi w:val="0"/>
        <w:adjustRightInd w:val="0"/>
        <w:snapToGrid w:val="0"/>
        <w:spacing w:line="600" w:lineRule="exact"/>
        <w:ind w:left="2494"/>
        <w:jc w:val="both"/>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color w:val="auto"/>
          <w:spacing w:val="-3"/>
          <w:sz w:val="32"/>
          <w:szCs w:val="32"/>
        </w:rPr>
        <w:t>图</w:t>
      </w:r>
      <w:r>
        <w:rPr>
          <w:rFonts w:hint="eastAsia" w:ascii="仿宋_GB2312" w:hAnsi="仿宋_GB2312" w:eastAsia="仿宋_GB2312" w:cs="仿宋_GB2312"/>
          <w:color w:val="auto"/>
          <w:spacing w:val="-61"/>
          <w:sz w:val="32"/>
          <w:szCs w:val="32"/>
        </w:rPr>
        <w:t xml:space="preserve"> </w:t>
      </w:r>
      <w:r>
        <w:rPr>
          <w:rFonts w:hint="eastAsia" w:ascii="仿宋_GB2312" w:hAnsi="仿宋_GB2312" w:eastAsia="仿宋_GB2312" w:cs="仿宋_GB2312"/>
          <w:color w:val="auto"/>
          <w:spacing w:val="-3"/>
          <w:sz w:val="32"/>
          <w:szCs w:val="32"/>
        </w:rPr>
        <w:t>2  现有管道</w:t>
      </w:r>
      <w:r>
        <w:rPr>
          <w:rFonts w:hint="eastAsia" w:ascii="仿宋_GB2312" w:hAnsi="仿宋_GB2312" w:eastAsia="仿宋_GB2312" w:cs="仿宋_GB2312"/>
          <w:color w:val="auto"/>
          <w:spacing w:val="-64"/>
          <w:sz w:val="32"/>
          <w:szCs w:val="32"/>
        </w:rPr>
        <w:t xml:space="preserve"> </w:t>
      </w:r>
      <w:r>
        <w:rPr>
          <w:rFonts w:hint="eastAsia" w:ascii="仿宋_GB2312" w:hAnsi="仿宋_GB2312" w:eastAsia="仿宋_GB2312" w:cs="仿宋_GB2312"/>
          <w:color w:val="auto"/>
          <w:spacing w:val="-3"/>
          <w:sz w:val="32"/>
          <w:szCs w:val="32"/>
        </w:rPr>
        <w:t>2 年一遇模拟结果</w:t>
      </w:r>
    </w:p>
    <w:p w14:paraId="42C9F32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以上模拟结果均为降雨、积水最大时的情况。根据上述结果，在1年一遇的降雨时，部分低洼地区就出现了明显积水；到2年一遇的降雨时，积水范围进一步加大和加深。主要积水点分布在：中央大街（向阳路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新开路）附近、正大街（</w:t>
      </w:r>
      <w:r>
        <w:rPr>
          <w:rFonts w:hint="eastAsia" w:ascii="仿宋_GB2312" w:hAnsi="仿宋_GB2312" w:eastAsia="仿宋_GB2312" w:cs="仿宋_GB2312"/>
          <w:sz w:val="32"/>
          <w:szCs w:val="32"/>
          <w:lang w:val="en-US" w:eastAsia="zh-CN"/>
        </w:rPr>
        <w:t>繁荣</w:t>
      </w:r>
      <w:r>
        <w:rPr>
          <w:rFonts w:hint="eastAsia" w:ascii="仿宋_GB2312" w:hAnsi="仿宋_GB2312" w:eastAsia="仿宋_GB2312" w:cs="仿宋_GB2312"/>
          <w:sz w:val="32"/>
          <w:szCs w:val="32"/>
        </w:rPr>
        <w:t>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东平路）附近、北三街（东平路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民华路）附近、锦绣大街（客运站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东平路）附近、锦绣大街（站前广场）、新三街（冰岛酒店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东平路）、西平路（西沙路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进思大街</w:t>
      </w:r>
      <w:r>
        <w:rPr>
          <w:rFonts w:hint="eastAsia" w:ascii="仿宋_GB2312" w:hAnsi="仿宋_GB2312" w:eastAsia="仿宋_GB2312" w:cs="仿宋_GB2312"/>
          <w:sz w:val="32"/>
          <w:szCs w:val="32"/>
        </w:rPr>
        <w:t>）、锦绣大街（家世界西侧小路）、锦绣大街与新建路交叉口附近、教育路（秀水名苑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教育局）等，与实际情况基本相符。经过近几年的排水管道更新改造，消除了其中一部分积水点，</w:t>
      </w:r>
    </w:p>
    <w:p w14:paraId="1A8313E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现富锦市仍存在北三街（东平路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民华路）、锦绣大街（客运站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东平路）、新三街（冰岛酒店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东平路）、锦绣大街(家具城西侧小路)、教育路(向阳路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东平路)5个易涝点需要特别注意。</w:t>
      </w:r>
    </w:p>
    <w:p w14:paraId="4F11F7D8">
      <w:pPr>
        <w:keepNext w:val="0"/>
        <w:keepLines w:val="0"/>
        <w:pageBreakBefore w:val="0"/>
        <w:widowControl/>
        <w:kinsoku/>
        <w:wordWrap/>
        <w:overflowPunct/>
        <w:topLinePunct w:val="0"/>
        <w:autoSpaceDE w:val="0"/>
        <w:autoSpaceDN w:val="0"/>
        <w:bidi w:val="0"/>
        <w:adjustRightInd w:val="0"/>
        <w:snapToGrid w:val="0"/>
        <w:spacing w:line="600" w:lineRule="exact"/>
        <w:ind w:left="2829"/>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3"/>
          <w:sz w:val="32"/>
          <w:szCs w:val="32"/>
        </w:rPr>
        <w:t>表</w:t>
      </w:r>
      <w:r>
        <w:rPr>
          <w:rFonts w:hint="eastAsia" w:ascii="仿宋_GB2312" w:hAnsi="仿宋_GB2312" w:eastAsia="仿宋_GB2312" w:cs="仿宋_GB2312"/>
          <w:color w:val="auto"/>
          <w:spacing w:val="-32"/>
          <w:sz w:val="32"/>
          <w:szCs w:val="32"/>
        </w:rPr>
        <w:t xml:space="preserve"> </w:t>
      </w:r>
      <w:r>
        <w:rPr>
          <w:rFonts w:hint="eastAsia" w:ascii="仿宋_GB2312" w:hAnsi="仿宋_GB2312" w:eastAsia="仿宋_GB2312" w:cs="仿宋_GB2312"/>
          <w:color w:val="auto"/>
          <w:spacing w:val="-3"/>
          <w:sz w:val="32"/>
          <w:szCs w:val="32"/>
        </w:rPr>
        <w:t>1  城区</w:t>
      </w:r>
      <w:r>
        <w:rPr>
          <w:rFonts w:hint="eastAsia" w:ascii="仿宋_GB2312" w:hAnsi="仿宋_GB2312" w:eastAsia="仿宋_GB2312" w:cs="仿宋_GB2312"/>
          <w:color w:val="auto"/>
          <w:spacing w:val="-49"/>
          <w:sz w:val="32"/>
          <w:szCs w:val="32"/>
        </w:rPr>
        <w:t xml:space="preserve"> </w:t>
      </w:r>
      <w:r>
        <w:rPr>
          <w:rFonts w:hint="eastAsia" w:ascii="仿宋_GB2312" w:hAnsi="仿宋_GB2312" w:eastAsia="仿宋_GB2312" w:cs="仿宋_GB2312"/>
          <w:color w:val="auto"/>
          <w:spacing w:val="-3"/>
          <w:sz w:val="32"/>
          <w:szCs w:val="32"/>
        </w:rPr>
        <w:t>5 个易涝点积水情况</w:t>
      </w:r>
    </w:p>
    <w:tbl>
      <w:tblPr>
        <w:tblStyle w:val="7"/>
        <w:tblW w:w="830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
        <w:gridCol w:w="2976"/>
        <w:gridCol w:w="1"/>
        <w:gridCol w:w="1700"/>
        <w:gridCol w:w="1"/>
        <w:gridCol w:w="1701"/>
        <w:gridCol w:w="1"/>
        <w:gridCol w:w="1927"/>
        <w:gridCol w:w="1"/>
      </w:tblGrid>
      <w:tr w14:paraId="2C830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4" w:type="dxa"/>
          <w:wAfter w:w="1" w:type="dxa"/>
          <w:trHeight w:val="607" w:hRule="atLeast"/>
        </w:trPr>
        <w:tc>
          <w:tcPr>
            <w:tcW w:w="2976" w:type="dxa"/>
            <w:tcBorders>
              <w:top w:val="single" w:color="000000" w:sz="6" w:space="0"/>
              <w:left w:val="nil"/>
              <w:bottom w:val="single" w:color="000000" w:sz="6" w:space="0"/>
            </w:tcBorders>
            <w:vAlign w:val="top"/>
          </w:tcPr>
          <w:p w14:paraId="66EBF105">
            <w:pPr>
              <w:keepNext w:val="0"/>
              <w:keepLines w:val="0"/>
              <w:pageBreakBefore w:val="0"/>
              <w:widowControl/>
              <w:kinsoku/>
              <w:wordWrap/>
              <w:overflowPunct/>
              <w:topLinePunct w:val="0"/>
              <w:autoSpaceDE w:val="0"/>
              <w:autoSpaceDN w:val="0"/>
              <w:bidi w:val="0"/>
              <w:adjustRightInd w:val="0"/>
              <w:snapToGrid w:val="0"/>
              <w:spacing w:line="600" w:lineRule="exact"/>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793750</wp:posOffset>
                      </wp:positionH>
                      <wp:positionV relativeFrom="paragraph">
                        <wp:posOffset>105410</wp:posOffset>
                      </wp:positionV>
                      <wp:extent cx="4274820" cy="18669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274820" cy="186690"/>
                              </a:xfrm>
                              <a:prstGeom prst="rect">
                                <a:avLst/>
                              </a:prstGeom>
                              <a:noFill/>
                              <a:ln>
                                <a:noFill/>
                              </a:ln>
                            </wps:spPr>
                            <wps:txbx>
                              <w:txbxContent>
                                <w:p w14:paraId="1317189C">
                                  <w:pPr>
                                    <w:spacing w:before="19" w:line="223" w:lineRule="auto"/>
                                    <w:ind w:left="20"/>
                                    <w:rPr>
                                      <w:rFonts w:ascii="宋体" w:hAnsi="宋体" w:eastAsia="宋体" w:cs="宋体"/>
                                      <w:sz w:val="21"/>
                                      <w:szCs w:val="21"/>
                                    </w:rPr>
                                  </w:pPr>
                                  <w:r>
                                    <w:rPr>
                                      <w:rFonts w:ascii="宋体" w:hAnsi="宋体" w:eastAsia="宋体" w:cs="宋体"/>
                                      <w:spacing w:val="-1"/>
                                      <w:sz w:val="21"/>
                                      <w:szCs w:val="21"/>
                                    </w:rPr>
                                    <w:t>地点</w:t>
                                  </w:r>
                                  <w:r>
                                    <w:rPr>
                                      <w:rFonts w:ascii="宋体" w:hAnsi="宋体" w:eastAsia="宋体" w:cs="宋体"/>
                                      <w:spacing w:val="2"/>
                                      <w:sz w:val="21"/>
                                      <w:szCs w:val="21"/>
                                    </w:rPr>
                                    <w:t xml:space="preserve">              </w:t>
                                  </w:r>
                                  <w:r>
                                    <w:rPr>
                                      <w:rFonts w:ascii="宋体" w:hAnsi="宋体" w:eastAsia="宋体" w:cs="宋体"/>
                                      <w:spacing w:val="-1"/>
                                      <w:sz w:val="21"/>
                                      <w:szCs w:val="21"/>
                                    </w:rPr>
                                    <w:t>最大积水时间    最大积水深度</w:t>
                                  </w:r>
                                  <w:r>
                                    <w:rPr>
                                      <w:rFonts w:ascii="宋体" w:hAnsi="宋体" w:eastAsia="宋体" w:cs="宋体"/>
                                      <w:spacing w:val="14"/>
                                      <w:sz w:val="21"/>
                                      <w:szCs w:val="21"/>
                                    </w:rPr>
                                    <w:t xml:space="preserve">     </w:t>
                                  </w:r>
                                  <w:r>
                                    <w:rPr>
                                      <w:rFonts w:ascii="宋体" w:hAnsi="宋体" w:eastAsia="宋体" w:cs="宋体"/>
                                      <w:spacing w:val="-1"/>
                                      <w:sz w:val="21"/>
                                      <w:szCs w:val="21"/>
                                    </w:rPr>
                                    <w:t>内涝风险等级</w:t>
                                  </w:r>
                                </w:p>
                              </w:txbxContent>
                            </wps:txbx>
                            <wps:bodyPr lIns="0" tIns="0" rIns="0" bIns="0" upright="1"/>
                          </wps:wsp>
                        </a:graphicData>
                      </a:graphic>
                    </wp:anchor>
                  </w:drawing>
                </mc:Choice>
                <mc:Fallback>
                  <w:pict>
                    <v:shape id="_x0000_s1026" o:spid="_x0000_s1026" o:spt="202" type="#_x0000_t202" style="position:absolute;left:0pt;margin-left:62.5pt;margin-top:8.3pt;height:14.7pt;width:336.6pt;z-index:251660288;mso-width-relative:page;mso-height-relative:page;" filled="f" stroked="f" coordsize="21600,21600" o:gfxdata="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2P3kjYAAAACQEAAA8AAAAAAAAAAQAgAAAAIgAAAGRycy9kb3ducmV2LnhtbFBLAQIU&#10;ABQAAAAIAIdO4kA4IKRhugEAAHIDAAAOAAAAAAAAAAEAIAAAACcBAABkcnMvZTJvRG9jLnhtbFBL&#10;BQYAAAAABgAGAFkBAABTBQAAAAA=&#10;">
                      <v:fill on="f" focussize="0,0"/>
                      <v:stroke on="f"/>
                      <v:imagedata o:title=""/>
                      <o:lock v:ext="edit" aspectratio="f"/>
                      <v:textbox inset="0mm,0mm,0mm,0mm">
                        <w:txbxContent>
                          <w:p w14:paraId="1317189C">
                            <w:pPr>
                              <w:spacing w:before="19" w:line="223" w:lineRule="auto"/>
                              <w:ind w:left="20"/>
                              <w:rPr>
                                <w:rFonts w:ascii="宋体" w:hAnsi="宋体" w:eastAsia="宋体" w:cs="宋体"/>
                                <w:sz w:val="21"/>
                                <w:szCs w:val="21"/>
                              </w:rPr>
                            </w:pPr>
                            <w:r>
                              <w:rPr>
                                <w:rFonts w:ascii="宋体" w:hAnsi="宋体" w:eastAsia="宋体" w:cs="宋体"/>
                                <w:spacing w:val="-1"/>
                                <w:sz w:val="21"/>
                                <w:szCs w:val="21"/>
                              </w:rPr>
                              <w:t>地点</w:t>
                            </w:r>
                            <w:r>
                              <w:rPr>
                                <w:rFonts w:ascii="宋体" w:hAnsi="宋体" w:eastAsia="宋体" w:cs="宋体"/>
                                <w:spacing w:val="2"/>
                                <w:sz w:val="21"/>
                                <w:szCs w:val="21"/>
                              </w:rPr>
                              <w:t xml:space="preserve">              </w:t>
                            </w:r>
                            <w:r>
                              <w:rPr>
                                <w:rFonts w:ascii="宋体" w:hAnsi="宋体" w:eastAsia="宋体" w:cs="宋体"/>
                                <w:spacing w:val="-1"/>
                                <w:sz w:val="21"/>
                                <w:szCs w:val="21"/>
                              </w:rPr>
                              <w:t>最大积水时间    最大积水深度</w:t>
                            </w:r>
                            <w:r>
                              <w:rPr>
                                <w:rFonts w:ascii="宋体" w:hAnsi="宋体" w:eastAsia="宋体" w:cs="宋体"/>
                                <w:spacing w:val="14"/>
                                <w:sz w:val="21"/>
                                <w:szCs w:val="21"/>
                              </w:rPr>
                              <w:t xml:space="preserve">     </w:t>
                            </w:r>
                            <w:r>
                              <w:rPr>
                                <w:rFonts w:ascii="宋体" w:hAnsi="宋体" w:eastAsia="宋体" w:cs="宋体"/>
                                <w:spacing w:val="-1"/>
                                <w:sz w:val="21"/>
                                <w:szCs w:val="21"/>
                              </w:rPr>
                              <w:t>内涝风险等级</w:t>
                            </w:r>
                          </w:p>
                        </w:txbxContent>
                      </v:textbox>
                    </v:shape>
                  </w:pict>
                </mc:Fallback>
              </mc:AlternateContent>
            </w:r>
          </w:p>
        </w:tc>
        <w:tc>
          <w:tcPr>
            <w:tcW w:w="1701" w:type="dxa"/>
            <w:gridSpan w:val="2"/>
            <w:tcBorders>
              <w:top w:val="single" w:color="000000" w:sz="6" w:space="0"/>
              <w:bottom w:val="single" w:color="000000" w:sz="6" w:space="0"/>
            </w:tcBorders>
            <w:vAlign w:val="top"/>
          </w:tcPr>
          <w:p w14:paraId="55748983">
            <w:pPr>
              <w:keepNext w:val="0"/>
              <w:keepLines w:val="0"/>
              <w:pageBreakBefore w:val="0"/>
              <w:widowControl/>
              <w:kinsoku/>
              <w:wordWrap/>
              <w:overflowPunct/>
              <w:topLinePunct w:val="0"/>
              <w:autoSpaceDE w:val="0"/>
              <w:autoSpaceDN w:val="0"/>
              <w:bidi w:val="0"/>
              <w:adjustRightInd w:val="0"/>
              <w:snapToGrid w:val="0"/>
              <w:spacing w:line="600" w:lineRule="exact"/>
              <w:jc w:val="both"/>
              <w:textAlignment w:val="baseline"/>
              <w:rPr>
                <w:rFonts w:hint="eastAsia" w:ascii="仿宋_GB2312" w:hAnsi="仿宋_GB2312" w:eastAsia="仿宋_GB2312" w:cs="仿宋_GB2312"/>
                <w:color w:val="auto"/>
                <w:sz w:val="32"/>
                <w:szCs w:val="32"/>
              </w:rPr>
            </w:pPr>
          </w:p>
        </w:tc>
        <w:tc>
          <w:tcPr>
            <w:tcW w:w="1702" w:type="dxa"/>
            <w:gridSpan w:val="2"/>
            <w:tcBorders>
              <w:top w:val="single" w:color="000000" w:sz="6" w:space="0"/>
              <w:bottom w:val="single" w:color="000000" w:sz="6" w:space="0"/>
            </w:tcBorders>
            <w:vAlign w:val="top"/>
          </w:tcPr>
          <w:p w14:paraId="23F9EBBD">
            <w:pPr>
              <w:keepNext w:val="0"/>
              <w:keepLines w:val="0"/>
              <w:pageBreakBefore w:val="0"/>
              <w:widowControl/>
              <w:kinsoku/>
              <w:wordWrap/>
              <w:overflowPunct/>
              <w:topLinePunct w:val="0"/>
              <w:autoSpaceDE w:val="0"/>
              <w:autoSpaceDN w:val="0"/>
              <w:bidi w:val="0"/>
              <w:adjustRightInd w:val="0"/>
              <w:snapToGrid w:val="0"/>
              <w:spacing w:line="600" w:lineRule="exact"/>
              <w:jc w:val="both"/>
              <w:textAlignment w:val="baseline"/>
              <w:rPr>
                <w:rFonts w:hint="eastAsia" w:ascii="仿宋_GB2312" w:hAnsi="仿宋_GB2312" w:eastAsia="仿宋_GB2312" w:cs="仿宋_GB2312"/>
                <w:color w:val="auto"/>
                <w:sz w:val="32"/>
                <w:szCs w:val="32"/>
              </w:rPr>
            </w:pPr>
          </w:p>
        </w:tc>
        <w:tc>
          <w:tcPr>
            <w:tcW w:w="1928" w:type="dxa"/>
            <w:gridSpan w:val="2"/>
            <w:tcBorders>
              <w:top w:val="single" w:color="000000" w:sz="6" w:space="0"/>
              <w:bottom w:val="single" w:color="000000" w:sz="6" w:space="0"/>
              <w:right w:val="nil"/>
            </w:tcBorders>
            <w:vAlign w:val="top"/>
          </w:tcPr>
          <w:p w14:paraId="01A3CBC4">
            <w:pPr>
              <w:keepNext w:val="0"/>
              <w:keepLines w:val="0"/>
              <w:pageBreakBefore w:val="0"/>
              <w:widowControl/>
              <w:kinsoku/>
              <w:wordWrap/>
              <w:overflowPunct/>
              <w:topLinePunct w:val="0"/>
              <w:autoSpaceDE w:val="0"/>
              <w:autoSpaceDN w:val="0"/>
              <w:bidi w:val="0"/>
              <w:adjustRightInd w:val="0"/>
              <w:snapToGrid w:val="0"/>
              <w:spacing w:line="600" w:lineRule="exact"/>
              <w:jc w:val="both"/>
              <w:textAlignment w:val="baseline"/>
              <w:rPr>
                <w:rFonts w:hint="eastAsia" w:ascii="仿宋_GB2312" w:hAnsi="仿宋_GB2312" w:eastAsia="仿宋_GB2312" w:cs="仿宋_GB2312"/>
                <w:color w:val="auto"/>
                <w:sz w:val="32"/>
                <w:szCs w:val="32"/>
              </w:rPr>
            </w:pPr>
          </w:p>
        </w:tc>
      </w:tr>
      <w:tr w14:paraId="02304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4" w:type="dxa"/>
          <w:wAfter w:w="1" w:type="dxa"/>
          <w:trHeight w:val="436" w:hRule="atLeast"/>
        </w:trPr>
        <w:tc>
          <w:tcPr>
            <w:tcW w:w="2976" w:type="dxa"/>
            <w:tcBorders>
              <w:top w:val="single" w:color="000000" w:sz="6" w:space="0"/>
              <w:left w:val="nil"/>
            </w:tcBorders>
            <w:vAlign w:val="top"/>
          </w:tcPr>
          <w:p w14:paraId="55F4343C">
            <w:pPr>
              <w:pStyle w:val="8"/>
              <w:keepNext w:val="0"/>
              <w:keepLines w:val="0"/>
              <w:pageBreakBefore w:val="0"/>
              <w:widowControl/>
              <w:kinsoku/>
              <w:wordWrap/>
              <w:overflowPunct/>
              <w:topLinePunct w:val="0"/>
              <w:autoSpaceDE w:val="0"/>
              <w:autoSpaceDN w:val="0"/>
              <w:bidi w:val="0"/>
              <w:adjustRightInd w:val="0"/>
              <w:snapToGrid w:val="0"/>
              <w:spacing w:line="600" w:lineRule="exact"/>
              <w:ind w:left="273"/>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北三街（东平路</w:t>
            </w:r>
            <w:r>
              <w:rPr>
                <w:rFonts w:hint="eastAsia" w:ascii="仿宋_GB2312" w:hAnsi="仿宋_GB2312" w:eastAsia="仿宋_GB2312" w:cs="仿宋_GB2312"/>
                <w:color w:val="auto"/>
                <w:spacing w:val="-2"/>
                <w:sz w:val="32"/>
                <w:szCs w:val="32"/>
                <w:lang w:eastAsia="zh-CN"/>
              </w:rPr>
              <w:t>—</w:t>
            </w:r>
            <w:r>
              <w:rPr>
                <w:rFonts w:hint="eastAsia" w:ascii="仿宋_GB2312" w:hAnsi="仿宋_GB2312" w:eastAsia="仿宋_GB2312" w:cs="仿宋_GB2312"/>
                <w:color w:val="auto"/>
                <w:spacing w:val="-2"/>
                <w:sz w:val="32"/>
                <w:szCs w:val="32"/>
              </w:rPr>
              <w:t>民华路）</w:t>
            </w:r>
          </w:p>
        </w:tc>
        <w:tc>
          <w:tcPr>
            <w:tcW w:w="1701" w:type="dxa"/>
            <w:gridSpan w:val="2"/>
            <w:tcBorders>
              <w:top w:val="single" w:color="000000" w:sz="6" w:space="0"/>
            </w:tcBorders>
            <w:vAlign w:val="top"/>
          </w:tcPr>
          <w:p w14:paraId="40174C48">
            <w:pPr>
              <w:pStyle w:val="8"/>
              <w:keepNext w:val="0"/>
              <w:keepLines w:val="0"/>
              <w:pageBreakBefore w:val="0"/>
              <w:widowControl/>
              <w:kinsoku/>
              <w:wordWrap/>
              <w:overflowPunct/>
              <w:topLinePunct w:val="0"/>
              <w:autoSpaceDE w:val="0"/>
              <w:autoSpaceDN w:val="0"/>
              <w:bidi w:val="0"/>
              <w:adjustRightInd w:val="0"/>
              <w:snapToGrid w:val="0"/>
              <w:spacing w:line="600" w:lineRule="exact"/>
              <w:ind w:left="746"/>
              <w:jc w:val="both"/>
              <w:textAlignment w:val="baseline"/>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pacing w:val="-1"/>
                <w:sz w:val="32"/>
                <w:szCs w:val="32"/>
              </w:rPr>
              <w:t>2</w:t>
            </w:r>
            <w:r>
              <w:rPr>
                <w:rFonts w:hint="eastAsia" w:ascii="仿宋_GB2312" w:hAnsi="仿宋_GB2312" w:eastAsia="仿宋_GB2312" w:cs="仿宋_GB2312"/>
                <w:color w:val="auto"/>
                <w:spacing w:val="-1"/>
                <w:sz w:val="32"/>
                <w:szCs w:val="32"/>
                <w:lang w:eastAsia="zh-CN"/>
              </w:rPr>
              <w:t>小时</w:t>
            </w:r>
          </w:p>
        </w:tc>
        <w:tc>
          <w:tcPr>
            <w:tcW w:w="1702" w:type="dxa"/>
            <w:gridSpan w:val="2"/>
            <w:tcBorders>
              <w:top w:val="single" w:color="000000" w:sz="6" w:space="0"/>
            </w:tcBorders>
            <w:vAlign w:val="top"/>
          </w:tcPr>
          <w:p w14:paraId="51777B7D">
            <w:pPr>
              <w:pStyle w:val="8"/>
              <w:keepNext w:val="0"/>
              <w:keepLines w:val="0"/>
              <w:pageBreakBefore w:val="0"/>
              <w:widowControl/>
              <w:kinsoku/>
              <w:wordWrap/>
              <w:overflowPunct/>
              <w:topLinePunct w:val="0"/>
              <w:autoSpaceDE w:val="0"/>
              <w:autoSpaceDN w:val="0"/>
              <w:bidi w:val="0"/>
              <w:adjustRightInd w:val="0"/>
              <w:snapToGrid w:val="0"/>
              <w:spacing w:line="600" w:lineRule="exact"/>
              <w:ind w:left="673"/>
              <w:jc w:val="both"/>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pacing w:val="-1"/>
                <w:sz w:val="32"/>
                <w:szCs w:val="32"/>
              </w:rPr>
              <w:t>0.30</w:t>
            </w:r>
            <w:r>
              <w:rPr>
                <w:rFonts w:hint="eastAsia" w:ascii="仿宋_GB2312" w:hAnsi="仿宋_GB2312" w:eastAsia="仿宋_GB2312" w:cs="仿宋_GB2312"/>
                <w:color w:val="auto"/>
                <w:spacing w:val="-1"/>
                <w:sz w:val="32"/>
                <w:szCs w:val="32"/>
                <w:lang w:val="en-US" w:eastAsia="zh-CN"/>
              </w:rPr>
              <w:t>米</w:t>
            </w:r>
          </w:p>
        </w:tc>
        <w:tc>
          <w:tcPr>
            <w:tcW w:w="1928" w:type="dxa"/>
            <w:gridSpan w:val="2"/>
            <w:tcBorders>
              <w:top w:val="single" w:color="000000" w:sz="6" w:space="0"/>
              <w:right w:val="nil"/>
            </w:tcBorders>
            <w:vAlign w:val="top"/>
          </w:tcPr>
          <w:p w14:paraId="7ADCDECC">
            <w:pPr>
              <w:keepNext w:val="0"/>
              <w:keepLines w:val="0"/>
              <w:pageBreakBefore w:val="0"/>
              <w:widowControl/>
              <w:kinsoku/>
              <w:wordWrap/>
              <w:overflowPunct/>
              <w:topLinePunct w:val="0"/>
              <w:autoSpaceDE w:val="0"/>
              <w:autoSpaceDN w:val="0"/>
              <w:bidi w:val="0"/>
              <w:adjustRightInd w:val="0"/>
              <w:snapToGrid w:val="0"/>
              <w:spacing w:line="600" w:lineRule="exact"/>
              <w:ind w:left="869"/>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高</w:t>
            </w:r>
          </w:p>
        </w:tc>
      </w:tr>
      <w:tr w14:paraId="52272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4" w:type="dxa"/>
          <w:wAfter w:w="1" w:type="dxa"/>
          <w:trHeight w:val="441" w:hRule="atLeast"/>
        </w:trPr>
        <w:tc>
          <w:tcPr>
            <w:tcW w:w="2976" w:type="dxa"/>
            <w:tcBorders>
              <w:left w:val="nil"/>
            </w:tcBorders>
            <w:vAlign w:val="top"/>
          </w:tcPr>
          <w:p w14:paraId="10FBAF50">
            <w:pPr>
              <w:pStyle w:val="8"/>
              <w:keepNext w:val="0"/>
              <w:keepLines w:val="0"/>
              <w:pageBreakBefore w:val="0"/>
              <w:widowControl/>
              <w:kinsoku/>
              <w:wordWrap/>
              <w:overflowPunct/>
              <w:topLinePunct w:val="0"/>
              <w:autoSpaceDE w:val="0"/>
              <w:autoSpaceDN w:val="0"/>
              <w:bidi w:val="0"/>
              <w:adjustRightInd w:val="0"/>
              <w:snapToGrid w:val="0"/>
              <w:spacing w:line="600" w:lineRule="exact"/>
              <w:ind w:left="165"/>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
                <w:sz w:val="32"/>
                <w:szCs w:val="32"/>
              </w:rPr>
              <w:t>锦绣大街（客运站</w:t>
            </w:r>
            <w:r>
              <w:rPr>
                <w:rFonts w:hint="eastAsia" w:ascii="仿宋_GB2312" w:hAnsi="仿宋_GB2312" w:eastAsia="仿宋_GB2312" w:cs="仿宋_GB2312"/>
                <w:color w:val="auto"/>
                <w:spacing w:val="-1"/>
                <w:sz w:val="32"/>
                <w:szCs w:val="32"/>
                <w:lang w:eastAsia="zh-CN"/>
              </w:rPr>
              <w:t>—</w:t>
            </w:r>
            <w:r>
              <w:rPr>
                <w:rFonts w:hint="eastAsia" w:ascii="仿宋_GB2312" w:hAnsi="仿宋_GB2312" w:eastAsia="仿宋_GB2312" w:cs="仿宋_GB2312"/>
                <w:color w:val="auto"/>
                <w:spacing w:val="-1"/>
                <w:sz w:val="32"/>
                <w:szCs w:val="32"/>
              </w:rPr>
              <w:t>东平路）</w:t>
            </w:r>
          </w:p>
        </w:tc>
        <w:tc>
          <w:tcPr>
            <w:tcW w:w="1701" w:type="dxa"/>
            <w:gridSpan w:val="2"/>
            <w:vAlign w:val="top"/>
          </w:tcPr>
          <w:p w14:paraId="5BB53CE8">
            <w:pPr>
              <w:pStyle w:val="8"/>
              <w:keepNext w:val="0"/>
              <w:keepLines w:val="0"/>
              <w:pageBreakBefore w:val="0"/>
              <w:widowControl/>
              <w:kinsoku/>
              <w:wordWrap/>
              <w:overflowPunct/>
              <w:topLinePunct w:val="0"/>
              <w:autoSpaceDE w:val="0"/>
              <w:autoSpaceDN w:val="0"/>
              <w:bidi w:val="0"/>
              <w:adjustRightInd w:val="0"/>
              <w:snapToGrid w:val="0"/>
              <w:spacing w:line="600" w:lineRule="exact"/>
              <w:ind w:left="766"/>
              <w:jc w:val="both"/>
              <w:textAlignment w:val="baseline"/>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pacing w:val="-6"/>
                <w:sz w:val="32"/>
                <w:szCs w:val="32"/>
              </w:rPr>
              <w:t>1</w:t>
            </w:r>
            <w:r>
              <w:rPr>
                <w:rFonts w:hint="eastAsia" w:ascii="仿宋_GB2312" w:hAnsi="仿宋_GB2312" w:eastAsia="仿宋_GB2312" w:cs="仿宋_GB2312"/>
                <w:color w:val="auto"/>
                <w:spacing w:val="-6"/>
                <w:sz w:val="32"/>
                <w:szCs w:val="32"/>
                <w:lang w:eastAsia="zh-CN"/>
              </w:rPr>
              <w:t>小时</w:t>
            </w:r>
          </w:p>
        </w:tc>
        <w:tc>
          <w:tcPr>
            <w:tcW w:w="1702" w:type="dxa"/>
            <w:gridSpan w:val="2"/>
            <w:vAlign w:val="top"/>
          </w:tcPr>
          <w:p w14:paraId="26519716">
            <w:pPr>
              <w:pStyle w:val="8"/>
              <w:keepNext w:val="0"/>
              <w:keepLines w:val="0"/>
              <w:pageBreakBefore w:val="0"/>
              <w:widowControl/>
              <w:kinsoku/>
              <w:wordWrap/>
              <w:overflowPunct/>
              <w:topLinePunct w:val="0"/>
              <w:autoSpaceDE w:val="0"/>
              <w:autoSpaceDN w:val="0"/>
              <w:bidi w:val="0"/>
              <w:adjustRightInd w:val="0"/>
              <w:snapToGrid w:val="0"/>
              <w:spacing w:line="600" w:lineRule="exact"/>
              <w:ind w:left="673"/>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
                <w:sz w:val="32"/>
                <w:szCs w:val="32"/>
              </w:rPr>
              <w:t>0.30</w:t>
            </w:r>
            <w:r>
              <w:rPr>
                <w:rFonts w:hint="eastAsia" w:ascii="仿宋_GB2312" w:hAnsi="仿宋_GB2312" w:eastAsia="仿宋_GB2312" w:cs="仿宋_GB2312"/>
                <w:color w:val="auto"/>
                <w:spacing w:val="-1"/>
                <w:sz w:val="32"/>
                <w:szCs w:val="32"/>
                <w:lang w:val="en-US" w:eastAsia="zh-CN"/>
              </w:rPr>
              <w:t>米</w:t>
            </w:r>
          </w:p>
        </w:tc>
        <w:tc>
          <w:tcPr>
            <w:tcW w:w="1928" w:type="dxa"/>
            <w:gridSpan w:val="2"/>
            <w:tcBorders>
              <w:right w:val="nil"/>
            </w:tcBorders>
            <w:vAlign w:val="top"/>
          </w:tcPr>
          <w:p w14:paraId="54DFFE02">
            <w:pPr>
              <w:keepNext w:val="0"/>
              <w:keepLines w:val="0"/>
              <w:pageBreakBefore w:val="0"/>
              <w:widowControl/>
              <w:kinsoku/>
              <w:wordWrap/>
              <w:overflowPunct/>
              <w:topLinePunct w:val="0"/>
              <w:autoSpaceDE w:val="0"/>
              <w:autoSpaceDN w:val="0"/>
              <w:bidi w:val="0"/>
              <w:adjustRightInd w:val="0"/>
              <w:snapToGrid w:val="0"/>
              <w:spacing w:line="600" w:lineRule="exact"/>
              <w:ind w:left="869"/>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高</w:t>
            </w:r>
          </w:p>
        </w:tc>
      </w:tr>
      <w:tr w14:paraId="7633E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4" w:type="dxa"/>
          <w:wAfter w:w="1" w:type="dxa"/>
          <w:trHeight w:val="439" w:hRule="atLeast"/>
        </w:trPr>
        <w:tc>
          <w:tcPr>
            <w:tcW w:w="2976" w:type="dxa"/>
            <w:tcBorders>
              <w:left w:val="nil"/>
            </w:tcBorders>
            <w:vAlign w:val="top"/>
          </w:tcPr>
          <w:p w14:paraId="296731C2">
            <w:pPr>
              <w:pStyle w:val="8"/>
              <w:keepNext w:val="0"/>
              <w:keepLines w:val="0"/>
              <w:pageBreakBefore w:val="0"/>
              <w:widowControl/>
              <w:kinsoku/>
              <w:wordWrap/>
              <w:overflowPunct/>
              <w:topLinePunct w:val="0"/>
              <w:autoSpaceDE w:val="0"/>
              <w:autoSpaceDN w:val="0"/>
              <w:bidi w:val="0"/>
              <w:adjustRightInd w:val="0"/>
              <w:snapToGrid w:val="0"/>
              <w:spacing w:line="600" w:lineRule="exact"/>
              <w:ind w:left="165"/>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
                <w:sz w:val="32"/>
                <w:szCs w:val="32"/>
              </w:rPr>
              <w:t>新三街（冰岛酒店</w:t>
            </w:r>
            <w:r>
              <w:rPr>
                <w:rFonts w:hint="eastAsia" w:ascii="仿宋_GB2312" w:hAnsi="仿宋_GB2312" w:eastAsia="仿宋_GB2312" w:cs="仿宋_GB2312"/>
                <w:color w:val="auto"/>
                <w:spacing w:val="-1"/>
                <w:sz w:val="32"/>
                <w:szCs w:val="32"/>
                <w:lang w:eastAsia="zh-CN"/>
              </w:rPr>
              <w:t>—</w:t>
            </w:r>
            <w:r>
              <w:rPr>
                <w:rFonts w:hint="eastAsia" w:ascii="仿宋_GB2312" w:hAnsi="仿宋_GB2312" w:eastAsia="仿宋_GB2312" w:cs="仿宋_GB2312"/>
                <w:color w:val="auto"/>
                <w:spacing w:val="-1"/>
                <w:sz w:val="32"/>
                <w:szCs w:val="32"/>
              </w:rPr>
              <w:t>东平路）</w:t>
            </w:r>
          </w:p>
        </w:tc>
        <w:tc>
          <w:tcPr>
            <w:tcW w:w="1701" w:type="dxa"/>
            <w:gridSpan w:val="2"/>
            <w:vAlign w:val="top"/>
          </w:tcPr>
          <w:p w14:paraId="24894C40">
            <w:pPr>
              <w:pStyle w:val="8"/>
              <w:keepNext w:val="0"/>
              <w:keepLines w:val="0"/>
              <w:pageBreakBefore w:val="0"/>
              <w:widowControl/>
              <w:kinsoku/>
              <w:wordWrap/>
              <w:overflowPunct/>
              <w:topLinePunct w:val="0"/>
              <w:autoSpaceDE w:val="0"/>
              <w:autoSpaceDN w:val="0"/>
              <w:bidi w:val="0"/>
              <w:adjustRightInd w:val="0"/>
              <w:snapToGrid w:val="0"/>
              <w:spacing w:line="600" w:lineRule="exact"/>
              <w:ind w:left="746"/>
              <w:jc w:val="both"/>
              <w:textAlignment w:val="baseline"/>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pacing w:val="-1"/>
                <w:sz w:val="32"/>
                <w:szCs w:val="32"/>
              </w:rPr>
              <w:t>2</w:t>
            </w:r>
            <w:r>
              <w:rPr>
                <w:rFonts w:hint="eastAsia" w:ascii="仿宋_GB2312" w:hAnsi="仿宋_GB2312" w:eastAsia="仿宋_GB2312" w:cs="仿宋_GB2312"/>
                <w:color w:val="auto"/>
                <w:spacing w:val="-1"/>
                <w:sz w:val="32"/>
                <w:szCs w:val="32"/>
                <w:lang w:eastAsia="zh-CN"/>
              </w:rPr>
              <w:t>小时</w:t>
            </w:r>
          </w:p>
        </w:tc>
        <w:tc>
          <w:tcPr>
            <w:tcW w:w="1702" w:type="dxa"/>
            <w:gridSpan w:val="2"/>
            <w:vAlign w:val="top"/>
          </w:tcPr>
          <w:p w14:paraId="23999EDD">
            <w:pPr>
              <w:pStyle w:val="8"/>
              <w:keepNext w:val="0"/>
              <w:keepLines w:val="0"/>
              <w:pageBreakBefore w:val="0"/>
              <w:widowControl/>
              <w:kinsoku/>
              <w:wordWrap/>
              <w:overflowPunct/>
              <w:topLinePunct w:val="0"/>
              <w:autoSpaceDE w:val="0"/>
              <w:autoSpaceDN w:val="0"/>
              <w:bidi w:val="0"/>
              <w:adjustRightInd w:val="0"/>
              <w:snapToGrid w:val="0"/>
              <w:spacing w:line="600" w:lineRule="exact"/>
              <w:ind w:left="673"/>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
                <w:sz w:val="32"/>
                <w:szCs w:val="32"/>
              </w:rPr>
              <w:t>0.40</w:t>
            </w:r>
            <w:r>
              <w:rPr>
                <w:rFonts w:hint="eastAsia" w:ascii="仿宋_GB2312" w:hAnsi="仿宋_GB2312" w:eastAsia="仿宋_GB2312" w:cs="仿宋_GB2312"/>
                <w:color w:val="auto"/>
                <w:spacing w:val="-1"/>
                <w:sz w:val="32"/>
                <w:szCs w:val="32"/>
                <w:lang w:val="en-US" w:eastAsia="zh-CN"/>
              </w:rPr>
              <w:t>米</w:t>
            </w:r>
          </w:p>
        </w:tc>
        <w:tc>
          <w:tcPr>
            <w:tcW w:w="1928" w:type="dxa"/>
            <w:gridSpan w:val="2"/>
            <w:tcBorders>
              <w:right w:val="nil"/>
            </w:tcBorders>
            <w:vAlign w:val="top"/>
          </w:tcPr>
          <w:p w14:paraId="2B8FB6FA">
            <w:pPr>
              <w:keepNext w:val="0"/>
              <w:keepLines w:val="0"/>
              <w:pageBreakBefore w:val="0"/>
              <w:widowControl/>
              <w:kinsoku/>
              <w:wordWrap/>
              <w:overflowPunct/>
              <w:topLinePunct w:val="0"/>
              <w:autoSpaceDE w:val="0"/>
              <w:autoSpaceDN w:val="0"/>
              <w:bidi w:val="0"/>
              <w:adjustRightInd w:val="0"/>
              <w:snapToGrid w:val="0"/>
              <w:spacing w:line="600" w:lineRule="exact"/>
              <w:ind w:left="883"/>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中</w:t>
            </w:r>
          </w:p>
        </w:tc>
      </w:tr>
      <w:tr w14:paraId="4B2F0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14" w:type="dxa"/>
          <w:wAfter w:w="1" w:type="dxa"/>
          <w:trHeight w:val="437" w:hRule="atLeast"/>
        </w:trPr>
        <w:tc>
          <w:tcPr>
            <w:tcW w:w="2976" w:type="dxa"/>
            <w:tcBorders>
              <w:left w:val="nil"/>
              <w:bottom w:val="nil"/>
            </w:tcBorders>
            <w:vAlign w:val="top"/>
          </w:tcPr>
          <w:p w14:paraId="1AD99228">
            <w:pPr>
              <w:pStyle w:val="8"/>
              <w:keepNext w:val="0"/>
              <w:keepLines w:val="0"/>
              <w:pageBreakBefore w:val="0"/>
              <w:widowControl/>
              <w:kinsoku/>
              <w:wordWrap/>
              <w:overflowPunct/>
              <w:topLinePunct w:val="0"/>
              <w:autoSpaceDE w:val="0"/>
              <w:autoSpaceDN w:val="0"/>
              <w:bidi w:val="0"/>
              <w:adjustRightInd w:val="0"/>
              <w:snapToGrid w:val="0"/>
              <w:spacing w:line="600" w:lineRule="exact"/>
              <w:ind w:left="271"/>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
                <w:sz w:val="32"/>
                <w:szCs w:val="32"/>
              </w:rPr>
              <w:t>锦绣大街(家具城西侧小路)</w:t>
            </w:r>
          </w:p>
        </w:tc>
        <w:tc>
          <w:tcPr>
            <w:tcW w:w="1701" w:type="dxa"/>
            <w:gridSpan w:val="2"/>
            <w:tcBorders>
              <w:bottom w:val="nil"/>
            </w:tcBorders>
            <w:vAlign w:val="top"/>
          </w:tcPr>
          <w:p w14:paraId="411EFC12">
            <w:pPr>
              <w:pStyle w:val="8"/>
              <w:keepNext w:val="0"/>
              <w:keepLines w:val="0"/>
              <w:pageBreakBefore w:val="0"/>
              <w:widowControl/>
              <w:kinsoku/>
              <w:wordWrap/>
              <w:overflowPunct/>
              <w:topLinePunct w:val="0"/>
              <w:autoSpaceDE w:val="0"/>
              <w:autoSpaceDN w:val="0"/>
              <w:bidi w:val="0"/>
              <w:adjustRightInd w:val="0"/>
              <w:snapToGrid w:val="0"/>
              <w:spacing w:line="600" w:lineRule="exact"/>
              <w:ind w:left="746"/>
              <w:jc w:val="both"/>
              <w:textAlignment w:val="baseline"/>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pacing w:val="-1"/>
                <w:sz w:val="32"/>
                <w:szCs w:val="32"/>
              </w:rPr>
              <w:t>2</w:t>
            </w:r>
            <w:r>
              <w:rPr>
                <w:rFonts w:hint="eastAsia" w:ascii="仿宋_GB2312" w:hAnsi="仿宋_GB2312" w:eastAsia="仿宋_GB2312" w:cs="仿宋_GB2312"/>
                <w:color w:val="auto"/>
                <w:spacing w:val="-1"/>
                <w:sz w:val="32"/>
                <w:szCs w:val="32"/>
                <w:lang w:eastAsia="zh-CN"/>
              </w:rPr>
              <w:t>小时</w:t>
            </w:r>
          </w:p>
        </w:tc>
        <w:tc>
          <w:tcPr>
            <w:tcW w:w="1702" w:type="dxa"/>
            <w:gridSpan w:val="2"/>
            <w:tcBorders>
              <w:bottom w:val="nil"/>
            </w:tcBorders>
            <w:vAlign w:val="top"/>
          </w:tcPr>
          <w:p w14:paraId="7501C4EB">
            <w:pPr>
              <w:pStyle w:val="8"/>
              <w:keepNext w:val="0"/>
              <w:keepLines w:val="0"/>
              <w:pageBreakBefore w:val="0"/>
              <w:widowControl/>
              <w:kinsoku/>
              <w:wordWrap/>
              <w:overflowPunct/>
              <w:topLinePunct w:val="0"/>
              <w:autoSpaceDE w:val="0"/>
              <w:autoSpaceDN w:val="0"/>
              <w:bidi w:val="0"/>
              <w:adjustRightInd w:val="0"/>
              <w:snapToGrid w:val="0"/>
              <w:spacing w:line="600" w:lineRule="exact"/>
              <w:ind w:left="673"/>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
                <w:sz w:val="32"/>
                <w:szCs w:val="32"/>
              </w:rPr>
              <w:t>0.30</w:t>
            </w:r>
            <w:r>
              <w:rPr>
                <w:rFonts w:hint="eastAsia" w:ascii="仿宋_GB2312" w:hAnsi="仿宋_GB2312" w:eastAsia="仿宋_GB2312" w:cs="仿宋_GB2312"/>
                <w:color w:val="auto"/>
                <w:spacing w:val="-1"/>
                <w:sz w:val="32"/>
                <w:szCs w:val="32"/>
                <w:lang w:val="en-US" w:eastAsia="zh-CN"/>
              </w:rPr>
              <w:t>米</w:t>
            </w:r>
          </w:p>
        </w:tc>
        <w:tc>
          <w:tcPr>
            <w:tcW w:w="1928" w:type="dxa"/>
            <w:gridSpan w:val="2"/>
            <w:tcBorders>
              <w:bottom w:val="nil"/>
              <w:right w:val="nil"/>
            </w:tcBorders>
            <w:vAlign w:val="top"/>
          </w:tcPr>
          <w:p w14:paraId="457967A5">
            <w:pPr>
              <w:keepNext w:val="0"/>
              <w:keepLines w:val="0"/>
              <w:pageBreakBefore w:val="0"/>
              <w:widowControl/>
              <w:kinsoku/>
              <w:wordWrap/>
              <w:overflowPunct/>
              <w:topLinePunct w:val="0"/>
              <w:autoSpaceDE w:val="0"/>
              <w:autoSpaceDN w:val="0"/>
              <w:bidi w:val="0"/>
              <w:adjustRightInd w:val="0"/>
              <w:snapToGrid w:val="0"/>
              <w:spacing w:line="600" w:lineRule="exact"/>
              <w:ind w:left="869"/>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高</w:t>
            </w:r>
          </w:p>
        </w:tc>
      </w:tr>
      <w:tr w14:paraId="6EB1A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991" w:type="dxa"/>
            <w:gridSpan w:val="3"/>
            <w:tcBorders>
              <w:left w:val="nil"/>
            </w:tcBorders>
            <w:vAlign w:val="top"/>
          </w:tcPr>
          <w:p w14:paraId="78E5D82C">
            <w:pPr>
              <w:pStyle w:val="8"/>
              <w:keepNext w:val="0"/>
              <w:keepLines w:val="0"/>
              <w:pageBreakBefore w:val="0"/>
              <w:widowControl/>
              <w:kinsoku/>
              <w:wordWrap/>
              <w:overflowPunct/>
              <w:topLinePunct w:val="0"/>
              <w:autoSpaceDE w:val="0"/>
              <w:autoSpaceDN w:val="0"/>
              <w:bidi w:val="0"/>
              <w:adjustRightInd w:val="0"/>
              <w:snapToGrid w:val="0"/>
              <w:spacing w:line="600" w:lineRule="exact"/>
              <w:ind w:left="428"/>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
                <w:sz w:val="32"/>
                <w:szCs w:val="32"/>
              </w:rPr>
              <w:t>教育路(向阳路</w:t>
            </w:r>
            <w:r>
              <w:rPr>
                <w:rFonts w:hint="eastAsia" w:ascii="仿宋_GB2312" w:hAnsi="仿宋_GB2312" w:eastAsia="仿宋_GB2312" w:cs="仿宋_GB2312"/>
                <w:color w:val="auto"/>
                <w:spacing w:val="-1"/>
                <w:sz w:val="32"/>
                <w:szCs w:val="32"/>
                <w:lang w:eastAsia="zh-CN"/>
              </w:rPr>
              <w:t>—</w:t>
            </w:r>
            <w:r>
              <w:rPr>
                <w:rFonts w:hint="eastAsia" w:ascii="仿宋_GB2312" w:hAnsi="仿宋_GB2312" w:eastAsia="仿宋_GB2312" w:cs="仿宋_GB2312"/>
                <w:color w:val="auto"/>
                <w:spacing w:val="-1"/>
                <w:sz w:val="32"/>
                <w:szCs w:val="32"/>
              </w:rPr>
              <w:t>东平路)</w:t>
            </w:r>
          </w:p>
        </w:tc>
        <w:tc>
          <w:tcPr>
            <w:tcW w:w="1701" w:type="dxa"/>
            <w:gridSpan w:val="2"/>
            <w:vAlign w:val="top"/>
          </w:tcPr>
          <w:p w14:paraId="1F63B262">
            <w:pPr>
              <w:pStyle w:val="8"/>
              <w:keepNext w:val="0"/>
              <w:keepLines w:val="0"/>
              <w:pageBreakBefore w:val="0"/>
              <w:widowControl/>
              <w:kinsoku/>
              <w:wordWrap/>
              <w:overflowPunct/>
              <w:topLinePunct w:val="0"/>
              <w:autoSpaceDE w:val="0"/>
              <w:autoSpaceDN w:val="0"/>
              <w:bidi w:val="0"/>
              <w:adjustRightInd w:val="0"/>
              <w:snapToGrid w:val="0"/>
              <w:spacing w:line="600" w:lineRule="exact"/>
              <w:ind w:left="745"/>
              <w:jc w:val="both"/>
              <w:textAlignment w:val="baseline"/>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pacing w:val="-1"/>
                <w:sz w:val="32"/>
                <w:szCs w:val="32"/>
              </w:rPr>
              <w:t>2</w:t>
            </w:r>
            <w:r>
              <w:rPr>
                <w:rFonts w:hint="eastAsia" w:ascii="仿宋_GB2312" w:hAnsi="仿宋_GB2312" w:eastAsia="仿宋_GB2312" w:cs="仿宋_GB2312"/>
                <w:color w:val="auto"/>
                <w:spacing w:val="-1"/>
                <w:sz w:val="32"/>
                <w:szCs w:val="32"/>
                <w:lang w:eastAsia="zh-CN"/>
              </w:rPr>
              <w:t>小时</w:t>
            </w:r>
          </w:p>
        </w:tc>
        <w:tc>
          <w:tcPr>
            <w:tcW w:w="1702" w:type="dxa"/>
            <w:gridSpan w:val="2"/>
            <w:vAlign w:val="top"/>
          </w:tcPr>
          <w:p w14:paraId="3944718E">
            <w:pPr>
              <w:pStyle w:val="8"/>
              <w:keepNext w:val="0"/>
              <w:keepLines w:val="0"/>
              <w:pageBreakBefore w:val="0"/>
              <w:widowControl/>
              <w:kinsoku/>
              <w:wordWrap/>
              <w:overflowPunct/>
              <w:topLinePunct w:val="0"/>
              <w:autoSpaceDE w:val="0"/>
              <w:autoSpaceDN w:val="0"/>
              <w:bidi w:val="0"/>
              <w:adjustRightInd w:val="0"/>
              <w:snapToGrid w:val="0"/>
              <w:spacing w:line="600" w:lineRule="exact"/>
              <w:ind w:left="673"/>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
                <w:sz w:val="32"/>
                <w:szCs w:val="32"/>
              </w:rPr>
              <w:t>0.30</w:t>
            </w:r>
            <w:r>
              <w:rPr>
                <w:rFonts w:hint="eastAsia" w:ascii="仿宋_GB2312" w:hAnsi="仿宋_GB2312" w:eastAsia="仿宋_GB2312" w:cs="仿宋_GB2312"/>
                <w:color w:val="auto"/>
                <w:spacing w:val="-1"/>
                <w:sz w:val="32"/>
                <w:szCs w:val="32"/>
                <w:lang w:val="en-US" w:eastAsia="zh-CN"/>
              </w:rPr>
              <w:t>米</w:t>
            </w:r>
          </w:p>
        </w:tc>
        <w:tc>
          <w:tcPr>
            <w:tcW w:w="1928" w:type="dxa"/>
            <w:gridSpan w:val="2"/>
            <w:tcBorders>
              <w:right w:val="nil"/>
            </w:tcBorders>
            <w:vAlign w:val="top"/>
          </w:tcPr>
          <w:p w14:paraId="59C7A4C6">
            <w:pPr>
              <w:keepNext w:val="0"/>
              <w:keepLines w:val="0"/>
              <w:pageBreakBefore w:val="0"/>
              <w:widowControl/>
              <w:kinsoku/>
              <w:wordWrap/>
              <w:overflowPunct/>
              <w:topLinePunct w:val="0"/>
              <w:autoSpaceDE w:val="0"/>
              <w:autoSpaceDN w:val="0"/>
              <w:bidi w:val="0"/>
              <w:adjustRightInd w:val="0"/>
              <w:snapToGrid w:val="0"/>
              <w:spacing w:line="600" w:lineRule="exact"/>
              <w:ind w:left="862"/>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低</w:t>
            </w:r>
          </w:p>
        </w:tc>
      </w:tr>
    </w:tbl>
    <w:p w14:paraId="77779B6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目前常用的情景模拟评估法通过对城镇积水时间、积水深度、地表径流流速及积水损失等因素综合分析，确定洪涝风险等级划分为洪涝高风险区、洪涝中风险区、洪涝低风险区。易涝点风险评估结果如下（图中红色区域为高风险区域，玫红色为中风险区域，绿色为低风险区域）：</w:t>
      </w:r>
    </w:p>
    <w:p w14:paraId="56A8E8DD">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图3城市内涝风险区划图</w:t>
      </w:r>
    </w:p>
    <w:p w14:paraId="5F47F216">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7BFE23A8">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1351A0DF">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position w:val="-151"/>
          <w:sz w:val="32"/>
          <w:szCs w:val="32"/>
        </w:rPr>
        <w:drawing>
          <wp:anchor distT="0" distB="0" distL="0" distR="0" simplePos="0" relativeHeight="251661312" behindDoc="0" locked="0" layoutInCell="1" allowOverlap="1">
            <wp:simplePos x="0" y="0"/>
            <wp:positionH relativeFrom="column">
              <wp:posOffset>243840</wp:posOffset>
            </wp:positionH>
            <wp:positionV relativeFrom="paragraph">
              <wp:posOffset>136525</wp:posOffset>
            </wp:positionV>
            <wp:extent cx="5499100" cy="2926080"/>
            <wp:effectExtent l="0" t="0" r="6350" b="762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8"/>
                    <a:stretch>
                      <a:fillRect/>
                    </a:stretch>
                  </pic:blipFill>
                  <pic:spPr>
                    <a:xfrm>
                      <a:off x="0" y="0"/>
                      <a:ext cx="5499100" cy="2926080"/>
                    </a:xfrm>
                    <a:prstGeom prst="rect">
                      <a:avLst/>
                    </a:prstGeom>
                  </pic:spPr>
                </pic:pic>
              </a:graphicData>
            </a:graphic>
          </wp:anchor>
        </w:drawing>
      </w:r>
    </w:p>
    <w:p w14:paraId="483E57D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77F4401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0939561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7013E2F8">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7E6424D1">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229D78E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64F616A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7E07C4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五</w:t>
      </w:r>
      <w:r>
        <w:rPr>
          <w:rFonts w:hint="eastAsia" w:ascii="楷体" w:hAnsi="楷体" w:eastAsia="楷体" w:cs="楷体"/>
          <w:sz w:val="32"/>
          <w:szCs w:val="32"/>
          <w:lang w:eastAsia="zh-CN"/>
        </w:rPr>
        <w:t>、</w:t>
      </w:r>
      <w:r>
        <w:rPr>
          <w:rFonts w:hint="eastAsia" w:ascii="楷体" w:hAnsi="楷体" w:eastAsia="楷体" w:cs="楷体"/>
          <w:sz w:val="32"/>
          <w:szCs w:val="32"/>
        </w:rPr>
        <w:t>危险性分析</w:t>
      </w:r>
    </w:p>
    <w:p w14:paraId="4BC63C8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路面积水、污水倒灌</w:t>
      </w:r>
    </w:p>
    <w:p w14:paraId="702D566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富锦市排水管网基本遍布全市，城区排水管道现以合流制排水管道为主，服役年限较长，设计标准较低，现正处在排水管道改造更换进程中。一旦遭受强降雨，城区排水管网负荷大幅增加，将造成城市道路大范围积水、污水倒灌等事故，严重增加城区受灾范围，使得城市公共设施及居民个人财产遭受巨大损失。</w:t>
      </w:r>
    </w:p>
    <w:p w14:paraId="14AF20C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地面塌陷</w:t>
      </w:r>
    </w:p>
    <w:p w14:paraId="49112A8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富锦市现正在进行富锦市西部城区排水防涝改造、富锦市老城区排水防涝改造等项目的施工工作，如遇强降雨冲刷，可能造成安全标识损毁、沟槽塌陷等问题，造成安全隐患，威胁人民群众的安全。</w:t>
      </w:r>
    </w:p>
    <w:p w14:paraId="7E537BC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交通事故</w:t>
      </w:r>
    </w:p>
    <w:p w14:paraId="370CB1D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强降雨不仅影响视野，且易造成路面湿滑积水、周围物品被冲至车行道等问题，可能导致车辆失控、侧滑等安全事故，威胁人民群众生命财产安全。</w:t>
      </w:r>
    </w:p>
    <w:p w14:paraId="063B578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六</w:t>
      </w:r>
      <w:r>
        <w:rPr>
          <w:rFonts w:hint="eastAsia" w:ascii="楷体" w:hAnsi="楷体" w:eastAsia="楷体" w:cs="楷体"/>
          <w:sz w:val="32"/>
          <w:szCs w:val="32"/>
          <w:lang w:eastAsia="zh-CN"/>
        </w:rPr>
        <w:t>、</w:t>
      </w:r>
      <w:r>
        <w:rPr>
          <w:rFonts w:hint="eastAsia" w:ascii="楷体" w:hAnsi="楷体" w:eastAsia="楷体" w:cs="楷体"/>
          <w:sz w:val="32"/>
          <w:szCs w:val="32"/>
        </w:rPr>
        <w:t>重点防护对象</w:t>
      </w:r>
    </w:p>
    <w:p w14:paraId="4973667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富锦市政府、富锦镇政府、富锦市交通局、城东街道办事处、城西街道办事处、富锦市中心医院、富锦市铁路医院、富锦市第四医院等。</w:t>
      </w:r>
    </w:p>
    <w:p w14:paraId="05BC1A6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城区排水提升泵站：幸福泵站、永兴泵站、东平泵站、六小泵站、科技楼泵站</w:t>
      </w:r>
    </w:p>
    <w:p w14:paraId="069D4DA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城区主要市政道路：中央大街、锦绣大街、进思大街、向阳路、东平路、西平路、新开路、文明街等。</w:t>
      </w:r>
    </w:p>
    <w:p w14:paraId="4B46D7B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城市低洼易积水区域：</w:t>
      </w:r>
    </w:p>
    <w:p w14:paraId="7347725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1)北三</w:t>
      </w:r>
      <w:r>
        <w:rPr>
          <w:rFonts w:hint="eastAsia" w:ascii="仿宋_GB2312" w:hAnsi="仿宋_GB2312" w:eastAsia="仿宋_GB2312" w:cs="仿宋_GB2312"/>
          <w:sz w:val="32"/>
          <w:szCs w:val="32"/>
          <w:lang w:val="en-US" w:eastAsia="zh-CN"/>
        </w:rPr>
        <w:t>道</w:t>
      </w:r>
      <w:r>
        <w:rPr>
          <w:rFonts w:hint="eastAsia" w:ascii="仿宋_GB2312" w:hAnsi="仿宋_GB2312" w:eastAsia="仿宋_GB2312" w:cs="仿宋_GB2312"/>
          <w:sz w:val="32"/>
          <w:szCs w:val="32"/>
        </w:rPr>
        <w:t>街（东平路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民华路）附近地区：富锦市第六中学、富锦第三中学等。积水深度约</w:t>
      </w:r>
      <w:r>
        <w:rPr>
          <w:rFonts w:hint="eastAsia" w:ascii="仿宋_GB2312" w:hAnsi="仿宋_GB2312" w:eastAsia="仿宋_GB2312" w:cs="仿宋_GB2312"/>
          <w:sz w:val="32"/>
          <w:szCs w:val="32"/>
          <w:lang w:val="en-US" w:eastAsia="zh-CN"/>
        </w:rPr>
        <w:t>0.3</w:t>
      </w:r>
      <w:r>
        <w:rPr>
          <w:rFonts w:hint="eastAsia" w:ascii="仿宋_GB2312" w:hAnsi="仿宋_GB2312" w:eastAsia="仿宋_GB2312" w:cs="仿宋_GB2312"/>
          <w:sz w:val="32"/>
          <w:szCs w:val="32"/>
          <w:lang w:eastAsia="zh-CN"/>
        </w:rPr>
        <w:t>米</w:t>
      </w:r>
      <w:r>
        <w:rPr>
          <w:rFonts w:hint="eastAsia" w:ascii="仿宋_GB2312" w:hAnsi="仿宋_GB2312" w:eastAsia="仿宋_GB2312" w:cs="仿宋_GB2312"/>
          <w:sz w:val="32"/>
          <w:szCs w:val="32"/>
        </w:rPr>
        <w:t>，最大积水时间可达2</w:t>
      </w:r>
      <w:r>
        <w:rPr>
          <w:rFonts w:hint="eastAsia" w:ascii="仿宋_GB2312" w:hAnsi="仿宋_GB2312" w:eastAsia="仿宋_GB2312" w:cs="仿宋_GB2312"/>
          <w:sz w:val="32"/>
          <w:szCs w:val="32"/>
          <w:lang w:eastAsia="zh-CN"/>
        </w:rPr>
        <w:t>小时</w:t>
      </w:r>
      <w:r>
        <w:rPr>
          <w:rFonts w:hint="eastAsia" w:ascii="仿宋_GB2312" w:hAnsi="仿宋_GB2312" w:eastAsia="仿宋_GB2312" w:cs="仿宋_GB2312"/>
          <w:sz w:val="32"/>
          <w:szCs w:val="32"/>
        </w:rPr>
        <w:t>。</w:t>
      </w:r>
    </w:p>
    <w:p w14:paraId="3BE4C7A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2)锦绣大街（客运站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东平路）附近区域：富锦市公路客运站、铁路小学、北大幼儿园等。积水深度约</w:t>
      </w:r>
      <w:r>
        <w:rPr>
          <w:rFonts w:hint="eastAsia" w:ascii="仿宋_GB2312" w:hAnsi="仿宋_GB2312" w:eastAsia="仿宋_GB2312" w:cs="仿宋_GB2312"/>
          <w:sz w:val="32"/>
          <w:szCs w:val="32"/>
          <w:lang w:val="en-US" w:eastAsia="zh-CN"/>
        </w:rPr>
        <w:t>0.3</w:t>
      </w:r>
      <w:r>
        <w:rPr>
          <w:rFonts w:hint="eastAsia" w:ascii="仿宋_GB2312" w:hAnsi="仿宋_GB2312" w:eastAsia="仿宋_GB2312" w:cs="仿宋_GB2312"/>
          <w:sz w:val="32"/>
          <w:szCs w:val="32"/>
          <w:lang w:eastAsia="zh-CN"/>
        </w:rPr>
        <w:t>米</w:t>
      </w:r>
      <w:r>
        <w:rPr>
          <w:rFonts w:hint="eastAsia" w:ascii="仿宋_GB2312" w:hAnsi="仿宋_GB2312" w:eastAsia="仿宋_GB2312" w:cs="仿宋_GB2312"/>
          <w:sz w:val="32"/>
          <w:szCs w:val="32"/>
        </w:rPr>
        <w:t>，最大积水时间可达1</w:t>
      </w:r>
      <w:r>
        <w:rPr>
          <w:rFonts w:hint="eastAsia" w:ascii="仿宋_GB2312" w:hAnsi="仿宋_GB2312" w:eastAsia="仿宋_GB2312" w:cs="仿宋_GB2312"/>
          <w:sz w:val="32"/>
          <w:szCs w:val="32"/>
          <w:lang w:eastAsia="zh-CN"/>
        </w:rPr>
        <w:t>小时</w:t>
      </w:r>
      <w:r>
        <w:rPr>
          <w:rFonts w:hint="eastAsia" w:ascii="仿宋_GB2312" w:hAnsi="仿宋_GB2312" w:eastAsia="仿宋_GB2312" w:cs="仿宋_GB2312"/>
          <w:sz w:val="32"/>
          <w:szCs w:val="32"/>
        </w:rPr>
        <w:t>。</w:t>
      </w:r>
    </w:p>
    <w:p w14:paraId="5F74450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3)新三街（冰岛酒店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东平路）附近区域：富锦市第一中学等。积水深度约</w:t>
      </w:r>
      <w:r>
        <w:rPr>
          <w:rFonts w:hint="eastAsia" w:ascii="仿宋_GB2312" w:hAnsi="仿宋_GB2312" w:eastAsia="仿宋_GB2312" w:cs="仿宋_GB2312"/>
          <w:sz w:val="32"/>
          <w:szCs w:val="32"/>
          <w:lang w:val="en-US" w:eastAsia="zh-CN"/>
        </w:rPr>
        <w:t>0.4</w:t>
      </w:r>
      <w:r>
        <w:rPr>
          <w:rFonts w:hint="eastAsia" w:ascii="仿宋_GB2312" w:hAnsi="仿宋_GB2312" w:eastAsia="仿宋_GB2312" w:cs="仿宋_GB2312"/>
          <w:sz w:val="32"/>
          <w:szCs w:val="32"/>
          <w:lang w:eastAsia="zh-CN"/>
        </w:rPr>
        <w:t>米</w:t>
      </w:r>
      <w:r>
        <w:rPr>
          <w:rFonts w:hint="eastAsia" w:ascii="仿宋_GB2312" w:hAnsi="仿宋_GB2312" w:eastAsia="仿宋_GB2312" w:cs="仿宋_GB2312"/>
          <w:sz w:val="32"/>
          <w:szCs w:val="32"/>
        </w:rPr>
        <w:t>，最大积水时间可达2</w:t>
      </w:r>
      <w:r>
        <w:rPr>
          <w:rFonts w:hint="eastAsia" w:ascii="仿宋_GB2312" w:hAnsi="仿宋_GB2312" w:eastAsia="仿宋_GB2312" w:cs="仿宋_GB2312"/>
          <w:sz w:val="32"/>
          <w:szCs w:val="32"/>
          <w:lang w:eastAsia="zh-CN"/>
        </w:rPr>
        <w:t>小时</w:t>
      </w:r>
      <w:r>
        <w:rPr>
          <w:rFonts w:hint="eastAsia" w:ascii="仿宋_GB2312" w:hAnsi="仿宋_GB2312" w:eastAsia="仿宋_GB2312" w:cs="仿宋_GB2312"/>
          <w:sz w:val="32"/>
          <w:szCs w:val="32"/>
        </w:rPr>
        <w:t>。</w:t>
      </w:r>
    </w:p>
    <w:p w14:paraId="023D0F3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4)锦绣大街(家具城西侧小路)附近区域：富锦市家具城、大风车幼儿园等。积水深度约</w:t>
      </w:r>
      <w:r>
        <w:rPr>
          <w:rFonts w:hint="eastAsia" w:ascii="仿宋_GB2312" w:hAnsi="仿宋_GB2312" w:eastAsia="仿宋_GB2312" w:cs="仿宋_GB2312"/>
          <w:sz w:val="32"/>
          <w:szCs w:val="32"/>
          <w:lang w:val="en-US" w:eastAsia="zh-CN"/>
        </w:rPr>
        <w:t>0.3</w:t>
      </w:r>
      <w:r>
        <w:rPr>
          <w:rFonts w:hint="eastAsia" w:ascii="仿宋_GB2312" w:hAnsi="仿宋_GB2312" w:eastAsia="仿宋_GB2312" w:cs="仿宋_GB2312"/>
          <w:sz w:val="32"/>
          <w:szCs w:val="32"/>
          <w:lang w:eastAsia="zh-CN"/>
        </w:rPr>
        <w:t>米</w:t>
      </w:r>
      <w:r>
        <w:rPr>
          <w:rFonts w:hint="eastAsia" w:ascii="仿宋_GB2312" w:hAnsi="仿宋_GB2312" w:eastAsia="仿宋_GB2312" w:cs="仿宋_GB2312"/>
          <w:sz w:val="32"/>
          <w:szCs w:val="32"/>
        </w:rPr>
        <w:t>，最大积水时间可达2</w:t>
      </w:r>
      <w:r>
        <w:rPr>
          <w:rFonts w:hint="eastAsia" w:ascii="仿宋_GB2312" w:hAnsi="仿宋_GB2312" w:eastAsia="仿宋_GB2312" w:cs="仿宋_GB2312"/>
          <w:sz w:val="32"/>
          <w:szCs w:val="32"/>
          <w:lang w:eastAsia="zh-CN"/>
        </w:rPr>
        <w:t>小时</w:t>
      </w:r>
      <w:r>
        <w:rPr>
          <w:rFonts w:hint="eastAsia" w:ascii="仿宋_GB2312" w:hAnsi="仿宋_GB2312" w:eastAsia="仿宋_GB2312" w:cs="仿宋_GB2312"/>
          <w:sz w:val="32"/>
          <w:szCs w:val="32"/>
        </w:rPr>
        <w:t>。</w:t>
      </w:r>
    </w:p>
    <w:p w14:paraId="74B79D5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5)教育路(向阳路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东平路)附近区域，积水深度约</w:t>
      </w:r>
      <w:r>
        <w:rPr>
          <w:rFonts w:hint="eastAsia" w:ascii="仿宋_GB2312" w:hAnsi="仿宋_GB2312" w:eastAsia="仿宋_GB2312" w:cs="仿宋_GB2312"/>
          <w:sz w:val="32"/>
          <w:szCs w:val="32"/>
          <w:lang w:val="en-US" w:eastAsia="zh-CN"/>
        </w:rPr>
        <w:t>0.3</w:t>
      </w:r>
      <w:bookmarkStart w:id="0" w:name="_GoBack"/>
      <w:bookmarkEnd w:id="0"/>
      <w:r>
        <w:rPr>
          <w:rFonts w:hint="eastAsia" w:ascii="仿宋_GB2312" w:hAnsi="仿宋_GB2312" w:eastAsia="仿宋_GB2312" w:cs="仿宋_GB2312"/>
          <w:sz w:val="32"/>
          <w:szCs w:val="32"/>
          <w:lang w:eastAsia="zh-CN"/>
        </w:rPr>
        <w:t>米</w:t>
      </w:r>
      <w:r>
        <w:rPr>
          <w:rFonts w:hint="eastAsia" w:ascii="仿宋_GB2312" w:hAnsi="仿宋_GB2312" w:eastAsia="仿宋_GB2312" w:cs="仿宋_GB2312"/>
          <w:sz w:val="32"/>
          <w:szCs w:val="32"/>
        </w:rPr>
        <w:t>，最大积水时间可达2</w:t>
      </w:r>
      <w:r>
        <w:rPr>
          <w:rFonts w:hint="eastAsia" w:ascii="仿宋_GB2312" w:hAnsi="仿宋_GB2312" w:eastAsia="仿宋_GB2312" w:cs="仿宋_GB2312"/>
          <w:sz w:val="32"/>
          <w:szCs w:val="32"/>
          <w:lang w:eastAsia="zh-CN"/>
        </w:rPr>
        <w:t>小时</w:t>
      </w:r>
      <w:r>
        <w:rPr>
          <w:rFonts w:hint="eastAsia" w:ascii="仿宋_GB2312" w:hAnsi="仿宋_GB2312" w:eastAsia="仿宋_GB2312" w:cs="仿宋_GB2312"/>
          <w:sz w:val="32"/>
          <w:szCs w:val="32"/>
        </w:rPr>
        <w:t>。</w:t>
      </w:r>
    </w:p>
    <w:p w14:paraId="6F02D16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受暴雨影响易造成路基坍塌地段的市政道路及地下管道：富锦市西部城区排水防涝改造项目、富锦市老城区排水防涝改造项目等项目施工路段。</w:t>
      </w:r>
    </w:p>
    <w:p w14:paraId="54DD470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在建工地和在册危房及疑似危房。</w:t>
      </w:r>
    </w:p>
    <w:p w14:paraId="0C8D1AE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城区主要街道、易涝点等重要、危险地段的路灯设施。</w:t>
      </w:r>
    </w:p>
    <w:p w14:paraId="33417B6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公园、广场、绿地及道路绿地内易受汛期暴雨、大风天气影响而倒伏的树木。</w:t>
      </w:r>
    </w:p>
    <w:p w14:paraId="0DF90FA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第三章应急组织与职责</w:t>
      </w:r>
    </w:p>
    <w:p w14:paraId="541DCC4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w:t>
      </w:r>
      <w:r>
        <w:rPr>
          <w:rFonts w:hint="eastAsia" w:ascii="楷体" w:hAnsi="楷体" w:eastAsia="楷体" w:cs="楷体"/>
          <w:sz w:val="32"/>
          <w:szCs w:val="32"/>
          <w:lang w:eastAsia="zh-CN"/>
        </w:rPr>
        <w:t>、</w:t>
      </w:r>
      <w:r>
        <w:rPr>
          <w:rFonts w:hint="eastAsia" w:ascii="楷体" w:hAnsi="楷体" w:eastAsia="楷体" w:cs="楷体"/>
          <w:sz w:val="32"/>
          <w:szCs w:val="32"/>
        </w:rPr>
        <w:t>应急组织形式</w:t>
      </w:r>
    </w:p>
    <w:p w14:paraId="2CA7BD9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为使城区内涝抢险应急工作做到统一指挥、统一调度、行动迅速，最大限度的避免和减少灾害及损失，特成立富锦市防内涝应急指挥部，防内涝应急指挥部办公室设在市住房和城乡建设局。</w:t>
      </w:r>
    </w:p>
    <w:p w14:paraId="5BE4A46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总指挥长：市长赵尉凯</w:t>
      </w:r>
    </w:p>
    <w:p w14:paraId="45A52D8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副总指挥：主管常务副市长杨志宇</w:t>
      </w:r>
    </w:p>
    <w:p w14:paraId="3F2616ED">
      <w:pPr>
        <w:keepNext w:val="0"/>
        <w:keepLines w:val="0"/>
        <w:pageBreakBefore w:val="0"/>
        <w:widowControl w:val="0"/>
        <w:kinsoku/>
        <w:wordWrap/>
        <w:overflowPunct/>
        <w:topLinePunct w:val="0"/>
        <w:autoSpaceDE/>
        <w:autoSpaceDN/>
        <w:bidi w:val="0"/>
        <w:adjustRightInd/>
        <w:snapToGrid/>
        <w:spacing w:line="600" w:lineRule="exact"/>
        <w:ind w:firstLine="2240" w:firstLineChars="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主管城建副市长万永发</w:t>
      </w:r>
    </w:p>
    <w:p w14:paraId="02C80CD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任：市住房和城乡建设局局长李海峰</w:t>
      </w:r>
    </w:p>
    <w:p w14:paraId="05CC4B8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主</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任：市住房和城乡建设局副局长马宝山</w:t>
      </w:r>
    </w:p>
    <w:p w14:paraId="74276C0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主要成员单位：富锦市住房和城乡建设局、富锦市应急管理局、富锦市水务局、富锦市气象局、富锦市交通警察</w:t>
      </w:r>
      <w:r>
        <w:rPr>
          <w:rFonts w:hint="eastAsia" w:ascii="仿宋_GB2312" w:hAnsi="仿宋_GB2312" w:eastAsia="仿宋_GB2312" w:cs="仿宋_GB2312"/>
          <w:sz w:val="32"/>
          <w:szCs w:val="32"/>
          <w:lang w:val="en-US" w:eastAsia="zh-CN"/>
        </w:rPr>
        <w:t>大</w:t>
      </w:r>
      <w:r>
        <w:rPr>
          <w:rFonts w:hint="eastAsia" w:ascii="仿宋_GB2312" w:hAnsi="仿宋_GB2312" w:eastAsia="仿宋_GB2312" w:cs="仿宋_GB2312"/>
          <w:sz w:val="32"/>
          <w:szCs w:val="32"/>
        </w:rPr>
        <w:t>队、国网黑龙江富锦市供电公司、城东街道办事处、城西街道办事处、富锦经济开发区管理委员会</w:t>
      </w:r>
      <w:r>
        <w:rPr>
          <w:rFonts w:hint="eastAsia" w:ascii="仿宋_GB2312" w:hAnsi="仿宋_GB2312" w:eastAsia="仿宋_GB2312" w:cs="仿宋_GB2312"/>
          <w:sz w:val="32"/>
          <w:szCs w:val="32"/>
          <w:lang w:eastAsia="zh-CN"/>
        </w:rPr>
        <w:t>。</w:t>
      </w:r>
    </w:p>
    <w:p w14:paraId="6BA0F4B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w:t>
      </w:r>
      <w:r>
        <w:rPr>
          <w:rFonts w:hint="eastAsia" w:ascii="楷体" w:hAnsi="楷体" w:eastAsia="楷体" w:cs="楷体"/>
          <w:sz w:val="32"/>
          <w:szCs w:val="32"/>
          <w:lang w:eastAsia="zh-CN"/>
        </w:rPr>
        <w:t>、</w:t>
      </w:r>
      <w:r>
        <w:rPr>
          <w:rFonts w:hint="eastAsia" w:ascii="楷体" w:hAnsi="楷体" w:eastAsia="楷体" w:cs="楷体"/>
          <w:sz w:val="32"/>
          <w:szCs w:val="32"/>
        </w:rPr>
        <w:t>应急成员职责</w:t>
      </w:r>
    </w:p>
    <w:p w14:paraId="20F1AB3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富锦市住房和城乡建设局：</w:t>
      </w:r>
      <w:r>
        <w:rPr>
          <w:rFonts w:hint="eastAsia" w:ascii="仿宋_GB2312" w:hAnsi="仿宋_GB2312" w:eastAsia="仿宋_GB2312" w:cs="仿宋_GB2312"/>
          <w:sz w:val="32"/>
          <w:szCs w:val="32"/>
        </w:rPr>
        <w:t>负责在市区产生大面积内涝时，统筹应对处置工作，协调各成员单位参加应急抢险工作。负责组织全局干部职工参与市区防涝各项工作。承担防内涝应急指挥部日常工作。</w:t>
      </w:r>
    </w:p>
    <w:p w14:paraId="466B244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富锦市应急管理局：</w:t>
      </w:r>
      <w:r>
        <w:rPr>
          <w:rFonts w:hint="eastAsia" w:ascii="仿宋_GB2312" w:hAnsi="仿宋_GB2312" w:eastAsia="仿宋_GB2312" w:cs="仿宋_GB2312"/>
          <w:sz w:val="32"/>
          <w:szCs w:val="32"/>
        </w:rPr>
        <w:t>负责指导协调防内涝应急抢险救援救灾，协调各类应急专业队伍，衔接解放军、武警部队等参与应急抢险救灾工作。指导协调灾害救助和人员转移安置工作，指导灾情核查、损失评估，依法开展救灾捐赠工作，协调分配防汛救灾物资并监督使用。</w:t>
      </w:r>
    </w:p>
    <w:p w14:paraId="19A4DBD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富锦市水务局：</w:t>
      </w:r>
      <w:r>
        <w:rPr>
          <w:rFonts w:hint="eastAsia" w:ascii="仿宋_GB2312" w:hAnsi="仿宋_GB2312" w:eastAsia="仿宋_GB2312" w:cs="仿宋_GB2312"/>
          <w:sz w:val="32"/>
          <w:szCs w:val="32"/>
        </w:rPr>
        <w:t>承担防御洪水应急抢险的技术支撑工作。负责城市内河河道水面漂浮垃圾清理工作。</w:t>
      </w:r>
    </w:p>
    <w:p w14:paraId="574BB2B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富锦市气象局：</w:t>
      </w:r>
      <w:r>
        <w:rPr>
          <w:rFonts w:hint="eastAsia" w:ascii="仿宋_GB2312" w:hAnsi="仿宋_GB2312" w:eastAsia="仿宋_GB2312" w:cs="仿宋_GB2312"/>
          <w:sz w:val="32"/>
          <w:szCs w:val="32"/>
        </w:rPr>
        <w:t>负责气象监测预报预警，及时提供天气预报和降水等气象信息。</w:t>
      </w:r>
    </w:p>
    <w:p w14:paraId="1021FB7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富锦市交通警察</w:t>
      </w:r>
      <w:r>
        <w:rPr>
          <w:rFonts w:hint="eastAsia" w:ascii="仿宋_GB2312" w:hAnsi="仿宋_GB2312" w:eastAsia="仿宋_GB2312" w:cs="仿宋_GB2312"/>
          <w:b/>
          <w:bCs/>
          <w:sz w:val="32"/>
          <w:szCs w:val="32"/>
          <w:lang w:val="en-US" w:eastAsia="zh-CN"/>
        </w:rPr>
        <w:t>大</w:t>
      </w:r>
      <w:r>
        <w:rPr>
          <w:rFonts w:hint="eastAsia" w:ascii="仿宋_GB2312" w:hAnsi="仿宋_GB2312" w:eastAsia="仿宋_GB2312" w:cs="仿宋_GB2312"/>
          <w:b/>
          <w:bCs/>
          <w:sz w:val="32"/>
          <w:szCs w:val="32"/>
        </w:rPr>
        <w:t>队：</w:t>
      </w:r>
      <w:r>
        <w:rPr>
          <w:rFonts w:hint="eastAsia" w:ascii="仿宋_GB2312" w:hAnsi="仿宋_GB2312" w:eastAsia="仿宋_GB2312" w:cs="仿宋_GB2312"/>
          <w:sz w:val="32"/>
          <w:szCs w:val="32"/>
        </w:rPr>
        <w:t>负责城市内涝区域道路交通应急管理，维护城市内涝抢险工作秩序。市政道路产生大面积积水时，立即进行交通管制，严重区域实施全线封锁。</w:t>
      </w:r>
    </w:p>
    <w:p w14:paraId="1522FD7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国网黑龙江富锦市供电公司：</w:t>
      </w:r>
      <w:r>
        <w:rPr>
          <w:rFonts w:hint="eastAsia" w:ascii="仿宋_GB2312" w:hAnsi="仿宋_GB2312" w:eastAsia="仿宋_GB2312" w:cs="仿宋_GB2312"/>
          <w:sz w:val="32"/>
          <w:szCs w:val="32"/>
        </w:rPr>
        <w:t>负责保障汛期城市安全供电和电力设施抢修工作，重点负责市区排水泵站出现外网突发电力故障时的各项救援。</w:t>
      </w:r>
    </w:p>
    <w:p w14:paraId="0B809B3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城东街道办事处：</w:t>
      </w:r>
      <w:r>
        <w:rPr>
          <w:rFonts w:hint="eastAsia" w:ascii="仿宋_GB2312" w:hAnsi="仿宋_GB2312" w:eastAsia="仿宋_GB2312" w:cs="仿宋_GB2312"/>
          <w:sz w:val="32"/>
          <w:szCs w:val="32"/>
        </w:rPr>
        <w:t>做好城区东部街道易涝区域（如低洼小区、人防、门市商服、企业等）汛期巡查工作，如遇积水及时联系应急队伍进行处理处置。重点负责富锦市城区东部的应急处置及交通疏导工作。</w:t>
      </w:r>
    </w:p>
    <w:p w14:paraId="6BE94A1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城西街道办事处：</w:t>
      </w:r>
      <w:r>
        <w:rPr>
          <w:rFonts w:hint="eastAsia" w:ascii="仿宋_GB2312" w:hAnsi="仿宋_GB2312" w:eastAsia="仿宋_GB2312" w:cs="仿宋_GB2312"/>
          <w:sz w:val="32"/>
          <w:szCs w:val="32"/>
        </w:rPr>
        <w:t>做好城区西部街道易涝区域（如低洼小区、人防、门市商服、企业等）汛期巡查工作，如遇积水及时联系应急队伍进行处理处置。重点负责富锦市城区西部的应急处置及交通疏导工作。</w:t>
      </w:r>
    </w:p>
    <w:p w14:paraId="08438AF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富锦经济开发区管理委员会：</w:t>
      </w:r>
      <w:r>
        <w:rPr>
          <w:rFonts w:hint="eastAsia" w:ascii="仿宋_GB2312" w:hAnsi="仿宋_GB2312" w:eastAsia="仿宋_GB2312" w:cs="仿宋_GB2312"/>
          <w:sz w:val="32"/>
          <w:szCs w:val="32"/>
        </w:rPr>
        <w:t>负责汛期经济开发区企业各项排水防涝工作。随时关注气象信息，积极与住建、水务、应急等部门做好联动，提前做好各项应急抢险救援及物资储备工作。</w:t>
      </w:r>
    </w:p>
    <w:p w14:paraId="06A52EE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各成员单位根据本预案，严格履行防内涝应急抢险工作职责，严格落实重点地段防内涝应急措施，汛期要实行领导负责制、值班制度和报告制度，出现重大问题第一时间上报防内涝应急指挥部。</w:t>
      </w:r>
    </w:p>
    <w:p w14:paraId="10528BEF">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表2各成员单位负责人联系方式</w:t>
      </w:r>
    </w:p>
    <w:tbl>
      <w:tblPr>
        <w:tblStyle w:val="7"/>
        <w:tblW w:w="8322"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01"/>
        <w:gridCol w:w="1553"/>
        <w:gridCol w:w="3068"/>
      </w:tblGrid>
      <w:tr w14:paraId="72ABF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3701" w:type="dxa"/>
            <w:tcBorders>
              <w:top w:val="single" w:color="000000" w:sz="6" w:space="0"/>
              <w:left w:val="nil"/>
            </w:tcBorders>
            <w:vAlign w:val="top"/>
          </w:tcPr>
          <w:p w14:paraId="3129F155">
            <w:pPr>
              <w:keepNext w:val="0"/>
              <w:keepLines w:val="0"/>
              <w:pageBreakBefore w:val="0"/>
              <w:widowControl/>
              <w:kinsoku/>
              <w:wordWrap/>
              <w:overflowPunct/>
              <w:topLinePunct w:val="0"/>
              <w:autoSpaceDE w:val="0"/>
              <w:autoSpaceDN w:val="0"/>
              <w:bidi w:val="0"/>
              <w:adjustRightInd w:val="0"/>
              <w:snapToGrid w:val="0"/>
              <w:spacing w:line="600" w:lineRule="exact"/>
              <w:ind w:left="1453"/>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4"/>
                <w:sz w:val="32"/>
                <w:szCs w:val="32"/>
              </w:rPr>
              <w:t>负责部门</w:t>
            </w:r>
          </w:p>
        </w:tc>
        <w:tc>
          <w:tcPr>
            <w:tcW w:w="1553" w:type="dxa"/>
            <w:tcBorders>
              <w:top w:val="single" w:color="000000" w:sz="6" w:space="0"/>
            </w:tcBorders>
            <w:vAlign w:val="top"/>
          </w:tcPr>
          <w:p w14:paraId="4BB5D85E">
            <w:pPr>
              <w:keepNext w:val="0"/>
              <w:keepLines w:val="0"/>
              <w:pageBreakBefore w:val="0"/>
              <w:widowControl/>
              <w:kinsoku/>
              <w:wordWrap/>
              <w:overflowPunct/>
              <w:topLinePunct w:val="0"/>
              <w:autoSpaceDE w:val="0"/>
              <w:autoSpaceDN w:val="0"/>
              <w:bidi w:val="0"/>
              <w:adjustRightInd w:val="0"/>
              <w:snapToGrid w:val="0"/>
              <w:spacing w:line="600" w:lineRule="exact"/>
              <w:ind w:left="475"/>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3"/>
                <w:sz w:val="32"/>
                <w:szCs w:val="32"/>
              </w:rPr>
              <w:t>负责人</w:t>
            </w:r>
          </w:p>
        </w:tc>
        <w:tc>
          <w:tcPr>
            <w:tcW w:w="3068" w:type="dxa"/>
            <w:tcBorders>
              <w:top w:val="single" w:color="000000" w:sz="6" w:space="0"/>
              <w:right w:val="nil"/>
            </w:tcBorders>
            <w:vAlign w:val="top"/>
          </w:tcPr>
          <w:p w14:paraId="46461BF6">
            <w:pPr>
              <w:keepNext w:val="0"/>
              <w:keepLines w:val="0"/>
              <w:pageBreakBefore w:val="0"/>
              <w:widowControl/>
              <w:kinsoku/>
              <w:wordWrap/>
              <w:overflowPunct/>
              <w:topLinePunct w:val="0"/>
              <w:autoSpaceDE w:val="0"/>
              <w:autoSpaceDN w:val="0"/>
              <w:bidi w:val="0"/>
              <w:adjustRightInd w:val="0"/>
              <w:snapToGrid w:val="0"/>
              <w:spacing w:line="600" w:lineRule="exact"/>
              <w:ind w:left="1120"/>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联系电话</w:t>
            </w:r>
          </w:p>
        </w:tc>
      </w:tr>
      <w:tr w14:paraId="4543C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3701" w:type="dxa"/>
            <w:tcBorders>
              <w:left w:val="nil"/>
            </w:tcBorders>
            <w:vAlign w:val="top"/>
          </w:tcPr>
          <w:p w14:paraId="47DA6DA2">
            <w:pPr>
              <w:keepNext w:val="0"/>
              <w:keepLines w:val="0"/>
              <w:pageBreakBefore w:val="0"/>
              <w:widowControl/>
              <w:kinsoku/>
              <w:wordWrap/>
              <w:overflowPunct/>
              <w:topLinePunct w:val="0"/>
              <w:autoSpaceDE w:val="0"/>
              <w:autoSpaceDN w:val="0"/>
              <w:bidi w:val="0"/>
              <w:adjustRightInd w:val="0"/>
              <w:snapToGrid w:val="0"/>
              <w:spacing w:line="600" w:lineRule="exact"/>
              <w:ind w:left="719"/>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富锦市住房和城乡建设局</w:t>
            </w:r>
          </w:p>
        </w:tc>
        <w:tc>
          <w:tcPr>
            <w:tcW w:w="1553" w:type="dxa"/>
            <w:vAlign w:val="top"/>
          </w:tcPr>
          <w:p w14:paraId="05A2D426">
            <w:pPr>
              <w:keepNext w:val="0"/>
              <w:keepLines w:val="0"/>
              <w:pageBreakBefore w:val="0"/>
              <w:widowControl/>
              <w:kinsoku/>
              <w:wordWrap/>
              <w:overflowPunct/>
              <w:topLinePunct w:val="0"/>
              <w:autoSpaceDE w:val="0"/>
              <w:autoSpaceDN w:val="0"/>
              <w:bidi w:val="0"/>
              <w:adjustRightInd w:val="0"/>
              <w:snapToGrid w:val="0"/>
              <w:spacing w:line="600" w:lineRule="exact"/>
              <w:ind w:left="468"/>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李海峰</w:t>
            </w:r>
          </w:p>
        </w:tc>
        <w:tc>
          <w:tcPr>
            <w:tcW w:w="3068" w:type="dxa"/>
            <w:tcBorders>
              <w:right w:val="nil"/>
            </w:tcBorders>
            <w:vAlign w:val="top"/>
          </w:tcPr>
          <w:p w14:paraId="19411FE9">
            <w:pPr>
              <w:pStyle w:val="8"/>
              <w:keepNext w:val="0"/>
              <w:keepLines w:val="0"/>
              <w:pageBreakBefore w:val="0"/>
              <w:widowControl/>
              <w:kinsoku/>
              <w:wordWrap/>
              <w:overflowPunct/>
              <w:topLinePunct w:val="0"/>
              <w:autoSpaceDE w:val="0"/>
              <w:autoSpaceDN w:val="0"/>
              <w:bidi w:val="0"/>
              <w:adjustRightInd w:val="0"/>
              <w:snapToGrid w:val="0"/>
              <w:spacing w:line="600" w:lineRule="exact"/>
              <w:ind w:left="977"/>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18724256333</w:t>
            </w:r>
          </w:p>
        </w:tc>
      </w:tr>
      <w:tr w14:paraId="78017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3701" w:type="dxa"/>
            <w:tcBorders>
              <w:left w:val="nil"/>
            </w:tcBorders>
            <w:vAlign w:val="top"/>
          </w:tcPr>
          <w:p w14:paraId="5E51144F">
            <w:pPr>
              <w:keepNext w:val="0"/>
              <w:keepLines w:val="0"/>
              <w:pageBreakBefore w:val="0"/>
              <w:widowControl/>
              <w:kinsoku/>
              <w:wordWrap/>
              <w:overflowPunct/>
              <w:topLinePunct w:val="0"/>
              <w:autoSpaceDE w:val="0"/>
              <w:autoSpaceDN w:val="0"/>
              <w:bidi w:val="0"/>
              <w:adjustRightInd w:val="0"/>
              <w:snapToGrid w:val="0"/>
              <w:spacing w:line="600" w:lineRule="exact"/>
              <w:ind w:left="1036"/>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富锦市应急管理局</w:t>
            </w:r>
          </w:p>
        </w:tc>
        <w:tc>
          <w:tcPr>
            <w:tcW w:w="1553" w:type="dxa"/>
            <w:vAlign w:val="top"/>
          </w:tcPr>
          <w:p w14:paraId="24CBB7E4">
            <w:pPr>
              <w:keepNext w:val="0"/>
              <w:keepLines w:val="0"/>
              <w:pageBreakBefore w:val="0"/>
              <w:widowControl/>
              <w:kinsoku/>
              <w:wordWrap/>
              <w:overflowPunct/>
              <w:topLinePunct w:val="0"/>
              <w:autoSpaceDE w:val="0"/>
              <w:autoSpaceDN w:val="0"/>
              <w:bidi w:val="0"/>
              <w:adjustRightInd w:val="0"/>
              <w:snapToGrid w:val="0"/>
              <w:spacing w:line="600" w:lineRule="exact"/>
              <w:ind w:left="467"/>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孙红日</w:t>
            </w:r>
          </w:p>
        </w:tc>
        <w:tc>
          <w:tcPr>
            <w:tcW w:w="3068" w:type="dxa"/>
            <w:tcBorders>
              <w:right w:val="nil"/>
            </w:tcBorders>
            <w:vAlign w:val="top"/>
          </w:tcPr>
          <w:p w14:paraId="7098E36F">
            <w:pPr>
              <w:pStyle w:val="8"/>
              <w:keepNext w:val="0"/>
              <w:keepLines w:val="0"/>
              <w:pageBreakBefore w:val="0"/>
              <w:widowControl/>
              <w:kinsoku/>
              <w:wordWrap/>
              <w:overflowPunct/>
              <w:topLinePunct w:val="0"/>
              <w:autoSpaceDE w:val="0"/>
              <w:autoSpaceDN w:val="0"/>
              <w:bidi w:val="0"/>
              <w:adjustRightInd w:val="0"/>
              <w:snapToGrid w:val="0"/>
              <w:spacing w:line="600" w:lineRule="exact"/>
              <w:ind w:left="977"/>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15645431678</w:t>
            </w:r>
          </w:p>
        </w:tc>
      </w:tr>
      <w:tr w14:paraId="40809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3701" w:type="dxa"/>
            <w:tcBorders>
              <w:left w:val="nil"/>
            </w:tcBorders>
            <w:vAlign w:val="top"/>
          </w:tcPr>
          <w:p w14:paraId="07DD60FF">
            <w:pPr>
              <w:keepNext w:val="0"/>
              <w:keepLines w:val="0"/>
              <w:pageBreakBefore w:val="0"/>
              <w:widowControl/>
              <w:kinsoku/>
              <w:wordWrap/>
              <w:overflowPunct/>
              <w:topLinePunct w:val="0"/>
              <w:autoSpaceDE w:val="0"/>
              <w:autoSpaceDN w:val="0"/>
              <w:bidi w:val="0"/>
              <w:adjustRightInd w:val="0"/>
              <w:snapToGrid w:val="0"/>
              <w:spacing w:line="600" w:lineRule="exact"/>
              <w:ind w:left="1245"/>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3"/>
                <w:sz w:val="32"/>
                <w:szCs w:val="32"/>
              </w:rPr>
              <w:t>富锦市水务局</w:t>
            </w:r>
          </w:p>
        </w:tc>
        <w:tc>
          <w:tcPr>
            <w:tcW w:w="1553" w:type="dxa"/>
            <w:vAlign w:val="top"/>
          </w:tcPr>
          <w:p w14:paraId="72313BAD">
            <w:pPr>
              <w:keepNext w:val="0"/>
              <w:keepLines w:val="0"/>
              <w:pageBreakBefore w:val="0"/>
              <w:widowControl/>
              <w:kinsoku/>
              <w:wordWrap/>
              <w:overflowPunct/>
              <w:topLinePunct w:val="0"/>
              <w:autoSpaceDE w:val="0"/>
              <w:autoSpaceDN w:val="0"/>
              <w:bidi w:val="0"/>
              <w:adjustRightInd w:val="0"/>
              <w:snapToGrid w:val="0"/>
              <w:spacing w:line="600" w:lineRule="exact"/>
              <w:ind w:left="471"/>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3"/>
                <w:sz w:val="32"/>
                <w:szCs w:val="32"/>
              </w:rPr>
              <w:t>张清泉</w:t>
            </w:r>
          </w:p>
        </w:tc>
        <w:tc>
          <w:tcPr>
            <w:tcW w:w="3068" w:type="dxa"/>
            <w:tcBorders>
              <w:right w:val="nil"/>
            </w:tcBorders>
            <w:vAlign w:val="top"/>
          </w:tcPr>
          <w:p w14:paraId="79EA9F1C">
            <w:pPr>
              <w:pStyle w:val="8"/>
              <w:keepNext w:val="0"/>
              <w:keepLines w:val="0"/>
              <w:pageBreakBefore w:val="0"/>
              <w:widowControl/>
              <w:kinsoku/>
              <w:wordWrap/>
              <w:overflowPunct/>
              <w:topLinePunct w:val="0"/>
              <w:autoSpaceDE w:val="0"/>
              <w:autoSpaceDN w:val="0"/>
              <w:bidi w:val="0"/>
              <w:adjustRightInd w:val="0"/>
              <w:snapToGrid w:val="0"/>
              <w:spacing w:line="600" w:lineRule="exact"/>
              <w:ind w:left="977"/>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13634650666</w:t>
            </w:r>
          </w:p>
        </w:tc>
      </w:tr>
      <w:tr w14:paraId="5EEA6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3701" w:type="dxa"/>
            <w:tcBorders>
              <w:left w:val="nil"/>
            </w:tcBorders>
            <w:vAlign w:val="top"/>
          </w:tcPr>
          <w:p w14:paraId="09E9C630">
            <w:pPr>
              <w:keepNext w:val="0"/>
              <w:keepLines w:val="0"/>
              <w:pageBreakBefore w:val="0"/>
              <w:widowControl/>
              <w:kinsoku/>
              <w:wordWrap/>
              <w:overflowPunct/>
              <w:topLinePunct w:val="0"/>
              <w:autoSpaceDE w:val="0"/>
              <w:autoSpaceDN w:val="0"/>
              <w:bidi w:val="0"/>
              <w:adjustRightInd w:val="0"/>
              <w:snapToGrid w:val="0"/>
              <w:spacing w:line="600" w:lineRule="exact"/>
              <w:ind w:left="1245"/>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3"/>
                <w:sz w:val="32"/>
                <w:szCs w:val="32"/>
              </w:rPr>
              <w:t>富锦市气象局</w:t>
            </w:r>
          </w:p>
        </w:tc>
        <w:tc>
          <w:tcPr>
            <w:tcW w:w="1553" w:type="dxa"/>
            <w:vAlign w:val="top"/>
          </w:tcPr>
          <w:p w14:paraId="5806BF50">
            <w:pPr>
              <w:keepNext w:val="0"/>
              <w:keepLines w:val="0"/>
              <w:pageBreakBefore w:val="0"/>
              <w:widowControl/>
              <w:kinsoku/>
              <w:wordWrap/>
              <w:overflowPunct/>
              <w:topLinePunct w:val="0"/>
              <w:autoSpaceDE w:val="0"/>
              <w:autoSpaceDN w:val="0"/>
              <w:bidi w:val="0"/>
              <w:adjustRightInd w:val="0"/>
              <w:snapToGrid w:val="0"/>
              <w:spacing w:line="600" w:lineRule="exact"/>
              <w:ind w:left="518"/>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4"/>
                <w:sz w:val="32"/>
                <w:szCs w:val="32"/>
              </w:rPr>
              <w:t>程</w:t>
            </w:r>
            <w:r>
              <w:rPr>
                <w:rFonts w:hint="eastAsia" w:ascii="仿宋_GB2312" w:hAnsi="仿宋_GB2312" w:eastAsia="仿宋_GB2312" w:cs="仿宋_GB2312"/>
                <w:color w:val="auto"/>
                <w:spacing w:val="9"/>
                <w:sz w:val="32"/>
                <w:szCs w:val="32"/>
              </w:rPr>
              <w:t xml:space="preserve"> </w:t>
            </w:r>
            <w:r>
              <w:rPr>
                <w:rFonts w:hint="eastAsia" w:ascii="仿宋_GB2312" w:hAnsi="仿宋_GB2312" w:eastAsia="仿宋_GB2312" w:cs="仿宋_GB2312"/>
                <w:color w:val="auto"/>
                <w:spacing w:val="-4"/>
                <w:sz w:val="32"/>
                <w:szCs w:val="32"/>
              </w:rPr>
              <w:t>远</w:t>
            </w:r>
          </w:p>
        </w:tc>
        <w:tc>
          <w:tcPr>
            <w:tcW w:w="3068" w:type="dxa"/>
            <w:tcBorders>
              <w:right w:val="nil"/>
            </w:tcBorders>
            <w:vAlign w:val="top"/>
          </w:tcPr>
          <w:p w14:paraId="7BB1C670">
            <w:pPr>
              <w:pStyle w:val="8"/>
              <w:keepNext w:val="0"/>
              <w:keepLines w:val="0"/>
              <w:pageBreakBefore w:val="0"/>
              <w:widowControl/>
              <w:kinsoku/>
              <w:wordWrap/>
              <w:overflowPunct/>
              <w:topLinePunct w:val="0"/>
              <w:autoSpaceDE w:val="0"/>
              <w:autoSpaceDN w:val="0"/>
              <w:bidi w:val="0"/>
              <w:adjustRightInd w:val="0"/>
              <w:snapToGrid w:val="0"/>
              <w:spacing w:line="600" w:lineRule="exact"/>
              <w:ind w:left="977"/>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13846161755</w:t>
            </w:r>
          </w:p>
        </w:tc>
      </w:tr>
      <w:tr w14:paraId="4E12E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3701" w:type="dxa"/>
            <w:tcBorders>
              <w:left w:val="nil"/>
            </w:tcBorders>
            <w:vAlign w:val="top"/>
          </w:tcPr>
          <w:p w14:paraId="3DC02373">
            <w:pPr>
              <w:keepNext w:val="0"/>
              <w:keepLines w:val="0"/>
              <w:pageBreakBefore w:val="0"/>
              <w:widowControl/>
              <w:kinsoku/>
              <w:wordWrap/>
              <w:overflowPunct/>
              <w:topLinePunct w:val="0"/>
              <w:autoSpaceDE w:val="0"/>
              <w:autoSpaceDN w:val="0"/>
              <w:bidi w:val="0"/>
              <w:adjustRightInd w:val="0"/>
              <w:snapToGrid w:val="0"/>
              <w:spacing w:line="600" w:lineRule="exact"/>
              <w:ind w:left="930"/>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富锦市交通警察支队</w:t>
            </w:r>
          </w:p>
        </w:tc>
        <w:tc>
          <w:tcPr>
            <w:tcW w:w="1553" w:type="dxa"/>
            <w:vAlign w:val="top"/>
          </w:tcPr>
          <w:p w14:paraId="49494735">
            <w:pPr>
              <w:keepNext w:val="0"/>
              <w:keepLines w:val="0"/>
              <w:pageBreakBefore w:val="0"/>
              <w:widowControl/>
              <w:kinsoku/>
              <w:wordWrap/>
              <w:overflowPunct/>
              <w:topLinePunct w:val="0"/>
              <w:autoSpaceDE w:val="0"/>
              <w:autoSpaceDN w:val="0"/>
              <w:bidi w:val="0"/>
              <w:adjustRightInd w:val="0"/>
              <w:snapToGrid w:val="0"/>
              <w:spacing w:line="600" w:lineRule="exact"/>
              <w:ind w:left="466"/>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徐永强</w:t>
            </w:r>
          </w:p>
        </w:tc>
        <w:tc>
          <w:tcPr>
            <w:tcW w:w="3068" w:type="dxa"/>
            <w:tcBorders>
              <w:right w:val="nil"/>
            </w:tcBorders>
            <w:vAlign w:val="top"/>
          </w:tcPr>
          <w:p w14:paraId="3E264768">
            <w:pPr>
              <w:pStyle w:val="8"/>
              <w:keepNext w:val="0"/>
              <w:keepLines w:val="0"/>
              <w:pageBreakBefore w:val="0"/>
              <w:widowControl/>
              <w:kinsoku/>
              <w:wordWrap/>
              <w:overflowPunct/>
              <w:topLinePunct w:val="0"/>
              <w:autoSpaceDE w:val="0"/>
              <w:autoSpaceDN w:val="0"/>
              <w:bidi w:val="0"/>
              <w:adjustRightInd w:val="0"/>
              <w:snapToGrid w:val="0"/>
              <w:spacing w:line="600" w:lineRule="exact"/>
              <w:ind w:left="977"/>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13845424888</w:t>
            </w:r>
          </w:p>
        </w:tc>
      </w:tr>
      <w:tr w14:paraId="313FE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3701" w:type="dxa"/>
            <w:tcBorders>
              <w:left w:val="nil"/>
            </w:tcBorders>
            <w:vAlign w:val="top"/>
          </w:tcPr>
          <w:p w14:paraId="6FBF3384">
            <w:pPr>
              <w:keepNext w:val="0"/>
              <w:keepLines w:val="0"/>
              <w:pageBreakBefore w:val="0"/>
              <w:widowControl/>
              <w:kinsoku/>
              <w:wordWrap/>
              <w:overflowPunct/>
              <w:topLinePunct w:val="0"/>
              <w:autoSpaceDE w:val="0"/>
              <w:autoSpaceDN w:val="0"/>
              <w:bidi w:val="0"/>
              <w:adjustRightInd w:val="0"/>
              <w:snapToGrid w:val="0"/>
              <w:spacing w:line="600" w:lineRule="exact"/>
              <w:ind w:left="624"/>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3"/>
                <w:sz w:val="32"/>
                <w:szCs w:val="32"/>
              </w:rPr>
              <w:t>国网黑龙江富锦市供电公司</w:t>
            </w:r>
          </w:p>
        </w:tc>
        <w:tc>
          <w:tcPr>
            <w:tcW w:w="1553" w:type="dxa"/>
            <w:vAlign w:val="top"/>
          </w:tcPr>
          <w:p w14:paraId="7A2BDBF8">
            <w:pPr>
              <w:keepNext w:val="0"/>
              <w:keepLines w:val="0"/>
              <w:pageBreakBefore w:val="0"/>
              <w:widowControl/>
              <w:kinsoku/>
              <w:wordWrap/>
              <w:overflowPunct/>
              <w:topLinePunct w:val="0"/>
              <w:autoSpaceDE w:val="0"/>
              <w:autoSpaceDN w:val="0"/>
              <w:bidi w:val="0"/>
              <w:adjustRightInd w:val="0"/>
              <w:snapToGrid w:val="0"/>
              <w:spacing w:line="600" w:lineRule="exact"/>
              <w:ind w:left="466"/>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
                <w:sz w:val="32"/>
                <w:szCs w:val="32"/>
              </w:rPr>
              <w:t>赵忠江</w:t>
            </w:r>
          </w:p>
        </w:tc>
        <w:tc>
          <w:tcPr>
            <w:tcW w:w="3068" w:type="dxa"/>
            <w:tcBorders>
              <w:right w:val="nil"/>
            </w:tcBorders>
            <w:vAlign w:val="top"/>
          </w:tcPr>
          <w:p w14:paraId="395E1F1D">
            <w:pPr>
              <w:pStyle w:val="8"/>
              <w:keepNext w:val="0"/>
              <w:keepLines w:val="0"/>
              <w:pageBreakBefore w:val="0"/>
              <w:widowControl/>
              <w:kinsoku/>
              <w:wordWrap/>
              <w:overflowPunct/>
              <w:topLinePunct w:val="0"/>
              <w:autoSpaceDE w:val="0"/>
              <w:autoSpaceDN w:val="0"/>
              <w:bidi w:val="0"/>
              <w:adjustRightInd w:val="0"/>
              <w:snapToGrid w:val="0"/>
              <w:spacing w:line="600" w:lineRule="exact"/>
              <w:ind w:left="977"/>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13351643333</w:t>
            </w:r>
          </w:p>
        </w:tc>
      </w:tr>
      <w:tr w14:paraId="2222A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3701" w:type="dxa"/>
            <w:tcBorders>
              <w:left w:val="nil"/>
            </w:tcBorders>
            <w:vAlign w:val="top"/>
          </w:tcPr>
          <w:p w14:paraId="2E01FA90">
            <w:pPr>
              <w:keepNext w:val="0"/>
              <w:keepLines w:val="0"/>
              <w:pageBreakBefore w:val="0"/>
              <w:widowControl/>
              <w:kinsoku/>
              <w:wordWrap/>
              <w:overflowPunct/>
              <w:topLinePunct w:val="0"/>
              <w:autoSpaceDE w:val="0"/>
              <w:autoSpaceDN w:val="0"/>
              <w:bidi w:val="0"/>
              <w:adjustRightInd w:val="0"/>
              <w:snapToGrid w:val="0"/>
              <w:spacing w:line="600" w:lineRule="exact"/>
              <w:ind w:left="1128"/>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
                <w:sz w:val="32"/>
                <w:szCs w:val="32"/>
              </w:rPr>
              <w:t>城东街道办事处</w:t>
            </w:r>
          </w:p>
        </w:tc>
        <w:tc>
          <w:tcPr>
            <w:tcW w:w="1553" w:type="dxa"/>
            <w:vAlign w:val="top"/>
          </w:tcPr>
          <w:p w14:paraId="7E0AF869">
            <w:pPr>
              <w:keepNext w:val="0"/>
              <w:keepLines w:val="0"/>
              <w:pageBreakBefore w:val="0"/>
              <w:widowControl/>
              <w:kinsoku/>
              <w:wordWrap/>
              <w:overflowPunct/>
              <w:topLinePunct w:val="0"/>
              <w:autoSpaceDE w:val="0"/>
              <w:autoSpaceDN w:val="0"/>
              <w:bidi w:val="0"/>
              <w:adjustRightInd w:val="0"/>
              <w:snapToGrid w:val="0"/>
              <w:spacing w:line="600" w:lineRule="exact"/>
              <w:ind w:left="531"/>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0"/>
                <w:sz w:val="32"/>
                <w:szCs w:val="32"/>
              </w:rPr>
              <w:t>陈</w:t>
            </w:r>
            <w:r>
              <w:rPr>
                <w:rFonts w:hint="eastAsia" w:ascii="仿宋_GB2312" w:hAnsi="仿宋_GB2312" w:eastAsia="仿宋_GB2312" w:cs="仿宋_GB2312"/>
                <w:color w:val="auto"/>
                <w:spacing w:val="10"/>
                <w:sz w:val="32"/>
                <w:szCs w:val="32"/>
              </w:rPr>
              <w:t xml:space="preserve"> </w:t>
            </w:r>
            <w:r>
              <w:rPr>
                <w:rFonts w:hint="eastAsia" w:ascii="仿宋_GB2312" w:hAnsi="仿宋_GB2312" w:eastAsia="仿宋_GB2312" w:cs="仿宋_GB2312"/>
                <w:color w:val="auto"/>
                <w:spacing w:val="-10"/>
                <w:sz w:val="32"/>
                <w:szCs w:val="32"/>
              </w:rPr>
              <w:t>光</w:t>
            </w:r>
          </w:p>
        </w:tc>
        <w:tc>
          <w:tcPr>
            <w:tcW w:w="3068" w:type="dxa"/>
            <w:tcBorders>
              <w:right w:val="nil"/>
            </w:tcBorders>
            <w:vAlign w:val="top"/>
          </w:tcPr>
          <w:p w14:paraId="7110E5C3">
            <w:pPr>
              <w:pStyle w:val="8"/>
              <w:keepNext w:val="0"/>
              <w:keepLines w:val="0"/>
              <w:pageBreakBefore w:val="0"/>
              <w:widowControl/>
              <w:kinsoku/>
              <w:wordWrap/>
              <w:overflowPunct/>
              <w:topLinePunct w:val="0"/>
              <w:autoSpaceDE w:val="0"/>
              <w:autoSpaceDN w:val="0"/>
              <w:bidi w:val="0"/>
              <w:adjustRightInd w:val="0"/>
              <w:snapToGrid w:val="0"/>
              <w:spacing w:line="600" w:lineRule="exact"/>
              <w:ind w:left="977"/>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15845426767</w:t>
            </w:r>
          </w:p>
        </w:tc>
      </w:tr>
      <w:tr w14:paraId="3467A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3701" w:type="dxa"/>
            <w:tcBorders>
              <w:left w:val="nil"/>
            </w:tcBorders>
            <w:vAlign w:val="top"/>
          </w:tcPr>
          <w:p w14:paraId="19EC4B47">
            <w:pPr>
              <w:keepNext w:val="0"/>
              <w:keepLines w:val="0"/>
              <w:pageBreakBefore w:val="0"/>
              <w:widowControl/>
              <w:kinsoku/>
              <w:wordWrap/>
              <w:overflowPunct/>
              <w:topLinePunct w:val="0"/>
              <w:autoSpaceDE w:val="0"/>
              <w:autoSpaceDN w:val="0"/>
              <w:bidi w:val="0"/>
              <w:adjustRightInd w:val="0"/>
              <w:snapToGrid w:val="0"/>
              <w:spacing w:line="600" w:lineRule="exact"/>
              <w:ind w:left="1128"/>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
                <w:sz w:val="32"/>
                <w:szCs w:val="32"/>
              </w:rPr>
              <w:t>城西街道办事处</w:t>
            </w:r>
          </w:p>
        </w:tc>
        <w:tc>
          <w:tcPr>
            <w:tcW w:w="1553" w:type="dxa"/>
            <w:vAlign w:val="top"/>
          </w:tcPr>
          <w:p w14:paraId="7DAAA801">
            <w:pPr>
              <w:keepNext w:val="0"/>
              <w:keepLines w:val="0"/>
              <w:pageBreakBefore w:val="0"/>
              <w:widowControl/>
              <w:kinsoku/>
              <w:wordWrap/>
              <w:overflowPunct/>
              <w:topLinePunct w:val="0"/>
              <w:autoSpaceDE w:val="0"/>
              <w:autoSpaceDN w:val="0"/>
              <w:bidi w:val="0"/>
              <w:adjustRightInd w:val="0"/>
              <w:snapToGrid w:val="0"/>
              <w:spacing w:line="600" w:lineRule="exact"/>
              <w:ind w:left="466"/>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
                <w:sz w:val="32"/>
                <w:szCs w:val="32"/>
              </w:rPr>
              <w:t>赵海军</w:t>
            </w:r>
          </w:p>
        </w:tc>
        <w:tc>
          <w:tcPr>
            <w:tcW w:w="3068" w:type="dxa"/>
            <w:tcBorders>
              <w:right w:val="nil"/>
            </w:tcBorders>
            <w:vAlign w:val="top"/>
          </w:tcPr>
          <w:p w14:paraId="5AB8CE0C">
            <w:pPr>
              <w:pStyle w:val="8"/>
              <w:keepNext w:val="0"/>
              <w:keepLines w:val="0"/>
              <w:pageBreakBefore w:val="0"/>
              <w:widowControl/>
              <w:kinsoku/>
              <w:wordWrap/>
              <w:overflowPunct/>
              <w:topLinePunct w:val="0"/>
              <w:autoSpaceDE w:val="0"/>
              <w:autoSpaceDN w:val="0"/>
              <w:bidi w:val="0"/>
              <w:adjustRightInd w:val="0"/>
              <w:snapToGrid w:val="0"/>
              <w:spacing w:line="600" w:lineRule="exact"/>
              <w:ind w:left="977"/>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15946577169</w:t>
            </w:r>
          </w:p>
        </w:tc>
      </w:tr>
      <w:tr w14:paraId="475B2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3701" w:type="dxa"/>
            <w:tcBorders>
              <w:left w:val="nil"/>
              <w:bottom w:val="single" w:color="000000" w:sz="6" w:space="0"/>
            </w:tcBorders>
            <w:vAlign w:val="top"/>
          </w:tcPr>
          <w:p w14:paraId="247CB4B6">
            <w:pPr>
              <w:keepNext w:val="0"/>
              <w:keepLines w:val="0"/>
              <w:pageBreakBefore w:val="0"/>
              <w:widowControl/>
              <w:kinsoku/>
              <w:wordWrap/>
              <w:overflowPunct/>
              <w:topLinePunct w:val="0"/>
              <w:autoSpaceDE w:val="0"/>
              <w:autoSpaceDN w:val="0"/>
              <w:bidi w:val="0"/>
              <w:adjustRightInd w:val="0"/>
              <w:snapToGrid w:val="0"/>
              <w:spacing w:line="600" w:lineRule="exact"/>
              <w:ind w:left="614"/>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富锦经济开发区管理委员会</w:t>
            </w:r>
          </w:p>
        </w:tc>
        <w:tc>
          <w:tcPr>
            <w:tcW w:w="1553" w:type="dxa"/>
            <w:tcBorders>
              <w:bottom w:val="single" w:color="000000" w:sz="6" w:space="0"/>
            </w:tcBorders>
            <w:vAlign w:val="top"/>
          </w:tcPr>
          <w:p w14:paraId="5DE7A671">
            <w:pPr>
              <w:keepNext w:val="0"/>
              <w:keepLines w:val="0"/>
              <w:pageBreakBefore w:val="0"/>
              <w:widowControl/>
              <w:kinsoku/>
              <w:wordWrap/>
              <w:overflowPunct/>
              <w:topLinePunct w:val="0"/>
              <w:autoSpaceDE w:val="0"/>
              <w:autoSpaceDN w:val="0"/>
              <w:bidi w:val="0"/>
              <w:adjustRightInd w:val="0"/>
              <w:snapToGrid w:val="0"/>
              <w:spacing w:line="600" w:lineRule="exact"/>
              <w:ind w:left="465"/>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1"/>
                <w:sz w:val="32"/>
                <w:szCs w:val="32"/>
              </w:rPr>
              <w:t>魏海山</w:t>
            </w:r>
          </w:p>
        </w:tc>
        <w:tc>
          <w:tcPr>
            <w:tcW w:w="3068" w:type="dxa"/>
            <w:tcBorders>
              <w:bottom w:val="single" w:color="000000" w:sz="6" w:space="0"/>
              <w:right w:val="nil"/>
            </w:tcBorders>
            <w:vAlign w:val="top"/>
          </w:tcPr>
          <w:p w14:paraId="68EA3D4A">
            <w:pPr>
              <w:pStyle w:val="8"/>
              <w:keepNext w:val="0"/>
              <w:keepLines w:val="0"/>
              <w:pageBreakBefore w:val="0"/>
              <w:widowControl/>
              <w:kinsoku/>
              <w:wordWrap/>
              <w:overflowPunct/>
              <w:topLinePunct w:val="0"/>
              <w:autoSpaceDE w:val="0"/>
              <w:autoSpaceDN w:val="0"/>
              <w:bidi w:val="0"/>
              <w:adjustRightInd w:val="0"/>
              <w:snapToGrid w:val="0"/>
              <w:spacing w:line="600" w:lineRule="exact"/>
              <w:ind w:left="977"/>
              <w:jc w:val="both"/>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pacing w:val="-2"/>
                <w:sz w:val="32"/>
                <w:szCs w:val="32"/>
              </w:rPr>
              <w:t>18345457788</w:t>
            </w:r>
          </w:p>
        </w:tc>
      </w:tr>
    </w:tbl>
    <w:p w14:paraId="3C302BC0">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14035EF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第四章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预防与预警</w:t>
      </w:r>
    </w:p>
    <w:p w14:paraId="4DEAD9B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w:t>
      </w:r>
      <w:r>
        <w:rPr>
          <w:rFonts w:hint="eastAsia" w:ascii="楷体" w:hAnsi="楷体" w:eastAsia="楷体" w:cs="楷体"/>
          <w:sz w:val="32"/>
          <w:szCs w:val="32"/>
          <w:lang w:eastAsia="zh-CN"/>
        </w:rPr>
        <w:t>、</w:t>
      </w:r>
      <w:r>
        <w:rPr>
          <w:rFonts w:hint="eastAsia" w:ascii="楷体" w:hAnsi="楷体" w:eastAsia="楷体" w:cs="楷体"/>
          <w:sz w:val="32"/>
          <w:szCs w:val="32"/>
        </w:rPr>
        <w:t>预防预警信息</w:t>
      </w:r>
    </w:p>
    <w:p w14:paraId="6A7A113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气象水文信息</w:t>
      </w:r>
    </w:p>
    <w:p w14:paraId="113FD64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自然资源、水利、气象部门应加强对城市灾害性天气的监测和预报预警，及时将结果报送至应急指挥部。</w:t>
      </w:r>
    </w:p>
    <w:p w14:paraId="741B87E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自然资源、水利、气象部门应当组织对重大灾害性天气的联合监测、会商和预报，尽可能延长预见期，对重大气象、水文灾害作出评估，按规定及时发布预警信息并报送应急指挥部。</w:t>
      </w:r>
    </w:p>
    <w:p w14:paraId="72AF305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当预报即将发生严重暴雨或洪涝灾害时，应急指挥部应提早通知有关区域做好相关准备。当江河发生洪水时，水利部门应加密测验时段，及时上报测验结果，为应急指挥部适时指挥决策提供依据。</w:t>
      </w:r>
    </w:p>
    <w:p w14:paraId="2B8280D9">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堤防工程信息</w:t>
      </w:r>
    </w:p>
    <w:p w14:paraId="05D282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当江河出现警戒水位以上洪水时，水利部门及住房和城乡建设局应加强工程监测，并将堤防、涵闸、泵站等工程设施的运行情况报应急指挥部，由指挥部向上报送至富锦市政府。</w:t>
      </w:r>
    </w:p>
    <w:p w14:paraId="52DEC71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当堤防和涵闸、泵站等穿堤建筑物出现险情或遭遇超标准洪水袭击，以及其他不可抗拒因素而可能决口时，水利部门及住房和城乡建设局必须立即采取抢护措施，并在第一时间向预计淹没区域的有关基层人民政府和基层组织发出预警，同时向应急指挥部准确报告出险部位、险情种类、抢护方案以及处理险情的行政责任人、技术责任人、通信联络方式、除险情况，以利加强指导或作出进一步的抢险决策。</w:t>
      </w:r>
    </w:p>
    <w:p w14:paraId="4F34680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洪涝灾情信息</w:t>
      </w:r>
    </w:p>
    <w:p w14:paraId="5CECF9E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洪涝灾情信息主要包括：灾害发生的时间、地点、范围、受灾人口、因灾死亡失踪人口、紧急转移安置人口、因灾伤病人口、需紧急生活救助人口等信息，以及居民房屋等财产、农林牧渔、交通运输、邮电通信、水利、水电气设施等方面的损失信息。</w:t>
      </w:r>
    </w:p>
    <w:p w14:paraId="790EAC6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洪涝灾情发生后，各成员单位现场巡查组应及时向应急指挥部报告洪涝受灾情况，应急指挥部应及时组织研判灾情和气象趋势，收集动态灾情，全面掌握受灾情况，并及时向富锦市政府报告。对人员伤亡和较大财产损失的灾情，应立即上报，为抗灾救灾提供准确依据。</w:t>
      </w:r>
    </w:p>
    <w:p w14:paraId="3D5879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w:t>
      </w:r>
      <w:r>
        <w:rPr>
          <w:rFonts w:hint="eastAsia" w:ascii="楷体" w:hAnsi="楷体" w:eastAsia="楷体" w:cs="楷体"/>
          <w:sz w:val="32"/>
          <w:szCs w:val="32"/>
          <w:lang w:eastAsia="zh-CN"/>
        </w:rPr>
        <w:t>、</w:t>
      </w:r>
      <w:r>
        <w:rPr>
          <w:rFonts w:hint="eastAsia" w:ascii="楷体" w:hAnsi="楷体" w:eastAsia="楷体" w:cs="楷体"/>
          <w:sz w:val="32"/>
          <w:szCs w:val="32"/>
        </w:rPr>
        <w:t>人员及物资准备</w:t>
      </w:r>
    </w:p>
    <w:p w14:paraId="61D09DE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凡汛期来临，防内涝应急指挥部办公室应特别留意天气预报，对台风、暴雨等自然灾害性天气做到事先知悉，酌情增配值守人员。降水预报工作及灾害性天气预警级别确立后，立即通知各成员单位。</w:t>
      </w:r>
    </w:p>
    <w:p w14:paraId="26C018F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制定紧急维修抢险人员名单，并落实通讯方式，要求24小时随叫随到，以形成全天候待命机制。</w:t>
      </w:r>
    </w:p>
    <w:p w14:paraId="1CBE420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从实际需求出发，做好充足的物资准备，包括但不限于：沙袋、绳索、铁丝、木板、应急照明灯、潜水泵、水带、扶梯及维修工具等。</w:t>
      </w:r>
    </w:p>
    <w:p w14:paraId="1D6D205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三</w:t>
      </w:r>
      <w:r>
        <w:rPr>
          <w:rFonts w:hint="eastAsia" w:ascii="楷体" w:hAnsi="楷体" w:eastAsia="楷体" w:cs="楷体"/>
          <w:sz w:val="32"/>
          <w:szCs w:val="32"/>
          <w:lang w:eastAsia="zh-CN"/>
        </w:rPr>
        <w:t>、</w:t>
      </w:r>
      <w:r>
        <w:rPr>
          <w:rFonts w:hint="eastAsia" w:ascii="楷体" w:hAnsi="楷体" w:eastAsia="楷体" w:cs="楷体"/>
          <w:sz w:val="32"/>
          <w:szCs w:val="32"/>
        </w:rPr>
        <w:t>预防检查</w:t>
      </w:r>
    </w:p>
    <w:p w14:paraId="0703229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汛期来临前应开展专项检查，检查户外构筑物（广告、灯箱、卫星天线、晒衣架、遮阳板、花架、空调机支架等）的牢固情况，如不够牢固应立即设法加固或予以拆除。</w:t>
      </w:r>
    </w:p>
    <w:p w14:paraId="0D1DDC2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检查屋顶、地面、地下商超等易积水区域的下水道畅通情况，如堵塞应尽快疏通，并保持其下水口不被杂物遮堵。</w:t>
      </w:r>
    </w:p>
    <w:p w14:paraId="263D6F6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检查泵站排水泵运行情况、功率配置情况，如有故障或缺失应立即修复或配齐、补足。</w:t>
      </w:r>
    </w:p>
    <w:p w14:paraId="50F8971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检查避雷系统完好情况，如有损坏尽快设法修复。</w:t>
      </w:r>
    </w:p>
    <w:p w14:paraId="1164E3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检查高大树木、路灯杆等稳固情况，如未加固应设法加固。</w:t>
      </w:r>
    </w:p>
    <w:p w14:paraId="7642DA1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对于有玻璃幕墙的建筑物，应密切注意玻璃有否碎裂、出气泡、渗水、脱胶、松动、金属紧固件锈蚀等情况，如发觉有问题，应立即同安装单位联系，使其从速派人前来维护或更换，未来人处理前，应先采取措施，以免掉落。</w:t>
      </w:r>
    </w:p>
    <w:p w14:paraId="1FE6362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各部门应关注对管理区域可能发生影响的周边地区是否存在不安全因素，如临近建筑工地、临时棚架、临时围墙、不稳固构筑物等，并采取相应措施。</w:t>
      </w:r>
    </w:p>
    <w:p w14:paraId="137FE72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发放友情提示或紧急通告：</w:t>
      </w:r>
    </w:p>
    <w:p w14:paraId="2186472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1)提醒群众关注有关气象信息，注意自我防护；</w:t>
      </w:r>
    </w:p>
    <w:p w14:paraId="2393007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2)提醒群众检查空调外机支架、卫星天线、遮阳板等户外构筑物是否牢固，如有松动应及时加固；</w:t>
      </w:r>
    </w:p>
    <w:p w14:paraId="1988797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3)提醒群众检查户外窗台地漏，如发现排水不畅，及时疏通；</w:t>
      </w:r>
    </w:p>
    <w:p w14:paraId="389DBAB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4)提醒群众将窗台边缘的花盆等易落物转移至安全地方；</w:t>
      </w:r>
    </w:p>
    <w:p w14:paraId="0659EBC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5)提醒群众离开前务必关妥窗户。</w:t>
      </w:r>
    </w:p>
    <w:p w14:paraId="52D073E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四</w:t>
      </w:r>
      <w:r>
        <w:rPr>
          <w:rFonts w:hint="eastAsia" w:ascii="楷体" w:hAnsi="楷体" w:eastAsia="楷体" w:cs="楷体"/>
          <w:sz w:val="32"/>
          <w:szCs w:val="32"/>
          <w:lang w:eastAsia="zh-CN"/>
        </w:rPr>
        <w:t>、</w:t>
      </w:r>
      <w:r>
        <w:rPr>
          <w:rFonts w:hint="eastAsia" w:ascii="楷体" w:hAnsi="楷体" w:eastAsia="楷体" w:cs="楷体"/>
          <w:sz w:val="32"/>
          <w:szCs w:val="32"/>
        </w:rPr>
        <w:t>预警行动</w:t>
      </w:r>
    </w:p>
    <w:p w14:paraId="24F36AE9">
      <w:pPr>
        <w:keepNext w:val="0"/>
        <w:keepLines w:val="0"/>
        <w:pageBreakBefore w:val="0"/>
        <w:widowControl w:val="0"/>
        <w:tabs>
          <w:tab w:val="left" w:pos="619"/>
        </w:tabs>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江河洪水预警</w:t>
      </w:r>
    </w:p>
    <w:p w14:paraId="26A2B57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当江河即将出现洪水时，水利部门应做好洪水预报和预警工作，及时向应急指挥部报告水位、流量的实测情况和洪水走势。级气象部门应做好天气监测预报工作，及时向应急指挥部报告降雨实况、预报等。</w:t>
      </w:r>
    </w:p>
    <w:p w14:paraId="6D8B6D6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水利部门应按照分级负责原则，确定洪水预警区域、级别和洪水信息发布范围，按照权限向社会发布。</w:t>
      </w:r>
    </w:p>
    <w:p w14:paraId="49B5909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水利部门应跟踪分析江河洪水的发展趋势，及时滚动预报最新水情，为抗灾救灾提供基本依据和技术支撑。</w:t>
      </w:r>
    </w:p>
    <w:p w14:paraId="7BAD60A4">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渍涝灾害预警</w:t>
      </w:r>
    </w:p>
    <w:p w14:paraId="06727CF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气象预报将出现强降雨，并可能发生城市内涝灾害时，应急指挥部应按照分级分部门负责原则，组织住房城乡建设、水利、应急管理、气象等部门开展联合会商，研判形势。住房城乡建设、水利、应急管理、气象等有关部门按任务分工及时发布有关预警信息，当应急指挥部按照预案启动相应级别的应急响应。人民政府视情及时组织做好人员转移、停工、停学、停业、停运和暂停户外活动等工作，对重点部位和灾害易发区提前预置抢险救援力量。</w:t>
      </w:r>
    </w:p>
    <w:p w14:paraId="4FF0722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第五章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应急响应级别划分</w:t>
      </w:r>
    </w:p>
    <w:p w14:paraId="6C45FA1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按照省市关于防汛预警等级性质分为四个级别，由低到高分别为一般（四级）、较重（三级）、严重（二级）、特别严重（一级）四个预警级别，并依此采用蓝色、黄色、橙色、红色加以表示。</w:t>
      </w:r>
    </w:p>
    <w:p w14:paraId="1AAA8C8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蓝色预警（四级）</w:t>
      </w:r>
    </w:p>
    <w:p w14:paraId="2C3B0B0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气象台发布暴雨蓝色预警：12小时内降雨量将达50</w:t>
      </w:r>
      <w:r>
        <w:rPr>
          <w:rFonts w:hint="eastAsia" w:ascii="仿宋_GB2312" w:hAnsi="仿宋_GB2312" w:eastAsia="仿宋_GB2312" w:cs="仿宋_GB2312"/>
          <w:sz w:val="32"/>
          <w:szCs w:val="32"/>
          <w:lang w:eastAsia="zh-CN"/>
        </w:rPr>
        <w:t>毫米</w:t>
      </w:r>
      <w:r>
        <w:rPr>
          <w:rFonts w:hint="eastAsia" w:ascii="仿宋_GB2312" w:hAnsi="仿宋_GB2312" w:eastAsia="仿宋_GB2312" w:cs="仿宋_GB2312"/>
          <w:sz w:val="32"/>
          <w:szCs w:val="32"/>
        </w:rPr>
        <w:t>以上，或已达50</w:t>
      </w:r>
      <w:r>
        <w:rPr>
          <w:rFonts w:hint="eastAsia" w:ascii="仿宋_GB2312" w:hAnsi="仿宋_GB2312" w:eastAsia="仿宋_GB2312" w:cs="仿宋_GB2312"/>
          <w:sz w:val="32"/>
          <w:szCs w:val="32"/>
          <w:lang w:eastAsia="zh-CN"/>
        </w:rPr>
        <w:t>毫米</w:t>
      </w:r>
      <w:r>
        <w:rPr>
          <w:rFonts w:hint="eastAsia" w:ascii="仿宋_GB2312" w:hAnsi="仿宋_GB2312" w:eastAsia="仿宋_GB2312" w:cs="仿宋_GB2312"/>
          <w:sz w:val="32"/>
          <w:szCs w:val="32"/>
        </w:rPr>
        <w:t>以上且降雨可能持续。</w:t>
      </w:r>
    </w:p>
    <w:p w14:paraId="10F5AF9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黄色预警（三级）</w:t>
      </w:r>
    </w:p>
    <w:p w14:paraId="1045FA1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气象台发布暴雨黄色预警：6小时内降雨量将达60毫米以上，或者6小时内最大小时雨强将超过40毫米，或者已出现上述降雨且可能持续。</w:t>
      </w:r>
    </w:p>
    <w:p w14:paraId="43F8A9A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橙色预警（二级）</w:t>
      </w:r>
    </w:p>
    <w:p w14:paraId="60B0316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气象台发布暴雨橙色预警：3小时内降雨量将达70毫米以上，或者12小时内降雨量将达100毫米以上，或者已出现上述降雨且可能持续。</w:t>
      </w:r>
    </w:p>
    <w:p w14:paraId="6AE529E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红色预警（一级）</w:t>
      </w:r>
    </w:p>
    <w:p w14:paraId="3F1583F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气象台发布暴雨红色预警：3小时内降雨量将达100毫米以上，或者已出现上述降雨且可能持续。</w:t>
      </w:r>
    </w:p>
    <w:p w14:paraId="0372756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第六章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应急启动</w:t>
      </w:r>
    </w:p>
    <w:p w14:paraId="19A7671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w:t>
      </w:r>
      <w:r>
        <w:rPr>
          <w:rFonts w:hint="eastAsia" w:ascii="楷体" w:hAnsi="楷体" w:eastAsia="楷体" w:cs="楷体"/>
          <w:sz w:val="32"/>
          <w:szCs w:val="32"/>
          <w:lang w:eastAsia="zh-CN"/>
        </w:rPr>
        <w:t>、</w:t>
      </w:r>
      <w:r>
        <w:rPr>
          <w:rFonts w:hint="eastAsia" w:ascii="楷体" w:hAnsi="楷体" w:eastAsia="楷体" w:cs="楷体"/>
          <w:sz w:val="32"/>
          <w:szCs w:val="32"/>
        </w:rPr>
        <w:t>蓝色应急响应启动</w:t>
      </w:r>
    </w:p>
    <w:p w14:paraId="283B80B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当气象台发布暴雨蓝色预警时，由指挥部发布IV级蓝色应急响应启动指令，开展应急救援和抢险救灾工作。</w:t>
      </w:r>
    </w:p>
    <w:p w14:paraId="63A738F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防内涝应急指挥部发布启动四级应急响应命令,各成员单位同时启动相应级别应急响应。按照职责做好暴雨防范的准备工作，确认救援设备及物资到位，紧急抢险队伍集合到位。</w:t>
      </w:r>
    </w:p>
    <w:p w14:paraId="00E191A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由指挥部通知人防、媒体（广播、电视、网络）、通讯（移动、联通、电信）等相关单位，通过各自渠道向社会发布预警信息。</w:t>
      </w:r>
    </w:p>
    <w:p w14:paraId="354C957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市住房和城乡建设局组织各成员单位加强对责任区域的市区道路及排水设施的巡视工作，重点监控区域为沿江街、幸福泵站、东平泵站、永兴泵站、政府机关广场，及其他易积水路段等。对涵洞、积水点等重点部位有积水的安排人员值守，坚持24小时值班制度和信息报送制度。随时向防内涝应急指挥部上报涝情及抢险情况。</w:t>
      </w:r>
    </w:p>
    <w:p w14:paraId="36AA2A6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各部门应将防汛排涝、抢险处置信息同步报告指挥部。</w:t>
      </w:r>
    </w:p>
    <w:p w14:paraId="7191C5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二</w:t>
      </w:r>
      <w:r>
        <w:rPr>
          <w:rFonts w:hint="eastAsia" w:ascii="楷体" w:hAnsi="楷体" w:eastAsia="楷体" w:cs="楷体"/>
          <w:b w:val="0"/>
          <w:bCs w:val="0"/>
          <w:sz w:val="32"/>
          <w:szCs w:val="32"/>
          <w:lang w:eastAsia="zh-CN"/>
        </w:rPr>
        <w:t>、</w:t>
      </w:r>
      <w:r>
        <w:rPr>
          <w:rFonts w:hint="eastAsia" w:ascii="楷体" w:hAnsi="楷体" w:eastAsia="楷体" w:cs="楷体"/>
          <w:b w:val="0"/>
          <w:bCs w:val="0"/>
          <w:sz w:val="32"/>
          <w:szCs w:val="32"/>
        </w:rPr>
        <w:t>黄色应急响应启动</w:t>
      </w:r>
    </w:p>
    <w:p w14:paraId="665BCB2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当气象台发布暴雨黄色预警时，指挥部发布III级黄色应急响应启动指令，开展应急救援和抢险救灾工作。</w:t>
      </w:r>
    </w:p>
    <w:p w14:paraId="653C27C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防内涝应急指挥部成员单位赴一线指导内涝抢险工作。市住房和城乡建设局协调污水处理厂、交警、供电等部门，联合应对城市内涝险情、灾情，全面落实各项防御措施。</w:t>
      </w:r>
    </w:p>
    <w:p w14:paraId="289353F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由指挥部通知人防、媒体（广播、电视、网络）、通讯（移动、联通、电信）等相关单位，通过各自渠道向社会发布预警信息。</w:t>
      </w:r>
    </w:p>
    <w:p w14:paraId="43FF6B2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由指挥部通知公安交通指挥部门根据路况，在易积水路段实行适度引导，必要时采取交通管制措施。</w:t>
      </w:r>
    </w:p>
    <w:p w14:paraId="3D73058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各成员单位按照职责分工开展内涝抢险工作，对责任路段进行巡查排涝，发现问题及时报告与处置。将雨情、灾情及时上报防内涝应急指挥部，并做好群众安全避险工作。加强涵洞、积水点等重点部位有积水的应急值守，坚持24小时值班制度和信息报送制度。</w:t>
      </w:r>
    </w:p>
    <w:p w14:paraId="1D6CBEC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当道路积水深度到达15厘米以上或积水时间超过3小时，各成员单位第一时间赶赴防涝现场，及时对内涝积水点进行管控，采取道路临时封闭、开启雨水箅子提升排水能力、安排专人值守与维护、清理地面雨水设施、清除垃圾杂物等措施，避免堵塞排水设施；积水严重区域出动排水罐车进行抽水作业、将所涉通江闸门打开，并派专人值守。作业人员必须全程穿戴反光雨衣，排涝期间注意自身及周边安全。</w:t>
      </w:r>
    </w:p>
    <w:p w14:paraId="37C0FAD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紧急抢险队伍集合待命，抢险机械物资装车到位，随时出动抢险。</w:t>
      </w:r>
    </w:p>
    <w:p w14:paraId="2439320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低洼公共场所迅速疏导群众安全撤离，准备好预防暴雨所需物资。</w:t>
      </w:r>
    </w:p>
    <w:p w14:paraId="00EC0A8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各部门应将防汛排涝、抢险处置信息同步报告指挥部。</w:t>
      </w:r>
    </w:p>
    <w:p w14:paraId="4060F72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三</w:t>
      </w:r>
      <w:r>
        <w:rPr>
          <w:rFonts w:hint="eastAsia" w:ascii="楷体" w:hAnsi="楷体" w:eastAsia="楷体" w:cs="楷体"/>
          <w:sz w:val="32"/>
          <w:szCs w:val="32"/>
          <w:lang w:eastAsia="zh-CN"/>
        </w:rPr>
        <w:t>、</w:t>
      </w:r>
      <w:r>
        <w:rPr>
          <w:rFonts w:hint="eastAsia" w:ascii="楷体" w:hAnsi="楷体" w:eastAsia="楷体" w:cs="楷体"/>
          <w:sz w:val="32"/>
          <w:szCs w:val="32"/>
        </w:rPr>
        <w:t>橙色应急响应启动</w:t>
      </w:r>
    </w:p>
    <w:p w14:paraId="60C279A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当气象台发布暴雨橙色预警时，指挥部发布II级橙色应急响应启动指令，开展应急救援和抢险救灾工作。</w:t>
      </w:r>
    </w:p>
    <w:p w14:paraId="652A400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防内涝应急指挥部成员单位赴一线开展内涝抢险工作。各成员单位按照职责分工，迅速采取措施开展救援。所有抢险队伍全部到岗，做好抢险救灾工作，控制城市内涝势态进一步发展。</w:t>
      </w:r>
    </w:p>
    <w:p w14:paraId="50994BC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由指挥部通知人防、媒体（广播、电视、网络）、通讯（移动、联通、电信）等相关单位，通过各自渠道向社会发布预警信息。</w:t>
      </w:r>
    </w:p>
    <w:p w14:paraId="6796C0A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由指挥部通知公安交通指挥部门根据路况，在易积水路段实行适度引导，必要时采取交通管制措施。</w:t>
      </w:r>
    </w:p>
    <w:p w14:paraId="135F9F5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指挥部根据区域积水情况指令采取必要的紧急抽排或局部开挖措施加速积水排放。</w:t>
      </w:r>
    </w:p>
    <w:p w14:paraId="76E74E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防内涝应急指挥部办公室组织全部排水抢险车辆、发电机组、水泵等物资设备运输至所需现场。具体如下：</w:t>
      </w:r>
    </w:p>
    <w:p w14:paraId="7248EB2F">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4FA7169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（1）松花江倒灌超警（60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50</w:t>
      </w:r>
      <w:r>
        <w:rPr>
          <w:rFonts w:hint="eastAsia" w:ascii="仿宋_GB2312" w:hAnsi="仿宋_GB2312" w:eastAsia="仿宋_GB2312" w:cs="仿宋_GB2312"/>
          <w:sz w:val="32"/>
          <w:szCs w:val="32"/>
          <w:lang w:val="en-US" w:eastAsia="zh-CN"/>
        </w:rPr>
        <w:t>米</w:t>
      </w:r>
      <w:r>
        <w:rPr>
          <w:rFonts w:hint="eastAsia" w:ascii="仿宋_GB2312" w:hAnsi="仿宋_GB2312" w:eastAsia="仿宋_GB2312" w:cs="仿宋_GB2312"/>
          <w:sz w:val="32"/>
          <w:szCs w:val="32"/>
        </w:rPr>
        <w:t>以上），汛期加强沿江街巡查工作，如出现江水倒灌同时伴随大雨引起大面积积水时，第一时间实施强排，利用1台100千瓦发电机组、2台潜水泵、消防水袋等设备向江坝以北泵水。如沿江街积水严重，最低点积水深度到达20</w:t>
      </w:r>
      <w:r>
        <w:rPr>
          <w:rFonts w:hint="eastAsia" w:ascii="仿宋_GB2312" w:hAnsi="仿宋_GB2312" w:eastAsia="仿宋_GB2312" w:cs="仿宋_GB2312"/>
          <w:sz w:val="32"/>
          <w:szCs w:val="32"/>
          <w:lang w:eastAsia="zh-CN"/>
        </w:rPr>
        <w:t>厘米</w:t>
      </w:r>
      <w:r>
        <w:rPr>
          <w:rFonts w:hint="eastAsia" w:ascii="仿宋_GB2312" w:hAnsi="仿宋_GB2312" w:eastAsia="仿宋_GB2312" w:cs="仿宋_GB2312"/>
          <w:sz w:val="32"/>
          <w:szCs w:val="32"/>
        </w:rPr>
        <w:t>以上或积水时间超过2小时，请分管交警支队第一时间予以交通管制，保证过往车辆的安全。在此期间，市住房和城乡建设局安排人员进行昼夜倒班作业，并派专人保证油料供应。</w:t>
      </w:r>
    </w:p>
    <w:p w14:paraId="699A03A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（2）城区北三街（东平路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民华路）、锦绣大街（客运站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东平路）、新三街（冰岛酒店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东平路）、锦绣大街(家具城西侧小路)、教育路(向阳路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东平路)附近区域等易涝积水点出现大面积积水时，相关单位要及时将积水点道路两侧堵塞篦子（富锦市排水管道部分井盖采用透水井盖，如需打开井盖排水应设立明显警示标识，保证人员安全）的杂物进行清理与疏通，同时将2台排水罐车开至现场进行路面积水作业。如果积水严重，最低点积水深度到达20</w:t>
      </w:r>
      <w:r>
        <w:rPr>
          <w:rFonts w:hint="eastAsia" w:ascii="仿宋_GB2312" w:hAnsi="仿宋_GB2312" w:eastAsia="仿宋_GB2312" w:cs="仿宋_GB2312"/>
          <w:sz w:val="32"/>
          <w:szCs w:val="32"/>
          <w:lang w:eastAsia="zh-CN"/>
        </w:rPr>
        <w:t>厘米</w:t>
      </w:r>
      <w:r>
        <w:rPr>
          <w:rFonts w:hint="eastAsia" w:ascii="仿宋_GB2312" w:hAnsi="仿宋_GB2312" w:eastAsia="仿宋_GB2312" w:cs="仿宋_GB2312"/>
          <w:sz w:val="32"/>
          <w:szCs w:val="32"/>
        </w:rPr>
        <w:t>以上或积水时间超过2小时，请交警部门予以交通管制，相关单位加大对该区域雨水井疏通力度。</w:t>
      </w:r>
    </w:p>
    <w:p w14:paraId="1FCB20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防内涝应急指挥部各成员单位应对市区幸福泵站、东平泵站、永兴泵站加强监管。如出现内河及松花江倒灌情况，立即启动应急预案，安排包保工作人员对排口进行封堵，同时将水泵、发电机组等所需物资第一时间运输至现场开始强排作业。</w:t>
      </w:r>
    </w:p>
    <w:p w14:paraId="046C88A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各相关单位加强应急值守，坚持24小时值班制度和信息报送制度，按照应急预案和职责做好城市内涝抢险工作。密切关注雨情、灾情变化，并随时将情况上报防内涝应急指挥部。</w:t>
      </w:r>
    </w:p>
    <w:p w14:paraId="1BE565C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各部门应将防汛排涝、抢险处置信息同步报告指挥部。</w:t>
      </w:r>
    </w:p>
    <w:p w14:paraId="5616546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四</w:t>
      </w:r>
      <w:r>
        <w:rPr>
          <w:rFonts w:hint="eastAsia" w:ascii="楷体" w:hAnsi="楷体" w:eastAsia="楷体" w:cs="楷体"/>
          <w:sz w:val="32"/>
          <w:szCs w:val="32"/>
          <w:lang w:eastAsia="zh-CN"/>
        </w:rPr>
        <w:t>、</w:t>
      </w:r>
      <w:r>
        <w:rPr>
          <w:rFonts w:hint="eastAsia" w:ascii="楷体" w:hAnsi="楷体" w:eastAsia="楷体" w:cs="楷体"/>
          <w:sz w:val="32"/>
          <w:szCs w:val="32"/>
        </w:rPr>
        <w:t>红色应急响应启动</w:t>
      </w:r>
    </w:p>
    <w:p w14:paraId="2E8E389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当气象台发布暴雨红色预警时，指挥部发布I级红色应急响应启动指令，负责组织指挥应急救援和抢险救灾工作。</w:t>
      </w:r>
    </w:p>
    <w:p w14:paraId="09F52E0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各部门采取紧急措施，应急救援队伍现场紧急救援；协调社会力量开展救援。</w:t>
      </w:r>
    </w:p>
    <w:p w14:paraId="1B73E54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由指挥部通知人防、媒体（广播、电视、网络）、通讯（移动、联通、电信）等相关单位，通过各自渠道向社会发布预警信息。</w:t>
      </w:r>
    </w:p>
    <w:p w14:paraId="144D8A7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由指挥部通知公安交通指挥部门根据路况实行强制交通管制措施。</w:t>
      </w:r>
    </w:p>
    <w:p w14:paraId="1D08CA8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防内涝应急指挥部各成员单位赴一线开展城市内涝抢险工作。在涝情发生第一时间到达现场，所有抢险队伍全部到位，做好抢险救灾工作。</w:t>
      </w:r>
    </w:p>
    <w:p w14:paraId="1A54D2E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市住房和城乡建设局立即协调污水处理厂随时做好水厂出水管线超越应急准备。各成员单位随时做好对市区所有江、河防倒灌及强排抢险工作，必要时协调武警部队及消防官兵紧急进行支援。</w:t>
      </w:r>
    </w:p>
    <w:p w14:paraId="2C07BEA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低洼地区级公共场所紧急疏散并检查确认群众及工作人员已安全撤离，采取紧急措施防汛救灾，做好预防暴雨的各项工作。</w:t>
      </w:r>
    </w:p>
    <w:p w14:paraId="607B095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五</w:t>
      </w:r>
      <w:r>
        <w:rPr>
          <w:rFonts w:hint="eastAsia" w:ascii="楷体" w:hAnsi="楷体" w:eastAsia="楷体" w:cs="楷体"/>
          <w:sz w:val="32"/>
          <w:szCs w:val="32"/>
          <w:lang w:eastAsia="zh-CN"/>
        </w:rPr>
        <w:t>、</w:t>
      </w:r>
      <w:r>
        <w:rPr>
          <w:rFonts w:hint="eastAsia" w:ascii="楷体" w:hAnsi="楷体" w:eastAsia="楷体" w:cs="楷体"/>
          <w:sz w:val="32"/>
          <w:szCs w:val="32"/>
        </w:rPr>
        <w:t>应急响应措施</w:t>
      </w:r>
    </w:p>
    <w:p w14:paraId="668CD91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泵站处置方案</w:t>
      </w:r>
    </w:p>
    <w:p w14:paraId="79F38B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泵站在汛期必须加强值守看护工作，泵站管理人员要24小时在岗随时听候指令，随时做好泵站迎汛抢险指挥工作。</w:t>
      </w:r>
    </w:p>
    <w:p w14:paraId="2CD049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设备准备</w:t>
      </w:r>
    </w:p>
    <w:p w14:paraId="64B276EC">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泵站内的电气、机械设备都要处于良好的工作状态，尤其是幸福、永兴、东平泵站，在汛前要完成维修保养工作，随时关注管线内水流量变化提前做好应对工作。</w:t>
      </w:r>
    </w:p>
    <w:p w14:paraId="327836E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人员准备</w:t>
      </w:r>
    </w:p>
    <w:p w14:paraId="6A3C7F20">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在汛期泵站看护要加强值守工作，相应增加看护人员数量、并加强维修准备工作，保证2名以上电工在岗并配备好运输及巡视车辆。</w:t>
      </w:r>
    </w:p>
    <w:p w14:paraId="1B4B6C5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保证用电</w:t>
      </w:r>
    </w:p>
    <w:p w14:paraId="13B7C55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随时关注电力供应情况，与电力供应部门保持联系，保持好发电设备的正常运转及油料储备。一旦有停电的情况发生立即启动发电机，做好应急发电。</w:t>
      </w:r>
    </w:p>
    <w:p w14:paraId="1E2BDA4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保证通讯畅通</w:t>
      </w:r>
    </w:p>
    <w:p w14:paraId="3900154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泵站各级值班人员要保证通讯畅通，泵站站长及值守人员保持电话24小时开机，随时接受指令并上报泵站情况，为上级决策提供依据。</w:t>
      </w:r>
    </w:p>
    <w:p w14:paraId="0011CAC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易涝点处置方式</w:t>
      </w:r>
    </w:p>
    <w:p w14:paraId="6EE2709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各成员单位按照分工对辖区内进行巡查，特别是城市主干路、城市重要建构筑物、城市易涝点等位置可派专人执勤。</w:t>
      </w:r>
    </w:p>
    <w:p w14:paraId="66D9CB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1)巡查组发现道路积水后，应及时向巡查组负责人报告。由巡查组负责人对道路积水情况进行初步评估，判断是否上报指挥部派出应急队伍进行处理处置。</w:t>
      </w:r>
    </w:p>
    <w:p w14:paraId="1F517E2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2)应急队伍抵达现场后，迅速完成现场积水情况勘察同时，对因道路积水导致损坏的设施，应急队伍立即进行抢修。</w:t>
      </w:r>
    </w:p>
    <w:p w14:paraId="455613B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3)根据道路积水情况，应急队伍应首先清理雨水篦子、检查井井口垃圾，确保路面排水通畅。对积水严重的路段，由公安交通部门设立警示牌，安排应急泵车抽排积水，采取交通管制，引导车辆、提示行人绕行。</w:t>
      </w:r>
    </w:p>
    <w:p w14:paraId="493D0DE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4)城区排水泵站全部开启，查看排水口泄洪情况，清理河道阻水物。</w:t>
      </w:r>
    </w:p>
    <w:p w14:paraId="2DBB7D1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5)发电车、抽水泵、潜水泵、应急泵车、应急照明等24小时待命，如遇现场排水设施出现故障立刻增援。</w:t>
      </w:r>
    </w:p>
    <w:p w14:paraId="7D1E430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6)在排水抢险过程中，如有人员被困或受伤，立刻联系指挥部开展救援工作。</w:t>
      </w:r>
    </w:p>
    <w:p w14:paraId="6F8C839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施工现场处置方式</w:t>
      </w:r>
    </w:p>
    <w:p w14:paraId="2429894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1)施工现场应按标准实现现场硬化处理。</w:t>
      </w:r>
    </w:p>
    <w:p w14:paraId="5C011C3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2)设置连续、通常的排水设施（如潜水泵、排水沟等），防止泥浆、污水、废水外流或堵塞下水道和排水沟。</w:t>
      </w:r>
    </w:p>
    <w:p w14:paraId="6D20B64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3)做好基坑施工现场边缘的危石处理，防止滑坡、塌方威胁工地。加强监控，配备足量排水设施。</w:t>
      </w:r>
    </w:p>
    <w:p w14:paraId="43DC130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4)对路基易受冲刷部分，铺石块、焦渣、砾石等渗水防滑材料，或设涵管排泄，保证路基稳固。</w:t>
      </w:r>
    </w:p>
    <w:p w14:paraId="11981FC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5)汛前应清除沟边多余弃土，减轻坡顶压力。</w:t>
      </w:r>
    </w:p>
    <w:p w14:paraId="14F69E8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6)指定人员在汛期专项负责，及时疏浚排水系统，确保排水通畅，对路面不平或积水现象应及时修复清除。</w:t>
      </w:r>
    </w:p>
    <w:p w14:paraId="6533D84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7)雨后应及时对坑、槽、沟边坡和固壁支撑结构进行检查，并派专人对深基坑进行测量，观察边坡情况，如发现边坡有裂缝、疏松、支撑结构折断、走动等危险征兆，应立即采取措施解决。</w:t>
      </w:r>
    </w:p>
    <w:p w14:paraId="3189741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六</w:t>
      </w:r>
      <w:r>
        <w:rPr>
          <w:rFonts w:hint="eastAsia" w:ascii="楷体" w:hAnsi="楷体" w:eastAsia="楷体" w:cs="楷体"/>
          <w:sz w:val="32"/>
          <w:szCs w:val="32"/>
          <w:lang w:eastAsia="zh-CN"/>
        </w:rPr>
        <w:t>、</w:t>
      </w:r>
      <w:r>
        <w:rPr>
          <w:rFonts w:hint="eastAsia" w:ascii="楷体" w:hAnsi="楷体" w:eastAsia="楷体" w:cs="楷体"/>
          <w:sz w:val="32"/>
          <w:szCs w:val="32"/>
        </w:rPr>
        <w:t>应急相应等级变更</w:t>
      </w:r>
    </w:p>
    <w:p w14:paraId="43DA029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当暴雨预警等级发生变化时，应根据汛情发展趋势、影响及危害程度，适时调整（降低或提高）应急相应等级。</w:t>
      </w:r>
    </w:p>
    <w:p w14:paraId="2009FEE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七</w:t>
      </w:r>
      <w:r>
        <w:rPr>
          <w:rFonts w:hint="eastAsia" w:ascii="楷体" w:hAnsi="楷体" w:eastAsia="楷体" w:cs="楷体"/>
          <w:sz w:val="32"/>
          <w:szCs w:val="32"/>
          <w:lang w:eastAsia="zh-CN"/>
        </w:rPr>
        <w:t>、</w:t>
      </w:r>
      <w:r>
        <w:rPr>
          <w:rFonts w:hint="eastAsia" w:ascii="楷体" w:hAnsi="楷体" w:eastAsia="楷体" w:cs="楷体"/>
          <w:sz w:val="32"/>
          <w:szCs w:val="32"/>
        </w:rPr>
        <w:t>应急终止</w:t>
      </w:r>
    </w:p>
    <w:p w14:paraId="4BD3D3D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警已解除或防汛突发事件处置工作已基本完成，防汛突发事件危害基本消除后，指挥部可宣布应急终止。紧急处置工作结束后，恢复正常的生活、生产、工作秩序，开展灾后自救和灾害损失及影响评估，并汇报指挥部。</w:t>
      </w:r>
    </w:p>
    <w:p w14:paraId="11941E7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第七章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应急处置</w:t>
      </w:r>
    </w:p>
    <w:p w14:paraId="7EBCBD1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b w:val="0"/>
          <w:bCs w:val="0"/>
          <w:sz w:val="32"/>
          <w:szCs w:val="32"/>
        </w:rPr>
        <w:t>一</w:t>
      </w:r>
      <w:r>
        <w:rPr>
          <w:rFonts w:hint="eastAsia" w:ascii="楷体" w:hAnsi="楷体" w:eastAsia="楷体" w:cs="楷体"/>
          <w:b w:val="0"/>
          <w:bCs w:val="0"/>
          <w:sz w:val="32"/>
          <w:szCs w:val="32"/>
          <w:lang w:eastAsia="zh-CN"/>
        </w:rPr>
        <w:t>、</w:t>
      </w:r>
      <w:r>
        <w:rPr>
          <w:rFonts w:hint="eastAsia" w:ascii="楷体" w:hAnsi="楷体" w:eastAsia="楷体" w:cs="楷体"/>
          <w:b w:val="0"/>
          <w:bCs w:val="0"/>
          <w:sz w:val="32"/>
          <w:szCs w:val="32"/>
        </w:rPr>
        <w:t>先期处置</w:t>
      </w:r>
    </w:p>
    <w:p w14:paraId="43A3BFF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内涝事故发生后，有关部门和先期到达的应急抢险队伍应立即启动现场处置方案，尽可能控制事态扩大、严防次生灾害的发生，同时迅速、准确地将突发事件和先期处置情况汇报应急办公室。</w:t>
      </w:r>
    </w:p>
    <w:p w14:paraId="5076F0A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w:t>
      </w:r>
      <w:r>
        <w:rPr>
          <w:rFonts w:hint="eastAsia" w:ascii="楷体" w:hAnsi="楷体" w:eastAsia="楷体" w:cs="楷体"/>
          <w:sz w:val="32"/>
          <w:szCs w:val="32"/>
          <w:lang w:eastAsia="zh-CN"/>
        </w:rPr>
        <w:t>、</w:t>
      </w:r>
      <w:r>
        <w:rPr>
          <w:rFonts w:hint="eastAsia" w:ascii="楷体" w:hAnsi="楷体" w:eastAsia="楷体" w:cs="楷体"/>
          <w:sz w:val="32"/>
          <w:szCs w:val="32"/>
        </w:rPr>
        <w:t>应急处置</w:t>
      </w:r>
    </w:p>
    <w:p w14:paraId="76EB120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启动本预案后，应急指挥部要指定专人第一时间赶赴现场，加强指挥，协调有关力量，对一些重大问题做出决策。应急指挥部各成员部门要在总指挥的统一指挥下展开应急抢险工作。</w:t>
      </w:r>
      <w:r>
        <w:rPr>
          <w:rFonts w:hint="eastAsia" w:ascii="仿宋_GB2312" w:hAnsi="仿宋_GB2312" w:eastAsia="仿宋_GB2312" w:cs="仿宋_GB2312"/>
          <w:sz w:val="32"/>
          <w:szCs w:val="32"/>
          <w:lang w:val="en-US" w:eastAsia="zh-CN"/>
        </w:rPr>
        <w:t xml:space="preserve"> </w:t>
      </w:r>
    </w:p>
    <w:p w14:paraId="7975D6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各成员部门接到应急指挥部参与事故抢险指示后，根据各自职责，紧急调用所需装备、器材和物品。组织抢险队伍，及时赶赴现场参与抢险。</w:t>
      </w:r>
    </w:p>
    <w:p w14:paraId="1F50B49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道路积水；管道破损严重，无法正常排水；泥浆、油污、垃圾等堵塞下水道造成道路积水；大范围污水冒溢造成道路积水；地下工程施工过程中，管道未恢复功能或未投入使用时，施工沟槽积水：组织大功率潜水泵、吸污车等排水设备进行排水，及时组织相关人员做好现场安全防护工作，设置警示标识，查找、分析原因，制定应急措施，及时组织应急抢险队伍清理现场，疏通管道，清除积水，抢修损坏的管道或排水井。</w:t>
      </w:r>
    </w:p>
    <w:p w14:paraId="3506DD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加大巡查力度，及时清理收水井口、井盖、雨水箅子，及时汇报发现的险情和隐患，根据指示参与抢险。路面积水超过15</w:t>
      </w:r>
      <w:r>
        <w:rPr>
          <w:rFonts w:hint="eastAsia" w:ascii="仿宋_GB2312" w:hAnsi="仿宋_GB2312" w:eastAsia="仿宋_GB2312" w:cs="仿宋_GB2312"/>
          <w:sz w:val="32"/>
          <w:szCs w:val="32"/>
          <w:lang w:eastAsia="zh-CN"/>
        </w:rPr>
        <w:t>厘米</w:t>
      </w:r>
      <w:r>
        <w:rPr>
          <w:rFonts w:hint="eastAsia" w:ascii="仿宋_GB2312" w:hAnsi="仿宋_GB2312" w:eastAsia="仿宋_GB2312" w:cs="仿宋_GB2312"/>
          <w:sz w:val="32"/>
          <w:szCs w:val="32"/>
        </w:rPr>
        <w:t>影响交通时，可采取移走井盖、雨箅子的方法，提高局部排水能力，并设专人死看死守，杜绝人身伤害事故的发生。</w:t>
      </w:r>
    </w:p>
    <w:p w14:paraId="0416BC1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监控泵站机组运行状态，根据指令开闭备用水泵，调节流量。如遇大面积停电导致泵站停止运行，泵站应立即启动自备电机，必要时可提供移动式发电机；发电机不足时，应急办公室负责协调外部单位请求支援。</w:t>
      </w:r>
    </w:p>
    <w:p w14:paraId="60BD6EC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如遇泵站机组损坏，导致泵站丧失排水能力，应立即组织抢修，同时采取大功率潜水泵、吸污车等排水设备强排的临时措施排水，必要时应急办公室申请外部支援。</w:t>
      </w:r>
    </w:p>
    <w:p w14:paraId="594C515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4）收集与事故相关的资料，汇总并呈报应急指挥部，与政府相关部门保持联系，确保信息传递及时、准确。</w:t>
      </w:r>
    </w:p>
    <w:p w14:paraId="11BDC20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三</w:t>
      </w:r>
      <w:r>
        <w:rPr>
          <w:rFonts w:hint="eastAsia" w:ascii="楷体" w:hAnsi="楷体" w:eastAsia="楷体" w:cs="楷体"/>
          <w:sz w:val="32"/>
          <w:szCs w:val="32"/>
          <w:lang w:eastAsia="zh-CN"/>
        </w:rPr>
        <w:t>、</w:t>
      </w:r>
      <w:r>
        <w:rPr>
          <w:rFonts w:hint="eastAsia" w:ascii="楷体" w:hAnsi="楷体" w:eastAsia="楷体" w:cs="楷体"/>
          <w:sz w:val="32"/>
          <w:szCs w:val="32"/>
        </w:rPr>
        <w:t>应急救援</w:t>
      </w:r>
    </w:p>
    <w:p w14:paraId="1935B39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如遇发生人员伤害事故时，应立即通知120急救中心，并在现场做好力所能及的救治。</w:t>
      </w:r>
    </w:p>
    <w:p w14:paraId="03631D3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如遇发生产财务损伤时，保护好现场，并做好取证工作，以备日后保险理赔。</w:t>
      </w:r>
    </w:p>
    <w:p w14:paraId="28278F0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如遇受到惊吓的群众要做好安抚工作，并将其转移至安全场所。</w:t>
      </w:r>
    </w:p>
    <w:p w14:paraId="0AC0B23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注意维护公共秩序，防止扩大事态、增加损失。</w:t>
      </w:r>
    </w:p>
    <w:p w14:paraId="26747C9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如遇现场抢险人力、物力不足时应立即联系应急指挥部请求支援。</w:t>
      </w:r>
    </w:p>
    <w:p w14:paraId="41F4F77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应急救援应实行“三报”制度，即：</w:t>
      </w:r>
    </w:p>
    <w:p w14:paraId="2029BE7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首报：</w:t>
      </w:r>
      <w:r>
        <w:rPr>
          <w:rFonts w:hint="eastAsia" w:ascii="仿宋_GB2312" w:hAnsi="仿宋_GB2312" w:eastAsia="仿宋_GB2312" w:cs="仿宋_GB2312"/>
          <w:sz w:val="32"/>
          <w:szCs w:val="32"/>
        </w:rPr>
        <w:t>事故发生后立刻报告抢险救援负责人，说明事故发生的时间、地点、及时状况；</w:t>
      </w:r>
    </w:p>
    <w:p w14:paraId="76D5593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二报：</w:t>
      </w:r>
      <w:r>
        <w:rPr>
          <w:rFonts w:hint="eastAsia" w:ascii="仿宋_GB2312" w:hAnsi="仿宋_GB2312" w:eastAsia="仿宋_GB2312" w:cs="仿宋_GB2312"/>
          <w:sz w:val="32"/>
          <w:szCs w:val="32"/>
        </w:rPr>
        <w:t>负责人将初步分析的事故发生原因、可能造成的后果、已经或准备采取的措施等在30分钟内续报至指挥部；</w:t>
      </w:r>
    </w:p>
    <w:p w14:paraId="1E1F1F5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三报：</w:t>
      </w:r>
      <w:r>
        <w:rPr>
          <w:rFonts w:hint="eastAsia" w:ascii="仿宋_GB2312" w:hAnsi="仿宋_GB2312" w:eastAsia="仿宋_GB2312" w:cs="仿宋_GB2312"/>
          <w:sz w:val="32"/>
          <w:szCs w:val="32"/>
        </w:rPr>
        <w:t>指挥部在全面了解事故发生的原因、经过及损害程度、后果等具体情况，并经核实无误后于应急终止24小时内提出书面报告。</w:t>
      </w:r>
    </w:p>
    <w:p w14:paraId="70E0F0F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四</w:t>
      </w:r>
      <w:r>
        <w:rPr>
          <w:rFonts w:hint="eastAsia" w:ascii="楷体" w:hAnsi="楷体" w:eastAsia="楷体" w:cs="楷体"/>
          <w:sz w:val="32"/>
          <w:szCs w:val="32"/>
          <w:lang w:eastAsia="zh-CN"/>
        </w:rPr>
        <w:t>、</w:t>
      </w:r>
      <w:r>
        <w:rPr>
          <w:rFonts w:hint="eastAsia" w:ascii="楷体" w:hAnsi="楷体" w:eastAsia="楷体" w:cs="楷体"/>
          <w:sz w:val="32"/>
          <w:szCs w:val="32"/>
        </w:rPr>
        <w:t>扩大应急</w:t>
      </w:r>
    </w:p>
    <w:p w14:paraId="652871B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根据对突发事件发展势态及影响的动态监测，发现有升级的趋势或已升级时，应急指挥部在组织抢险的同时，及时改变处置策略，提出扩大应急请求，请求上级领导、地方政府有关部门和抢险队伍给予支援。</w:t>
      </w:r>
    </w:p>
    <w:p w14:paraId="4E3FBE6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rPr>
      </w:pPr>
      <w:r>
        <w:rPr>
          <w:rFonts w:hint="eastAsia" w:ascii="黑体" w:hAnsi="黑体" w:eastAsia="黑体" w:cs="黑体"/>
          <w:sz w:val="32"/>
          <w:szCs w:val="32"/>
        </w:rPr>
        <w:t>第八章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应急保障</w:t>
      </w:r>
    </w:p>
    <w:p w14:paraId="7222680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w:t>
      </w:r>
      <w:r>
        <w:rPr>
          <w:rFonts w:hint="eastAsia" w:ascii="楷体" w:hAnsi="楷体" w:eastAsia="楷体" w:cs="楷体"/>
          <w:sz w:val="32"/>
          <w:szCs w:val="32"/>
          <w:lang w:eastAsia="zh-CN"/>
        </w:rPr>
        <w:t>、</w:t>
      </w:r>
      <w:r>
        <w:rPr>
          <w:rFonts w:hint="eastAsia" w:ascii="楷体" w:hAnsi="楷体" w:eastAsia="楷体" w:cs="楷体"/>
          <w:sz w:val="32"/>
          <w:szCs w:val="32"/>
        </w:rPr>
        <w:t>通信与信息保障</w:t>
      </w:r>
    </w:p>
    <w:p w14:paraId="1FB639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急指挥部建立与应急工作相关联的部门或人员的通讯联系方式，应急组织体系成员个人手机号码发生变化的必须在一星期内报告应急指挥部：个人手机应及时充电，保持24小时开机状态。各通讯联络小组负责建立通讯设施清单和通讯设施状态检查表，日常负责维护信息通讯系统，确保应急期间信息通畅。</w:t>
      </w:r>
    </w:p>
    <w:p w14:paraId="77BB458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w:t>
      </w:r>
      <w:r>
        <w:rPr>
          <w:rFonts w:hint="eastAsia" w:ascii="楷体" w:hAnsi="楷体" w:eastAsia="楷体" w:cs="楷体"/>
          <w:sz w:val="32"/>
          <w:szCs w:val="32"/>
          <w:lang w:eastAsia="zh-CN"/>
        </w:rPr>
        <w:t>、</w:t>
      </w:r>
      <w:r>
        <w:rPr>
          <w:rFonts w:hint="eastAsia" w:ascii="楷体" w:hAnsi="楷体" w:eastAsia="楷体" w:cs="楷体"/>
          <w:sz w:val="32"/>
          <w:szCs w:val="32"/>
        </w:rPr>
        <w:t>应急队伍保障</w:t>
      </w:r>
    </w:p>
    <w:p w14:paraId="5D7144C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成员单位组建相应的应急队伍。应急指挥部每年年初根据力量评估与人员变化调整、补充人员。每年至少开展一次全面的应急知识、应急技能的培训，提高应急队伍人员应急处置能力。发挥专业技术人员的作用，或外聘专家，对应急预案的演练、应急处置管理工作进行指导，提高城市应急管理水平。</w:t>
      </w:r>
    </w:p>
    <w:p w14:paraId="0297568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三</w:t>
      </w:r>
      <w:r>
        <w:rPr>
          <w:rFonts w:hint="eastAsia" w:ascii="楷体" w:hAnsi="楷体" w:eastAsia="楷体" w:cs="楷体"/>
          <w:sz w:val="32"/>
          <w:szCs w:val="32"/>
          <w:lang w:eastAsia="zh-CN"/>
        </w:rPr>
        <w:t>、</w:t>
      </w:r>
      <w:r>
        <w:rPr>
          <w:rFonts w:hint="eastAsia" w:ascii="楷体" w:hAnsi="楷体" w:eastAsia="楷体" w:cs="楷体"/>
          <w:sz w:val="32"/>
          <w:szCs w:val="32"/>
        </w:rPr>
        <w:t>应急物资保障</w:t>
      </w:r>
    </w:p>
    <w:p w14:paraId="75DF4C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成员单位组建的应急队伍成员均应明确应急救援需要使用的应急物资和装备，熟知其类型、规格型号、数量、性能、存放位置、管理责任人以及联系方式等。</w:t>
      </w:r>
    </w:p>
    <w:p w14:paraId="16B81BB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立保障组负责应急物资装备的供给，应急物资装备包括：通讯装备、运输工具、照明装置、防护装备、消防设施、便携式检测装置及各种专用设备等。日常确保最低数量各品库存，定期检验状态，已备使用。应急物资存放地点应加强日常检查和管理，按规定进行更新，不得擅自挪用。各成员单位街道汛情信息后，迅速召集相关成员，将所需物资设备在指定时间送至指定地点。</w:t>
      </w:r>
    </w:p>
    <w:p w14:paraId="0969850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四</w:t>
      </w:r>
      <w:r>
        <w:rPr>
          <w:rFonts w:hint="eastAsia" w:ascii="楷体" w:hAnsi="楷体" w:eastAsia="楷体" w:cs="楷体"/>
          <w:sz w:val="32"/>
          <w:szCs w:val="32"/>
          <w:lang w:eastAsia="zh-CN"/>
        </w:rPr>
        <w:t>、</w:t>
      </w:r>
      <w:r>
        <w:rPr>
          <w:rFonts w:hint="eastAsia" w:ascii="楷体" w:hAnsi="楷体" w:eastAsia="楷体" w:cs="楷体"/>
          <w:sz w:val="32"/>
          <w:szCs w:val="32"/>
        </w:rPr>
        <w:t>经费保障</w:t>
      </w:r>
    </w:p>
    <w:p w14:paraId="63A5C3A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应急指挥部对应急工作的日常费用作出预算，财务部门审核，总指挥审定后，列入年度预算，保障应急处置支出需要。</w:t>
      </w:r>
    </w:p>
    <w:p w14:paraId="14C9634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五</w:t>
      </w:r>
      <w:r>
        <w:rPr>
          <w:rFonts w:hint="eastAsia" w:ascii="楷体" w:hAnsi="楷体" w:eastAsia="楷体" w:cs="楷体"/>
          <w:sz w:val="32"/>
          <w:szCs w:val="32"/>
          <w:lang w:eastAsia="zh-CN"/>
        </w:rPr>
        <w:t>、</w:t>
      </w:r>
      <w:r>
        <w:rPr>
          <w:rFonts w:hint="eastAsia" w:ascii="楷体" w:hAnsi="楷体" w:eastAsia="楷体" w:cs="楷体"/>
          <w:sz w:val="32"/>
          <w:szCs w:val="32"/>
        </w:rPr>
        <w:t>交通保障</w:t>
      </w:r>
    </w:p>
    <w:p w14:paraId="0F9EE57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各成员单位的后勤保障组掌握车辆类型、数量，确保在紧急情况下随时调用、确保抢险救灾物资和人员能够及时、安全送达。必要时开设应急救援“绿色通道”，保证应急救援工作迅速有效开展。</w:t>
      </w:r>
    </w:p>
    <w:p w14:paraId="4AC18F2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第九章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注意事项</w:t>
      </w:r>
    </w:p>
    <w:p w14:paraId="0065EC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一</w:t>
      </w:r>
      <w:r>
        <w:rPr>
          <w:rFonts w:hint="eastAsia" w:ascii="楷体" w:hAnsi="楷体" w:eastAsia="楷体" w:cs="楷体"/>
          <w:sz w:val="32"/>
          <w:szCs w:val="32"/>
          <w:lang w:eastAsia="zh-CN"/>
        </w:rPr>
        <w:t>、</w:t>
      </w:r>
      <w:r>
        <w:rPr>
          <w:rFonts w:hint="eastAsia" w:ascii="楷体" w:hAnsi="楷体" w:eastAsia="楷体" w:cs="楷体"/>
          <w:sz w:val="32"/>
          <w:szCs w:val="32"/>
        </w:rPr>
        <w:t>现场注意事项</w:t>
      </w:r>
    </w:p>
    <w:p w14:paraId="094AC92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管网抢修时，在重要路段要设立警示牌，派专人对无关车辆进行疏导。</w:t>
      </w:r>
    </w:p>
    <w:p w14:paraId="6EB7C3A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工人挖土方时，要时刻注意坍塌迹象。</w:t>
      </w:r>
    </w:p>
    <w:p w14:paraId="022C616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设置围栏时要注意不要误伤周围人群。</w:t>
      </w:r>
    </w:p>
    <w:p w14:paraId="71570DB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及时对现场进行拍照和录像。</w:t>
      </w:r>
    </w:p>
    <w:p w14:paraId="7651C5A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w:t>
      </w:r>
      <w:r>
        <w:rPr>
          <w:rFonts w:hint="eastAsia" w:ascii="楷体" w:hAnsi="楷体" w:eastAsia="楷体" w:cs="楷体"/>
          <w:sz w:val="32"/>
          <w:szCs w:val="32"/>
          <w:lang w:eastAsia="zh-CN"/>
        </w:rPr>
        <w:t>、</w:t>
      </w:r>
      <w:r>
        <w:rPr>
          <w:rFonts w:hint="eastAsia" w:ascii="楷体" w:hAnsi="楷体" w:eastAsia="楷体" w:cs="楷体"/>
          <w:sz w:val="32"/>
          <w:szCs w:val="32"/>
        </w:rPr>
        <w:t>后续处置</w:t>
      </w:r>
    </w:p>
    <w:p w14:paraId="28C5E49A">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清点人员</w:t>
      </w:r>
    </w:p>
    <w:p w14:paraId="56CFB53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应急抢险队伍在事故抢险工作结束后，对参与事故应急的人员进行清点，使用的抢险物资与装备安排专人进行清点和回收。</w:t>
      </w:r>
    </w:p>
    <w:p w14:paraId="22D85135">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现场恢复</w:t>
      </w:r>
    </w:p>
    <w:p w14:paraId="467CE10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按照管辖分工，由抢险队伍负责现场恢复工作。应急办公室对现场恢复情况进行评估检查。</w:t>
      </w:r>
    </w:p>
    <w:p w14:paraId="5AE51836">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统计汇报</w:t>
      </w:r>
    </w:p>
    <w:p w14:paraId="585F4C72">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各成员单位根据各自参与抢险情况，对参与人员、设备、物资调度、使用、消耗情况和参与抢险工作内容及成效进行统计，并形成汇报材料，于应急抢险结束后五个工作日内报应急办公室。</w:t>
      </w:r>
    </w:p>
    <w:p w14:paraId="68E19AA0">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改造重建</w:t>
      </w:r>
    </w:p>
    <w:p w14:paraId="5BC36FC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管辖区域内排水设施因洪涝灾害损坏的，由应急指挥部组织抢险队伍拟定改造/重建计划，编制方案、预算，经相关部门批准后，组织实施，回复、提升排水保证能力。</w:t>
      </w:r>
    </w:p>
    <w:p w14:paraId="43203DF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32"/>
          <w:szCs w:val="32"/>
        </w:rPr>
      </w:pPr>
      <w:r>
        <w:rPr>
          <w:rFonts w:hint="eastAsia" w:ascii="黑体" w:hAnsi="黑体" w:eastAsia="黑体" w:cs="黑体"/>
          <w:sz w:val="32"/>
          <w:szCs w:val="32"/>
        </w:rPr>
        <w:t>第十章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应急预案管理</w:t>
      </w:r>
    </w:p>
    <w:p w14:paraId="7EF042D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一</w:t>
      </w:r>
      <w:r>
        <w:rPr>
          <w:rFonts w:hint="eastAsia" w:ascii="楷体" w:hAnsi="楷体" w:eastAsia="楷体" w:cs="楷体"/>
          <w:sz w:val="32"/>
          <w:szCs w:val="32"/>
          <w:lang w:eastAsia="zh-CN"/>
        </w:rPr>
        <w:t>、</w:t>
      </w:r>
      <w:r>
        <w:rPr>
          <w:rFonts w:hint="eastAsia" w:ascii="楷体" w:hAnsi="楷体" w:eastAsia="楷体" w:cs="楷体"/>
          <w:sz w:val="32"/>
          <w:szCs w:val="32"/>
        </w:rPr>
        <w:t>宣传教育</w:t>
      </w:r>
    </w:p>
    <w:p w14:paraId="1917CB9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要加强防汛抢险宣传教育，组织制定应对防汛突发公共事件的教育培训计划。利用广播、宣传板、互联网等媒</w:t>
      </w:r>
      <w:r>
        <w:rPr>
          <w:rFonts w:hint="eastAsia" w:ascii="仿宋_GB2312" w:hAnsi="仿宋_GB2312" w:eastAsia="仿宋_GB2312" w:cs="仿宋_GB2312"/>
          <w:sz w:val="32"/>
          <w:szCs w:val="32"/>
          <w:lang w:val="en-US" w:eastAsia="zh-CN"/>
        </w:rPr>
        <w:t>介</w:t>
      </w:r>
      <w:r>
        <w:rPr>
          <w:rFonts w:hint="eastAsia" w:ascii="仿宋_GB2312" w:hAnsi="仿宋_GB2312" w:eastAsia="仿宋_GB2312" w:cs="仿宋_GB2312"/>
          <w:sz w:val="32"/>
          <w:szCs w:val="32"/>
        </w:rPr>
        <w:t>，做好防汛、避险、自救、互救等常识的宣传教育，增强防汛意识及应急基本知识的培养学习。</w:t>
      </w:r>
    </w:p>
    <w:p w14:paraId="089A0E7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二</w:t>
      </w:r>
      <w:r>
        <w:rPr>
          <w:rFonts w:hint="eastAsia" w:ascii="楷体" w:hAnsi="楷体" w:eastAsia="楷体" w:cs="楷体"/>
          <w:sz w:val="32"/>
          <w:szCs w:val="32"/>
          <w:lang w:eastAsia="zh-CN"/>
        </w:rPr>
        <w:t>、</w:t>
      </w:r>
      <w:r>
        <w:rPr>
          <w:rFonts w:hint="eastAsia" w:ascii="楷体" w:hAnsi="楷体" w:eastAsia="楷体" w:cs="楷体"/>
          <w:sz w:val="32"/>
          <w:szCs w:val="32"/>
        </w:rPr>
        <w:t>应急培训</w:t>
      </w:r>
    </w:p>
    <w:p w14:paraId="079B6E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每年至少开展一次培训，指定年度预案培训计划，计划中包括培训内容、对象、方式、频次。具体要求如下：</w:t>
      </w:r>
    </w:p>
    <w:p w14:paraId="0390154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培训的主要内容包括：本预案的内容、防汛知识、抢险救援基本常识等。</w:t>
      </w:r>
    </w:p>
    <w:p w14:paraId="541CA3E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培训对象包括：专业抢险救援人员、义务抢险救援人员、应急指挥人员、主要应急部门人员、提供后勤保障部门的人员、新上岗人员等。</w:t>
      </w:r>
    </w:p>
    <w:p w14:paraId="3DFCF18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培训方式包括：发放材料、课堂培训、现场教学、演练等；</w:t>
      </w:r>
    </w:p>
    <w:p w14:paraId="71E8B19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对培训作相应记录，包括日期、人员、培训结果的评估和考核。</w:t>
      </w:r>
    </w:p>
    <w:p w14:paraId="26051B2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每次培训完后，培训部门要对培训效果进行评估，培训效果评估采取考试、现场提问和实际操作考核等方式。</w:t>
      </w:r>
    </w:p>
    <w:p w14:paraId="05BCC92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三</w:t>
      </w:r>
      <w:r>
        <w:rPr>
          <w:rFonts w:hint="eastAsia" w:ascii="楷体" w:hAnsi="楷体" w:eastAsia="楷体" w:cs="楷体"/>
          <w:sz w:val="32"/>
          <w:szCs w:val="32"/>
          <w:lang w:eastAsia="zh-CN"/>
        </w:rPr>
        <w:t>、</w:t>
      </w:r>
      <w:r>
        <w:rPr>
          <w:rFonts w:hint="eastAsia" w:ascii="楷体" w:hAnsi="楷体" w:eastAsia="楷体" w:cs="楷体"/>
          <w:sz w:val="32"/>
          <w:szCs w:val="32"/>
        </w:rPr>
        <w:t>责任与奖惩</w:t>
      </w:r>
    </w:p>
    <w:p w14:paraId="00D3079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防汛工作实行一把手负责制和责任追究制。对在防汛排涝抢险工作中成绩显著的部门和个人给予表彰；对不履行职责的，依照有关规定给予行政处分；构成犯罪的，移交司法机关追究刑事责任。</w:t>
      </w:r>
    </w:p>
    <w:p w14:paraId="4DE3B19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四</w:t>
      </w:r>
      <w:r>
        <w:rPr>
          <w:rFonts w:hint="eastAsia" w:ascii="楷体" w:hAnsi="楷体" w:eastAsia="楷体" w:cs="楷体"/>
          <w:sz w:val="32"/>
          <w:szCs w:val="32"/>
          <w:lang w:eastAsia="zh-CN"/>
        </w:rPr>
        <w:t>、</w:t>
      </w:r>
      <w:r>
        <w:rPr>
          <w:rFonts w:hint="eastAsia" w:ascii="楷体" w:hAnsi="楷体" w:eastAsia="楷体" w:cs="楷体"/>
          <w:sz w:val="32"/>
          <w:szCs w:val="32"/>
        </w:rPr>
        <w:t>工作评价</w:t>
      </w:r>
    </w:p>
    <w:p w14:paraId="12CF5A5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每年由指挥部组织针对防汛工作的各个方面和环节进行定性和定量的总结、分析、评估。征求社会各界和群众对城市防汛工作的意见和建议，总结经验，查找问题，采取措施，加以整改，以促进城市防汛工作的开展。</w:t>
      </w:r>
    </w:p>
    <w:p w14:paraId="7198D71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五</w:t>
      </w:r>
      <w:r>
        <w:rPr>
          <w:rFonts w:hint="eastAsia" w:ascii="楷体" w:hAnsi="楷体" w:eastAsia="楷体" w:cs="楷体"/>
          <w:sz w:val="32"/>
          <w:szCs w:val="32"/>
          <w:lang w:eastAsia="zh-CN"/>
        </w:rPr>
        <w:t>、</w:t>
      </w:r>
      <w:r>
        <w:rPr>
          <w:rFonts w:hint="eastAsia" w:ascii="楷体" w:hAnsi="楷体" w:eastAsia="楷体" w:cs="楷体"/>
          <w:sz w:val="32"/>
          <w:szCs w:val="32"/>
        </w:rPr>
        <w:t>管理与更新</w:t>
      </w:r>
    </w:p>
    <w:p w14:paraId="4D89DB89">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本预案由指挥部牵头制订，经批准后实施，并定期对预案进行评估，原则上三年内作相应修订。汛情结束后，应及时对预案进行评估。</w:t>
      </w:r>
    </w:p>
    <w:p w14:paraId="6B681B3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六</w:t>
      </w:r>
      <w:r>
        <w:rPr>
          <w:rFonts w:hint="eastAsia" w:ascii="楷体" w:hAnsi="楷体" w:eastAsia="楷体" w:cs="楷体"/>
          <w:sz w:val="32"/>
          <w:szCs w:val="32"/>
          <w:lang w:eastAsia="zh-CN"/>
        </w:rPr>
        <w:t>、</w:t>
      </w:r>
      <w:r>
        <w:rPr>
          <w:rFonts w:hint="eastAsia" w:ascii="楷体" w:hAnsi="楷体" w:eastAsia="楷体" w:cs="楷体"/>
          <w:sz w:val="32"/>
          <w:szCs w:val="32"/>
        </w:rPr>
        <w:t>实施时间</w:t>
      </w:r>
    </w:p>
    <w:p w14:paraId="5CB2D25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BB1A000-9146-46A2-91BF-8FEC6A808E4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3165AD0-B21A-46E6-971A-98A8F1A69B69}"/>
  </w:font>
  <w:font w:name="仿宋_GB2312">
    <w:panose1 w:val="02010609030101010101"/>
    <w:charset w:val="86"/>
    <w:family w:val="auto"/>
    <w:pitch w:val="default"/>
    <w:sig w:usb0="00000001" w:usb1="080E0000" w:usb2="00000000" w:usb3="00000000" w:csb0="00040000" w:csb1="00000000"/>
    <w:embedRegular r:id="rId3" w:fontKey="{747D4854-86A4-48DD-83E9-E1501F6F2EB5}"/>
  </w:font>
  <w:font w:name="方正小标宋简体">
    <w:panose1 w:val="02010600010101010101"/>
    <w:charset w:val="86"/>
    <w:family w:val="auto"/>
    <w:pitch w:val="default"/>
    <w:sig w:usb0="00000001" w:usb1="080E0000" w:usb2="00000000" w:usb3="00000000" w:csb0="00040000" w:csb1="00000000"/>
    <w:embedRegular r:id="rId4" w:fontKey="{EEFF7C7E-4337-480E-8A73-18DD3669E396}"/>
  </w:font>
  <w:font w:name="楷体">
    <w:panose1 w:val="02010609060101010101"/>
    <w:charset w:val="86"/>
    <w:family w:val="auto"/>
    <w:pitch w:val="default"/>
    <w:sig w:usb0="800002BF" w:usb1="38CF7CFA" w:usb2="00000016" w:usb3="00000000" w:csb0="00040001" w:csb1="00000000"/>
    <w:embedRegular r:id="rId5" w:fontKey="{708011ED-6D0C-47ED-B2DE-8949662218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E50D8">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1D0CF">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291D0CF">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36FB0">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FD21A">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85FD21A">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291A7C"/>
    <w:rsid w:val="02306473"/>
    <w:rsid w:val="02535CBD"/>
    <w:rsid w:val="038E78BE"/>
    <w:rsid w:val="07606C53"/>
    <w:rsid w:val="093C74AB"/>
    <w:rsid w:val="09BF1E8A"/>
    <w:rsid w:val="0C291A7C"/>
    <w:rsid w:val="137E6CE1"/>
    <w:rsid w:val="15AA7412"/>
    <w:rsid w:val="22E22A19"/>
    <w:rsid w:val="27A37603"/>
    <w:rsid w:val="2AA607D0"/>
    <w:rsid w:val="2D7A6FE0"/>
    <w:rsid w:val="2E813A2E"/>
    <w:rsid w:val="32324B64"/>
    <w:rsid w:val="37F91DFC"/>
    <w:rsid w:val="38D155B2"/>
    <w:rsid w:val="3A156E6C"/>
    <w:rsid w:val="4224277E"/>
    <w:rsid w:val="444C3D3F"/>
    <w:rsid w:val="44D15F3E"/>
    <w:rsid w:val="45D93CF8"/>
    <w:rsid w:val="4ADD3943"/>
    <w:rsid w:val="557C3622"/>
    <w:rsid w:val="564725B8"/>
    <w:rsid w:val="586A41AF"/>
    <w:rsid w:val="5934151A"/>
    <w:rsid w:val="598C3104"/>
    <w:rsid w:val="5BD41FC1"/>
    <w:rsid w:val="6D4E5A79"/>
    <w:rsid w:val="73071100"/>
    <w:rsid w:val="739525D5"/>
    <w:rsid w:val="7C9D37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Times New Roman" w:hAnsi="Times New Roman" w:eastAsia="Times New Roman" w:cs="Times New Roman"/>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831</Words>
  <Characters>923</Characters>
  <Lines>0</Lines>
  <Paragraphs>0</Paragraphs>
  <TotalTime>3</TotalTime>
  <ScaleCrop>false</ScaleCrop>
  <LinksUpToDate>false</LinksUpToDate>
  <CharactersWithSpaces>975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2025-09-23T02:07:00Z</dcterms:created>
  <dc:creator>腾飞的心</dc:creator>
  <cp:lastModifiedBy>腾飞的心</cp:lastModifiedBy>
  <cp:lastPrinted>2025-10-09T07:09:00Z</cp:lastPrinted>
  <dcterms:modified xsi:type="dcterms:W3CDTF">2025-10-10T00:58:17Z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B7F2CB4477B848D085F0B06093DF1D0B_11</vt:lpwstr>
  </property>
  <property fmtid="{D5CDD505-2E9C-101B-9397-08002B2CF9AE}" pid="4" name="KSOTemplateDocerSaveRecord">
    <vt:lpwstr>eyJoZGlkIjoiNmU4NTQ3ODhlZTdmYTllYTVhOWEwNzdiZjEzYzEzMmEiLCJ1c2VySWQiOiIyNTQwNDc4MDUifQ==</vt:lpwstr>
  </property>
</Properties>
</file>