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富锦市燃气突发事件应急预案</w:t>
      </w:r>
    </w:p>
    <w:p>
      <w:pPr>
        <w:jc w:val="center"/>
        <w:rPr>
          <w:rFonts w:hint="eastAsia"/>
          <w:b/>
          <w:bCs/>
          <w:sz w:val="44"/>
          <w:szCs w:val="44"/>
          <w:lang w:eastAsia="zh-CN"/>
        </w:rPr>
      </w:pPr>
    </w:p>
    <w:p>
      <w:pPr>
        <w:jc w:val="center"/>
        <w:rPr>
          <w:rFonts w:hint="eastAsia"/>
          <w:b/>
          <w:bCs/>
          <w:sz w:val="36"/>
          <w:szCs w:val="36"/>
          <w:lang w:eastAsia="zh-CN"/>
        </w:rPr>
      </w:pPr>
      <w:r>
        <w:rPr>
          <w:rFonts w:hint="eastAsia"/>
          <w:b/>
          <w:bCs/>
          <w:sz w:val="36"/>
          <w:szCs w:val="36"/>
          <w:lang w:eastAsia="zh-CN"/>
        </w:rPr>
        <w:t>目</w:t>
      </w:r>
      <w:r>
        <w:rPr>
          <w:rFonts w:hint="eastAsia"/>
          <w:b/>
          <w:bCs/>
          <w:sz w:val="36"/>
          <w:szCs w:val="36"/>
          <w:lang w:val="en-US" w:eastAsia="zh-CN"/>
        </w:rPr>
        <w:t xml:space="preserve">  </w:t>
      </w:r>
      <w:r>
        <w:rPr>
          <w:rFonts w:hint="eastAsia"/>
          <w:b/>
          <w:bCs/>
          <w:sz w:val="36"/>
          <w:szCs w:val="36"/>
          <w:lang w:eastAsia="zh-CN"/>
        </w:rPr>
        <w:t>录</w:t>
      </w:r>
    </w:p>
    <w:sdt>
      <w:sdtPr>
        <w:rPr>
          <w:rFonts w:hint="eastAsia" w:ascii="宋体" w:hAnsi="宋体" w:eastAsia="宋体" w:cs="宋体"/>
          <w:b w:val="0"/>
          <w:bCs w:val="0"/>
          <w:color w:val="auto"/>
          <w:kern w:val="2"/>
          <w:sz w:val="10"/>
          <w:szCs w:val="10"/>
          <w:lang w:val="zh-CN"/>
        </w:rPr>
        <w:id w:val="978575537"/>
        <w:docPartObj>
          <w:docPartGallery w:val="Table of Contents"/>
          <w:docPartUnique/>
        </w:docPartObj>
      </w:sdtPr>
      <w:sdtEndPr>
        <w:rPr>
          <w:rFonts w:hint="eastAsia" w:ascii="宋体" w:hAnsi="宋体" w:eastAsia="宋体" w:cs="宋体"/>
          <w:b w:val="0"/>
          <w:bCs w:val="0"/>
          <w:color w:val="auto"/>
          <w:kern w:val="2"/>
          <w:sz w:val="32"/>
          <w:szCs w:val="32"/>
          <w:lang w:val="zh-CN"/>
        </w:rPr>
      </w:sdtEndPr>
      <w:sdtContent>
        <w:p>
          <w:pPr>
            <w:pStyle w:val="11"/>
            <w:keepNext/>
            <w:keepLines/>
            <w:pageBreakBefore w:val="0"/>
            <w:widowControl/>
            <w:kinsoku/>
            <w:wordWrap/>
            <w:overflowPunct/>
            <w:topLinePunct w:val="0"/>
            <w:autoSpaceDE/>
            <w:autoSpaceDN/>
            <w:bidi w:val="0"/>
            <w:adjustRightInd/>
            <w:snapToGrid/>
            <w:spacing w:before="0" w:line="360" w:lineRule="auto"/>
            <w:ind w:firstLine="1500" w:firstLineChars="1500"/>
            <w:jc w:val="both"/>
            <w:textAlignment w:val="auto"/>
            <w:rPr>
              <w:rFonts w:hint="eastAsia" w:ascii="宋体" w:hAnsi="宋体" w:eastAsia="宋体" w:cs="宋体"/>
              <w:sz w:val="10"/>
              <w:szCs w:val="10"/>
            </w:rPr>
          </w:pPr>
        </w:p>
        <w:p>
          <w:pPr>
            <w:pStyle w:val="6"/>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TOC \o "1-3" \h \z \u </w:instrText>
          </w:r>
          <w:r>
            <w:rPr>
              <w:rFonts w:hint="eastAsia" w:ascii="宋体" w:hAnsi="宋体" w:eastAsia="宋体" w:cs="宋体"/>
              <w:sz w:val="32"/>
              <w:szCs w:val="32"/>
            </w:rPr>
            <w:fldChar w:fldCharType="separate"/>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"_Toc48721134"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1  总则</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_Toc48721134 \h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"_Toc48721135"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1.1  制订目的</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_Toc48721135 \h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"_Toc48721136"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1.2  制订依据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_Toc48721136 \h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"_Toc48721137"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1.3  工作原则</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_Toc48721137 \h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"_Toc48721138"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1.4  预案适用范围</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_Toc48721138 \h </w:instrText>
          </w:r>
          <w:r>
            <w:rPr>
              <w:rFonts w:hint="eastAsia" w:ascii="宋体" w:hAnsi="宋体" w:eastAsia="宋体" w:cs="宋体"/>
              <w:sz w:val="32"/>
              <w:szCs w:val="32"/>
            </w:rPr>
            <w:fldChar w:fldCharType="separate"/>
          </w:r>
          <w:r>
            <w:rPr>
              <w:rFonts w:hint="eastAsia" w:ascii="宋体" w:hAnsi="宋体" w:eastAsia="宋体" w:cs="宋体"/>
              <w:sz w:val="32"/>
              <w:szCs w:val="32"/>
            </w:rPr>
            <w:t>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6"/>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"_Toc48721139"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2  组织领导机构及职责</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_Toc48721139 \h </w:instrText>
          </w:r>
          <w:r>
            <w:rPr>
              <w:rFonts w:hint="eastAsia" w:ascii="宋体" w:hAnsi="宋体" w:eastAsia="宋体" w:cs="宋体"/>
              <w:sz w:val="32"/>
              <w:szCs w:val="32"/>
            </w:rPr>
            <w:fldChar w:fldCharType="separate"/>
          </w:r>
          <w:r>
            <w:rPr>
              <w:rFonts w:hint="eastAsia" w:ascii="宋体" w:hAnsi="宋体" w:eastAsia="宋体" w:cs="宋体"/>
              <w:sz w:val="32"/>
              <w:szCs w:val="32"/>
            </w:rPr>
            <w:t>4</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"_Toc48721140"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2.1  市燃气应急领导小组</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_Toc48721140 \h </w:instrText>
          </w:r>
          <w:r>
            <w:rPr>
              <w:rFonts w:hint="eastAsia" w:ascii="宋体" w:hAnsi="宋体" w:eastAsia="宋体" w:cs="宋体"/>
              <w:sz w:val="32"/>
              <w:szCs w:val="32"/>
            </w:rPr>
            <w:fldChar w:fldCharType="separate"/>
          </w:r>
          <w:r>
            <w:rPr>
              <w:rFonts w:hint="eastAsia" w:ascii="宋体" w:hAnsi="宋体" w:eastAsia="宋体" w:cs="宋体"/>
              <w:sz w:val="32"/>
              <w:szCs w:val="32"/>
            </w:rPr>
            <w:t>4</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"_Toc48721141"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2.2  市燃气应急领导小组办公室及其职责</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_Toc48721141 \h </w:instrText>
          </w:r>
          <w:r>
            <w:rPr>
              <w:rFonts w:hint="eastAsia" w:ascii="宋体" w:hAnsi="宋体" w:eastAsia="宋体" w:cs="宋体"/>
              <w:sz w:val="32"/>
              <w:szCs w:val="32"/>
            </w:rPr>
            <w:fldChar w:fldCharType="separate"/>
          </w:r>
          <w:r>
            <w:rPr>
              <w:rFonts w:hint="eastAsia" w:ascii="宋体" w:hAnsi="宋体" w:eastAsia="宋体" w:cs="宋体"/>
              <w:sz w:val="32"/>
              <w:szCs w:val="32"/>
            </w:rPr>
            <w:t>7</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"_Toc48721142"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2.3  现场指挥部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_Toc48721142 \h </w:instrText>
          </w:r>
          <w:r>
            <w:rPr>
              <w:rFonts w:hint="eastAsia" w:ascii="宋体" w:hAnsi="宋体" w:eastAsia="宋体" w:cs="宋体"/>
              <w:sz w:val="32"/>
              <w:szCs w:val="32"/>
            </w:rPr>
            <w:fldChar w:fldCharType="separate"/>
          </w:r>
          <w:r>
            <w:rPr>
              <w:rFonts w:hint="eastAsia" w:ascii="宋体" w:hAnsi="宋体" w:eastAsia="宋体" w:cs="宋体"/>
              <w:sz w:val="32"/>
              <w:szCs w:val="32"/>
            </w:rPr>
            <w:t>7</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6"/>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"_Toc48721143"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3  事件的分类及分级</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_Toc48721143 \h </w:instrText>
          </w:r>
          <w:r>
            <w:rPr>
              <w:rFonts w:hint="eastAsia" w:ascii="宋体" w:hAnsi="宋体" w:eastAsia="宋体" w:cs="宋体"/>
              <w:sz w:val="32"/>
              <w:szCs w:val="32"/>
            </w:rPr>
            <w:fldChar w:fldCharType="separate"/>
          </w:r>
          <w:r>
            <w:rPr>
              <w:rFonts w:hint="eastAsia" w:ascii="宋体" w:hAnsi="宋体" w:eastAsia="宋体" w:cs="宋体"/>
              <w:sz w:val="32"/>
              <w:szCs w:val="32"/>
            </w:rPr>
            <w:t>8</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"_Toc48721144"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3.1  突发公共事件分类</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_Toc48721144 \h </w:instrText>
          </w:r>
          <w:r>
            <w:rPr>
              <w:rFonts w:hint="eastAsia" w:ascii="宋体" w:hAnsi="宋体" w:eastAsia="宋体" w:cs="宋体"/>
              <w:sz w:val="32"/>
              <w:szCs w:val="32"/>
            </w:rPr>
            <w:fldChar w:fldCharType="separate"/>
          </w:r>
          <w:r>
            <w:rPr>
              <w:rFonts w:hint="eastAsia" w:ascii="宋体" w:hAnsi="宋体" w:eastAsia="宋体" w:cs="宋体"/>
              <w:sz w:val="32"/>
              <w:szCs w:val="32"/>
            </w:rPr>
            <w:t>8</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"_Toc48721145"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3.2  突发公共事件分级</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_Toc48721145 \h </w:instrText>
          </w:r>
          <w:r>
            <w:rPr>
              <w:rFonts w:hint="eastAsia" w:ascii="宋体" w:hAnsi="宋体" w:eastAsia="宋体" w:cs="宋体"/>
              <w:sz w:val="32"/>
              <w:szCs w:val="32"/>
            </w:rPr>
            <w:fldChar w:fldCharType="separate"/>
          </w:r>
          <w:r>
            <w:rPr>
              <w:rFonts w:hint="eastAsia" w:ascii="宋体" w:hAnsi="宋体" w:eastAsia="宋体" w:cs="宋体"/>
              <w:sz w:val="32"/>
              <w:szCs w:val="32"/>
            </w:rPr>
            <w:t>9</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"_Toc48721146"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3.3  预警标识</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_Toc48721146 \h </w:instrText>
          </w:r>
          <w:r>
            <w:rPr>
              <w:rFonts w:hint="eastAsia" w:ascii="宋体" w:hAnsi="宋体" w:eastAsia="宋体" w:cs="宋体"/>
              <w:sz w:val="32"/>
              <w:szCs w:val="32"/>
            </w:rPr>
            <w:fldChar w:fldCharType="separate"/>
          </w:r>
          <w:r>
            <w:rPr>
              <w:rFonts w:hint="eastAsia" w:ascii="宋体" w:hAnsi="宋体" w:eastAsia="宋体" w:cs="宋体"/>
              <w:sz w:val="32"/>
              <w:szCs w:val="32"/>
            </w:rPr>
            <w:t>10</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"_Toc48721147"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3.4  预警发布</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_Toc48721147 \h </w:instrText>
          </w:r>
          <w:r>
            <w:rPr>
              <w:rFonts w:hint="eastAsia" w:ascii="宋体" w:hAnsi="宋体" w:eastAsia="宋体" w:cs="宋体"/>
              <w:sz w:val="32"/>
              <w:szCs w:val="32"/>
            </w:rPr>
            <w:fldChar w:fldCharType="separate"/>
          </w:r>
          <w:r>
            <w:rPr>
              <w:rFonts w:hint="eastAsia" w:ascii="宋体" w:hAnsi="宋体" w:eastAsia="宋体" w:cs="宋体"/>
              <w:sz w:val="32"/>
              <w:szCs w:val="32"/>
            </w:rPr>
            <w:t>11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6"/>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"_Toc48721148"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4 预防预警机制</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_Toc48721148 \h </w:instrText>
          </w:r>
          <w:r>
            <w:rPr>
              <w:rFonts w:hint="eastAsia" w:ascii="宋体" w:hAnsi="宋体" w:eastAsia="宋体" w:cs="宋体"/>
              <w:sz w:val="32"/>
              <w:szCs w:val="32"/>
            </w:rPr>
            <w:fldChar w:fldCharType="separate"/>
          </w:r>
          <w:r>
            <w:rPr>
              <w:rFonts w:hint="eastAsia" w:ascii="宋体" w:hAnsi="宋体" w:eastAsia="宋体" w:cs="宋体"/>
              <w:sz w:val="32"/>
              <w:szCs w:val="32"/>
            </w:rPr>
            <w:t>11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"_Toc48721149"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4.1  预防</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_Toc48721149 \h </w:instrText>
          </w:r>
          <w:r>
            <w:rPr>
              <w:rFonts w:hint="eastAsia" w:ascii="宋体" w:hAnsi="宋体" w:eastAsia="宋体" w:cs="宋体"/>
              <w:sz w:val="32"/>
              <w:szCs w:val="32"/>
            </w:rPr>
            <w:fldChar w:fldCharType="separate"/>
          </w:r>
          <w:r>
            <w:rPr>
              <w:rFonts w:hint="eastAsia" w:ascii="宋体" w:hAnsi="宋体" w:eastAsia="宋体" w:cs="宋体"/>
              <w:sz w:val="32"/>
              <w:szCs w:val="32"/>
            </w:rPr>
            <w:t>11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"_Toc48721150"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4.2  监测</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_Toc48721150 \h </w:instrText>
          </w:r>
          <w:r>
            <w:rPr>
              <w:rFonts w:hint="eastAsia" w:ascii="宋体" w:hAnsi="宋体" w:eastAsia="宋体" w:cs="宋体"/>
              <w:sz w:val="32"/>
              <w:szCs w:val="32"/>
            </w:rPr>
            <w:fldChar w:fldCharType="separate"/>
          </w:r>
          <w:r>
            <w:rPr>
              <w:rFonts w:hint="eastAsia" w:ascii="宋体" w:hAnsi="宋体" w:eastAsia="宋体" w:cs="宋体"/>
              <w:sz w:val="32"/>
              <w:szCs w:val="32"/>
            </w:rPr>
            <w:t>11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"_Toc48721151"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4.3  预警</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_Toc48721151 \h </w:instrText>
          </w:r>
          <w:r>
            <w:rPr>
              <w:rFonts w:hint="eastAsia" w:ascii="宋体" w:hAnsi="宋体" w:eastAsia="宋体" w:cs="宋体"/>
              <w:sz w:val="32"/>
              <w:szCs w:val="32"/>
            </w:rPr>
            <w:fldChar w:fldCharType="separate"/>
          </w:r>
          <w:r>
            <w:rPr>
              <w:rFonts w:hint="eastAsia" w:ascii="宋体" w:hAnsi="宋体" w:eastAsia="宋体" w:cs="宋体"/>
              <w:sz w:val="32"/>
              <w:szCs w:val="32"/>
            </w:rPr>
            <w:t>11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"_Toc48721152"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4.4  应急准备</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_Toc48721152 \h </w:instrText>
          </w:r>
          <w:r>
            <w:rPr>
              <w:rFonts w:hint="eastAsia" w:ascii="宋体" w:hAnsi="宋体" w:eastAsia="宋体" w:cs="宋体"/>
              <w:sz w:val="32"/>
              <w:szCs w:val="32"/>
            </w:rPr>
            <w:fldChar w:fldCharType="separate"/>
          </w:r>
          <w:r>
            <w:rPr>
              <w:rFonts w:hint="eastAsia" w:ascii="宋体" w:hAnsi="宋体" w:eastAsia="宋体" w:cs="宋体"/>
              <w:sz w:val="32"/>
              <w:szCs w:val="32"/>
            </w:rPr>
            <w:t>12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6"/>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"_Toc48721153"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5 应急响应</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_Toc48721153 \h </w:instrText>
          </w:r>
          <w:r>
            <w:rPr>
              <w:rFonts w:hint="eastAsia" w:ascii="宋体" w:hAnsi="宋体" w:eastAsia="宋体" w:cs="宋体"/>
              <w:sz w:val="32"/>
              <w:szCs w:val="32"/>
            </w:rPr>
            <w:fldChar w:fldCharType="separate"/>
          </w:r>
          <w:r>
            <w:rPr>
              <w:rFonts w:hint="eastAsia" w:ascii="宋体" w:hAnsi="宋体" w:eastAsia="宋体" w:cs="宋体"/>
              <w:sz w:val="32"/>
              <w:szCs w:val="32"/>
            </w:rPr>
            <w:t>13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"_Toc48721154"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5.1  总体要求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_Toc48721154 \h </w:instrText>
          </w:r>
          <w:r>
            <w:rPr>
              <w:rFonts w:hint="eastAsia" w:ascii="宋体" w:hAnsi="宋体" w:eastAsia="宋体" w:cs="宋体"/>
              <w:sz w:val="32"/>
              <w:szCs w:val="32"/>
            </w:rPr>
            <w:fldChar w:fldCharType="separate"/>
          </w:r>
          <w:r>
            <w:rPr>
              <w:rFonts w:hint="eastAsia" w:ascii="宋体" w:hAnsi="宋体" w:eastAsia="宋体" w:cs="宋体"/>
              <w:sz w:val="32"/>
              <w:szCs w:val="32"/>
            </w:rPr>
            <w:t>13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"_Toc48721155"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5.2  预案启动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_Toc48721155 \h </w:instrText>
          </w:r>
          <w:r>
            <w:rPr>
              <w:rFonts w:hint="eastAsia" w:ascii="宋体" w:hAnsi="宋体" w:eastAsia="宋体" w:cs="宋体"/>
              <w:sz w:val="32"/>
              <w:szCs w:val="32"/>
            </w:rPr>
            <w:fldChar w:fldCharType="separate"/>
          </w:r>
          <w:r>
            <w:rPr>
              <w:rFonts w:hint="eastAsia" w:ascii="宋体" w:hAnsi="宋体" w:eastAsia="宋体" w:cs="宋体"/>
              <w:sz w:val="32"/>
              <w:szCs w:val="32"/>
            </w:rPr>
            <w:t>13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"_Toc48721156"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5.3  报告制度</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_Toc48721156 \h </w:instrText>
          </w:r>
          <w:r>
            <w:rPr>
              <w:rFonts w:hint="eastAsia" w:ascii="宋体" w:hAnsi="宋体" w:eastAsia="宋体" w:cs="宋体"/>
              <w:sz w:val="32"/>
              <w:szCs w:val="32"/>
            </w:rPr>
            <w:fldChar w:fldCharType="separate"/>
          </w:r>
          <w:r>
            <w:rPr>
              <w:rFonts w:hint="eastAsia" w:ascii="宋体" w:hAnsi="宋体" w:eastAsia="宋体" w:cs="宋体"/>
              <w:sz w:val="32"/>
              <w:szCs w:val="32"/>
            </w:rPr>
            <w:t>13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"_Toc48721157"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5.4  应急响应</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_Toc48721157 \h </w:instrText>
          </w:r>
          <w:r>
            <w:rPr>
              <w:rFonts w:hint="eastAsia" w:ascii="宋体" w:hAnsi="宋体" w:eastAsia="宋体" w:cs="宋体"/>
              <w:sz w:val="32"/>
              <w:szCs w:val="32"/>
            </w:rPr>
            <w:fldChar w:fldCharType="separate"/>
          </w:r>
          <w:r>
            <w:rPr>
              <w:rFonts w:hint="eastAsia" w:ascii="宋体" w:hAnsi="宋体" w:eastAsia="宋体" w:cs="宋体"/>
              <w:sz w:val="32"/>
              <w:szCs w:val="32"/>
            </w:rPr>
            <w:t>15</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"_Toc48721158"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5.5  指挥协调</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_Toc48721158 \h </w:instrText>
          </w:r>
          <w:r>
            <w:rPr>
              <w:rFonts w:hint="eastAsia" w:ascii="宋体" w:hAnsi="宋体" w:eastAsia="宋体" w:cs="宋体"/>
              <w:sz w:val="32"/>
              <w:szCs w:val="32"/>
            </w:rPr>
            <w:fldChar w:fldCharType="separate"/>
          </w:r>
          <w:r>
            <w:rPr>
              <w:rFonts w:hint="eastAsia" w:ascii="宋体" w:hAnsi="宋体" w:eastAsia="宋体" w:cs="宋体"/>
              <w:sz w:val="32"/>
              <w:szCs w:val="32"/>
            </w:rPr>
            <w:t>16</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"_Toc48721159"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5.6  现场应急救援</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_Toc48721159 \h </w:instrText>
          </w:r>
          <w:r>
            <w:rPr>
              <w:rFonts w:hint="eastAsia" w:ascii="宋体" w:hAnsi="宋体" w:eastAsia="宋体" w:cs="宋体"/>
              <w:sz w:val="32"/>
              <w:szCs w:val="32"/>
            </w:rPr>
            <w:fldChar w:fldCharType="separate"/>
          </w:r>
          <w:r>
            <w:rPr>
              <w:rFonts w:hint="eastAsia" w:ascii="宋体" w:hAnsi="宋体" w:eastAsia="宋体" w:cs="宋体"/>
              <w:sz w:val="32"/>
              <w:szCs w:val="32"/>
            </w:rPr>
            <w:t>17</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"_Toc48721160"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5.7  信息发布</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_Toc48721160 \h </w:instrText>
          </w:r>
          <w:r>
            <w:rPr>
              <w:rFonts w:hint="eastAsia" w:ascii="宋体" w:hAnsi="宋体" w:eastAsia="宋体" w:cs="宋体"/>
              <w:sz w:val="32"/>
              <w:szCs w:val="32"/>
            </w:rPr>
            <w:fldChar w:fldCharType="separate"/>
          </w:r>
          <w:r>
            <w:rPr>
              <w:rFonts w:hint="eastAsia" w:ascii="宋体" w:hAnsi="宋体" w:eastAsia="宋体" w:cs="宋体"/>
              <w:sz w:val="32"/>
              <w:szCs w:val="32"/>
            </w:rPr>
            <w:t>18</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6"/>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"_Toc48721161"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6后期处置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_Toc48721161 \h </w:instrText>
          </w:r>
          <w:r>
            <w:rPr>
              <w:rFonts w:hint="eastAsia" w:ascii="宋体" w:hAnsi="宋体" w:eastAsia="宋体" w:cs="宋体"/>
              <w:sz w:val="32"/>
              <w:szCs w:val="32"/>
            </w:rPr>
            <w:fldChar w:fldCharType="separate"/>
          </w:r>
          <w:r>
            <w:rPr>
              <w:rFonts w:hint="eastAsia" w:ascii="宋体" w:hAnsi="宋体" w:eastAsia="宋体" w:cs="宋体"/>
              <w:sz w:val="32"/>
              <w:szCs w:val="32"/>
            </w:rPr>
            <w:t>18</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"_Toc48721162"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6.1  应急结束</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_Toc48721162 \h </w:instrText>
          </w:r>
          <w:r>
            <w:rPr>
              <w:rFonts w:hint="eastAsia" w:ascii="宋体" w:hAnsi="宋体" w:eastAsia="宋体" w:cs="宋体"/>
              <w:sz w:val="32"/>
              <w:szCs w:val="32"/>
            </w:rPr>
            <w:fldChar w:fldCharType="separate"/>
          </w:r>
          <w:r>
            <w:rPr>
              <w:rFonts w:hint="eastAsia" w:ascii="宋体" w:hAnsi="宋体" w:eastAsia="宋体" w:cs="宋体"/>
              <w:sz w:val="32"/>
              <w:szCs w:val="32"/>
            </w:rPr>
            <w:t>18</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"_Toc48721163"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6.2  善后处理</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_Toc48721163 \h </w:instrText>
          </w:r>
          <w:r>
            <w:rPr>
              <w:rFonts w:hint="eastAsia" w:ascii="宋体" w:hAnsi="宋体" w:eastAsia="宋体" w:cs="宋体"/>
              <w:sz w:val="32"/>
              <w:szCs w:val="32"/>
            </w:rPr>
            <w:fldChar w:fldCharType="separate"/>
          </w:r>
          <w:r>
            <w:rPr>
              <w:rFonts w:hint="eastAsia" w:ascii="宋体" w:hAnsi="宋体" w:eastAsia="宋体" w:cs="宋体"/>
              <w:sz w:val="32"/>
              <w:szCs w:val="32"/>
            </w:rPr>
            <w:t>18</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"_Toc48721164"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6.3  事故调查与总结</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_Toc48721164 \h </w:instrText>
          </w:r>
          <w:r>
            <w:rPr>
              <w:rFonts w:hint="eastAsia" w:ascii="宋体" w:hAnsi="宋体" w:eastAsia="宋体" w:cs="宋体"/>
              <w:sz w:val="32"/>
              <w:szCs w:val="32"/>
            </w:rPr>
            <w:fldChar w:fldCharType="separate"/>
          </w:r>
          <w:r>
            <w:rPr>
              <w:rFonts w:hint="eastAsia" w:ascii="宋体" w:hAnsi="宋体" w:eastAsia="宋体" w:cs="宋体"/>
              <w:sz w:val="32"/>
              <w:szCs w:val="32"/>
            </w:rPr>
            <w:t>19</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6"/>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"_Toc48721165"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7应急保障</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_Toc48721165 \h </w:instrText>
          </w:r>
          <w:r>
            <w:rPr>
              <w:rFonts w:hint="eastAsia" w:ascii="宋体" w:hAnsi="宋体" w:eastAsia="宋体" w:cs="宋体"/>
              <w:sz w:val="32"/>
              <w:szCs w:val="32"/>
            </w:rPr>
            <w:fldChar w:fldCharType="separate"/>
          </w:r>
          <w:r>
            <w:rPr>
              <w:rFonts w:hint="eastAsia" w:ascii="宋体" w:hAnsi="宋体" w:eastAsia="宋体" w:cs="宋体"/>
              <w:sz w:val="32"/>
              <w:szCs w:val="32"/>
            </w:rPr>
            <w:t>19</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"_Toc48721166"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7.1  应急系统通信保障</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_Toc48721166 \h </w:instrText>
          </w:r>
          <w:r>
            <w:rPr>
              <w:rFonts w:hint="eastAsia" w:ascii="宋体" w:hAnsi="宋体" w:eastAsia="宋体" w:cs="宋体"/>
              <w:sz w:val="32"/>
              <w:szCs w:val="32"/>
            </w:rPr>
            <w:fldChar w:fldCharType="separate"/>
          </w:r>
          <w:r>
            <w:rPr>
              <w:rFonts w:hint="eastAsia" w:ascii="宋体" w:hAnsi="宋体" w:eastAsia="宋体" w:cs="宋体"/>
              <w:sz w:val="32"/>
              <w:szCs w:val="32"/>
            </w:rPr>
            <w:t>19</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"_Toc48721167"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7.2  应急队伍保障</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_Toc48721167 \h </w:instrText>
          </w:r>
          <w:r>
            <w:rPr>
              <w:rFonts w:hint="eastAsia" w:ascii="宋体" w:hAnsi="宋体" w:eastAsia="宋体" w:cs="宋体"/>
              <w:sz w:val="32"/>
              <w:szCs w:val="32"/>
            </w:rPr>
            <w:fldChar w:fldCharType="separate"/>
          </w:r>
          <w:r>
            <w:rPr>
              <w:rFonts w:hint="eastAsia" w:ascii="宋体" w:hAnsi="宋体" w:eastAsia="宋体" w:cs="宋体"/>
              <w:sz w:val="32"/>
              <w:szCs w:val="32"/>
            </w:rPr>
            <w:t>20</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"_Toc48721168"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7.3  装备保障</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_Toc48721168 \h </w:instrText>
          </w:r>
          <w:r>
            <w:rPr>
              <w:rFonts w:hint="eastAsia" w:ascii="宋体" w:hAnsi="宋体" w:eastAsia="宋体" w:cs="宋体"/>
              <w:sz w:val="32"/>
              <w:szCs w:val="32"/>
            </w:rPr>
            <w:fldChar w:fldCharType="separate"/>
          </w:r>
          <w:r>
            <w:rPr>
              <w:rFonts w:hint="eastAsia" w:ascii="宋体" w:hAnsi="宋体" w:eastAsia="宋体" w:cs="宋体"/>
              <w:sz w:val="32"/>
              <w:szCs w:val="32"/>
            </w:rPr>
            <w:t>20</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6"/>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"_Toc48721169"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8 监督和管理</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_Toc48721169 \h </w:instrText>
          </w:r>
          <w:r>
            <w:rPr>
              <w:rFonts w:hint="eastAsia" w:ascii="宋体" w:hAnsi="宋体" w:eastAsia="宋体" w:cs="宋体"/>
              <w:sz w:val="32"/>
              <w:szCs w:val="32"/>
            </w:rPr>
            <w:fldChar w:fldCharType="separate"/>
          </w:r>
          <w:r>
            <w:rPr>
              <w:rFonts w:hint="eastAsia" w:ascii="宋体" w:hAnsi="宋体" w:eastAsia="宋体" w:cs="宋体"/>
              <w:sz w:val="32"/>
              <w:szCs w:val="32"/>
            </w:rPr>
            <w:t>21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"_Toc48721170"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8.1  宣传与培训</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_Toc48721170 \h </w:instrText>
          </w:r>
          <w:r>
            <w:rPr>
              <w:rFonts w:hint="eastAsia" w:ascii="宋体" w:hAnsi="宋体" w:eastAsia="宋体" w:cs="宋体"/>
              <w:sz w:val="32"/>
              <w:szCs w:val="32"/>
            </w:rPr>
            <w:fldChar w:fldCharType="separate"/>
          </w:r>
          <w:r>
            <w:rPr>
              <w:rFonts w:hint="eastAsia" w:ascii="宋体" w:hAnsi="宋体" w:eastAsia="宋体" w:cs="宋体"/>
              <w:sz w:val="32"/>
              <w:szCs w:val="32"/>
            </w:rPr>
            <w:t>21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"_Toc48721171"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8.2  预案演练</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_Toc48721171 \h </w:instrText>
          </w:r>
          <w:r>
            <w:rPr>
              <w:rFonts w:hint="eastAsia" w:ascii="宋体" w:hAnsi="宋体" w:eastAsia="宋体" w:cs="宋体"/>
              <w:sz w:val="32"/>
              <w:szCs w:val="32"/>
            </w:rPr>
            <w:fldChar w:fldCharType="separate"/>
          </w:r>
          <w:r>
            <w:rPr>
              <w:rFonts w:hint="eastAsia" w:ascii="宋体" w:hAnsi="宋体" w:eastAsia="宋体" w:cs="宋体"/>
              <w:sz w:val="32"/>
              <w:szCs w:val="32"/>
            </w:rPr>
            <w:t>21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"_Toc48721172"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8.3  奖励和责任追究</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_Toc48721172 \h </w:instrText>
          </w:r>
          <w:r>
            <w:rPr>
              <w:rFonts w:hint="eastAsia" w:ascii="宋体" w:hAnsi="宋体" w:eastAsia="宋体" w:cs="宋体"/>
              <w:sz w:val="32"/>
              <w:szCs w:val="32"/>
            </w:rPr>
            <w:fldChar w:fldCharType="separate"/>
          </w:r>
          <w:r>
            <w:rPr>
              <w:rFonts w:hint="eastAsia" w:ascii="宋体" w:hAnsi="宋体" w:eastAsia="宋体" w:cs="宋体"/>
              <w:sz w:val="32"/>
              <w:szCs w:val="32"/>
            </w:rPr>
            <w:t>21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"_Toc48721173"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8.4  预案管理</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_Toc48721173 \h </w:instrText>
          </w:r>
          <w:r>
            <w:rPr>
              <w:rFonts w:hint="eastAsia" w:ascii="宋体" w:hAnsi="宋体" w:eastAsia="宋体" w:cs="宋体"/>
              <w:sz w:val="32"/>
              <w:szCs w:val="32"/>
            </w:rPr>
            <w:fldChar w:fldCharType="separate"/>
          </w:r>
          <w:r>
            <w:rPr>
              <w:rFonts w:hint="eastAsia" w:ascii="宋体" w:hAnsi="宋体" w:eastAsia="宋体" w:cs="宋体"/>
              <w:sz w:val="32"/>
              <w:szCs w:val="32"/>
            </w:rPr>
            <w:t>22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6"/>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"_Toc48721174"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９　附件</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_Toc48721174 \h </w:instrText>
          </w:r>
          <w:r>
            <w:rPr>
              <w:rFonts w:hint="eastAsia" w:ascii="宋体" w:hAnsi="宋体" w:eastAsia="宋体" w:cs="宋体"/>
              <w:sz w:val="32"/>
              <w:szCs w:val="32"/>
            </w:rPr>
            <w:fldChar w:fldCharType="separate"/>
          </w:r>
          <w:r>
            <w:rPr>
              <w:rFonts w:hint="eastAsia" w:ascii="宋体" w:hAnsi="宋体" w:eastAsia="宋体" w:cs="宋体"/>
              <w:sz w:val="32"/>
              <w:szCs w:val="32"/>
            </w:rPr>
            <w:t>22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"_Toc48721175"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1．建筑工程抢险快报表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_Toc48721175 \h </w:instrText>
          </w:r>
          <w:r>
            <w:rPr>
              <w:rFonts w:hint="eastAsia" w:ascii="宋体" w:hAnsi="宋体" w:eastAsia="宋体" w:cs="宋体"/>
              <w:sz w:val="32"/>
              <w:szCs w:val="32"/>
            </w:rPr>
            <w:fldChar w:fldCharType="separate"/>
          </w:r>
          <w:r>
            <w:rPr>
              <w:rFonts w:hint="eastAsia" w:ascii="宋体" w:hAnsi="宋体" w:eastAsia="宋体" w:cs="宋体"/>
              <w:sz w:val="32"/>
              <w:szCs w:val="32"/>
            </w:rPr>
            <w:t>22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"_Toc48721176"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2．建筑工程抢险信息发布审批表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_Toc48721176 \h </w:instrText>
          </w:r>
          <w:r>
            <w:rPr>
              <w:rFonts w:hint="eastAsia" w:ascii="宋体" w:hAnsi="宋体" w:eastAsia="宋体" w:cs="宋体"/>
              <w:sz w:val="32"/>
              <w:szCs w:val="32"/>
            </w:rPr>
            <w:fldChar w:fldCharType="separate"/>
          </w:r>
          <w:r>
            <w:rPr>
              <w:rFonts w:hint="eastAsia" w:ascii="宋体" w:hAnsi="宋体" w:eastAsia="宋体" w:cs="宋体"/>
              <w:sz w:val="32"/>
              <w:szCs w:val="32"/>
            </w:rPr>
            <w:t>23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7"/>
            <w:tabs>
              <w:tab w:val="right" w:leader="dot" w:pos="8637"/>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"_Toc48721177" </w:instrText>
          </w:r>
          <w:r>
            <w:rPr>
              <w:rFonts w:hint="eastAsia" w:ascii="宋体" w:hAnsi="宋体" w:eastAsia="宋体" w:cs="宋体"/>
              <w:sz w:val="32"/>
              <w:szCs w:val="32"/>
            </w:rPr>
            <w:fldChar w:fldCharType="separate"/>
          </w:r>
          <w:r>
            <w:rPr>
              <w:rStyle w:val="10"/>
              <w:rFonts w:hint="eastAsia" w:ascii="宋体" w:hAnsi="宋体" w:eastAsia="宋体" w:cs="宋体"/>
              <w:sz w:val="32"/>
              <w:szCs w:val="32"/>
            </w:rPr>
            <w:t>3　应急通讯录</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_Toc48721177 \h </w:instrText>
          </w:r>
          <w:r>
            <w:rPr>
              <w:rFonts w:hint="eastAsia" w:ascii="宋体" w:hAnsi="宋体" w:eastAsia="宋体" w:cs="宋体"/>
              <w:sz w:val="32"/>
              <w:szCs w:val="32"/>
            </w:rPr>
            <w:fldChar w:fldCharType="separate"/>
          </w:r>
          <w:r>
            <w:rPr>
              <w:rFonts w:hint="eastAsia" w:ascii="宋体" w:hAnsi="宋体" w:eastAsia="宋体" w:cs="宋体"/>
              <w:sz w:val="32"/>
              <w:szCs w:val="32"/>
            </w:rPr>
            <w:t>24</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rPr>
              <w:rFonts w:hint="eastAsia" w:ascii="宋体" w:hAnsi="宋体" w:eastAsia="宋体" w:cs="宋体"/>
              <w:b w:val="0"/>
              <w:bCs w:val="0"/>
              <w:color w:val="auto"/>
              <w:kern w:val="2"/>
              <w:sz w:val="32"/>
              <w:szCs w:val="32"/>
              <w:lang w:val="zh-CN"/>
            </w:rPr>
          </w:pPr>
          <w:r>
            <w:rPr>
              <w:rFonts w:hint="eastAsia" w:ascii="宋体" w:hAnsi="宋体" w:eastAsia="宋体" w:cs="宋体"/>
              <w:b/>
              <w:bCs/>
              <w:sz w:val="32"/>
              <w:szCs w:val="32"/>
              <w:lang w:val="zh-CN"/>
            </w:rPr>
            <w:fldChar w:fldCharType="end"/>
          </w:r>
        </w:p>
      </w:sdtContent>
    </w:sdt>
    <w:p>
      <w:pPr>
        <w:rPr>
          <w:rFonts w:hint="eastAsia" w:asciiTheme="minorHAnsi" w:hAnsiTheme="minorHAnsi" w:eastAsiaTheme="minorEastAsia" w:cstheme="minorBidi"/>
          <w:b w:val="0"/>
          <w:bCs w:val="0"/>
          <w:color w:val="auto"/>
          <w:kern w:val="2"/>
          <w:sz w:val="21"/>
          <w:szCs w:val="22"/>
          <w:lang w:val="zh-CN"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1  总则</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1.1  制订目的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为做好我市突发燃气安全事故应急处置工作，有效预防、及时、有序、妥善处置各类燃气安全事故，最大限度减少燃气事故可能造成的损失，保障人民群众生命财产安全，维护正常的生产、生活秩序，维护社会稳定。</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1.2  制订依据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依据《中华人民共和国突发事件应对法》、《中华人民共和国安全生产法》、《中华人民共和国消防法》、《城镇燃气管理条例》、《生产安全事故报告和调查处理条例</w:t>
      </w:r>
      <w:bookmarkStart w:id="6" w:name="_GoBack"/>
      <w:bookmarkEnd w:id="6"/>
      <w:r>
        <w:rPr>
          <w:rFonts w:hint="eastAsia" w:ascii="仿宋" w:hAnsi="仿宋" w:eastAsia="仿宋" w:cs="仿宋"/>
          <w:sz w:val="32"/>
          <w:szCs w:val="32"/>
          <w:lang w:eastAsia="zh-CN"/>
        </w:rPr>
        <w:t>》、《生产安全事故应急条例》《黑龙江省燃气管理条例》、《富锦市突发公共事件应急预案》等制定本预案。</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1.3  工作原则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以人为本，减少危害。在处理燃气突发公共事件中，以保障人民群众的生命财产安全、生活基本需求为根本目的，尽一切办法为人民群众提供救援、救助，最大限度地减少燃气突发事件造成的人员伤亡和危害，建立健全应对燃气突发事件处理的有效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（2）统一领导，分级负责。在市政府的统一领导下，明确各级政府和各有关部门、燃气企业相应职责，有效地处置突发公共事件。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（3）安全第一，预防为主。贯彻落实“安全第一，预防为主”的方针，加强燃气安全管理，落实事故预防和消除安全隐患的措施，做好应对燃气突发事件的人员、技术、物质和设施的应急救援准备工作。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（4）统筹协调，快速反应。统筹安排各部门应急工作任务，加强各部门的协调与合作，密切配合，保证重大信息及时报告、准确传递、快速处置。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（5）采取措施，协同应对。各级政府及其相关部门应及时对燃气安全状况进行分析，采取有效的防范措施，对可能发生的燃气突发事件做到快速反应，做到早发现、早报告、早处置。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（6）依靠科技，提高素质。尊重科学，充分发挥专家作用，加强对燃气企业员工进行燃气安全常识和应急抢险知识等技能培训；组织开展专业技术交流和研讨，提高应急处置能力。</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1.4  预案适用范围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本预案适用于富锦市行政区域内突发的燃气（石油液化气、管道燃气）供应紧缺、安全事故、群众性事件以及由燃气引起的重大社会安全事件，包括恐怖破坏导致的燃气设施泄漏等。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各乡镇人民政府、街道办等根据本预案相应制订燃气突发公共事件应急分预案或专项预案，突发燃气安全事件由当地乡镇政府、街道办决定启动本级应急预案，并负责组织实施事故应急、抢险、排险、抢修、快速修复、恢复重建等方面的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2  组织领导机构及职责</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2.1  市燃气应急领导小组</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2.1.1</w:t>
      </w:r>
      <w:r>
        <w:rPr>
          <w:rFonts w:hint="eastAsia" w:ascii="仿宋" w:hAnsi="仿宋" w:eastAsia="仿宋" w:cs="仿宋"/>
          <w:sz w:val="32"/>
          <w:szCs w:val="32"/>
          <w:lang w:eastAsia="zh-CN"/>
        </w:rPr>
        <w:t xml:space="preserve">  设立市燃气应急领导小组（以下简称领导小组），负责统一领导、指挥本市燃气突发事件应急救援工作。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总 指 挥：市政府主管副市长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副总指挥：市住建局局长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主要成员：市政府办公室、财政局、民政局、住建局、公安局、交通局、应急管理局、卫生健康局、市场局、工信局、农业农村局、医疗保障局、生态环境局、农业农村局、文体广电和旅游局等政府部门有关负责人以及事故发生单位主要负责人，国网富锦供电公司、燃气企业等相关职能部门或企业负责人组成。</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2.1.2</w:t>
      </w:r>
      <w:r>
        <w:rPr>
          <w:rFonts w:hint="eastAsia" w:ascii="仿宋" w:hAnsi="仿宋" w:eastAsia="仿宋" w:cs="仿宋"/>
          <w:sz w:val="32"/>
          <w:szCs w:val="32"/>
          <w:lang w:eastAsia="zh-CN"/>
        </w:rPr>
        <w:t xml:space="preserve">  市燃气应急领导小组职责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（1）负责组织实施市燃气公共突发事件应急预案；负责统一领导和指挥协调燃气安全事故应急处置工作；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（2）根据事故严重程度，决定是否启动预案，是否警戒、封闭事故现场、道路或区域；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（3）决定燃气安全事故的新闻发布；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（4）决定临时调度有关单位的人员、车辆、物资以及燃气安全事故应急处置的其它重大工作；</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（5）决定全市范围内其它燃气突发公共事件应急重要事项；</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（6）组织开展燃气突发事件应急演练。</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2.1.3</w:t>
      </w:r>
      <w:r>
        <w:rPr>
          <w:rFonts w:hint="eastAsia" w:ascii="仿宋" w:hAnsi="仿宋" w:eastAsia="仿宋" w:cs="仿宋"/>
          <w:sz w:val="32"/>
          <w:szCs w:val="32"/>
          <w:lang w:eastAsia="zh-CN"/>
        </w:rPr>
        <w:t xml:space="preserve">  市燃气应急领导小组主要成员单位职责</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市燃气应急领导小组主要成员单位按照各自职责，负责本预案实施过程中的有关工作。</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1）市住建局：负责指导各乡镇人民政府、街道办、燃气企业制订、完善和实施城市燃气事件应急预案;负责全市燃气突发公共事件信息的接收、核实、处理、传递、通报、报告，组织有关部门对事故发生地进行技术支持和支援，参与事故调查处理等工作。</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（2）市文体广电和旅游局：负责组织、协调新闻媒体单位做好燃气突发事故应急处置工作的宣传报道和现场指挥部的新闻发布工作。</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3）市公安局：负责燃气突发事件的安全保卫工作，维护现场秩序和社会公共秩序，打击蓄意扩大化传播燃气突发事故的违法活动，组织指挥排爆、案件侦破等工作；负责安全事故现场区域的道路交通管制和交通疏导，保障抢险救援人员、车辆的通行工作；负责安全事件和群体事件调查处理工作。</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4）市交通局：负责协助指导事件应急救援的交通组织工作，组织、协调各类交通运输工具，指挥车辆、船只参加救援；负责管辖的危险化学品运输单位及其运输工具的安全管理及运输单位、驾驶人员、船员、装卸人员和押运人员的资质认定，并负责前述事项的监督检查。</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（5）市应急管理局：协同相关职能部门做好燃气突发事故的调查和处理工作。根据其职责协助市燃气应急领导小组统筹、协调燃气突发事故的应急处置工作；负责做好受灾群众的转移安置工作。</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（6）市市场监管局：积极配合相关部门加强燃气经营市场的监管，配合有关部门打击燃气市场无证照经营行为。负责参与燃气突发事故的调查工作。</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7）市消防救援大队：承担燃气泄漏、爆炸及火灾等灾害事故的应急救援工作。根据应急救援任务的需要，按照有关规定启动全市灾害事故应急处置预案，协调社会各联动力量，采用正确的处置措施，严密组织救援行动，最大限度地减少人员伤亡和财产损失。</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（8）市财政局：负责落实应急救援工作经费和燃气供应紧缺救援特需资金。</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（9）市工信局：负责保障各级人民政府、有关行政主管部门与事故发生地之间的无线电通信业务频率的正常使用。</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（10）市卫生健康局：组织成立医疗救护组，负责组织事故中受伤人员的医疗卫生救治工作；负责调度卫生技术力量和资源及时救治、转移伤员；及时向市应急指挥小组报告医疗救助情况。</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（11）市生态环境局：负责事故现场的环境应急监测工作。</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（12）国网富锦供电公司：负责事故现场电力设施抢修及电力供应工作。</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13）燃气企业：贯彻落实市燃气突发公共事件应急领导小组的决定事项。负责本公司的燃气突发事件应急预案的制订、修订和实施。做好燃气事故安全预防工作。制定燃气应急抢险抢修措施和方法，及时向市燃气应急领导小组办公室报告事件情况。按要求做好燃气供应事件和先期处置、应急处置、善后处理、调查评估、恢复重建等工作。</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2.2  市燃气应急领导小组办公室及其职责</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2.2.1</w:t>
      </w:r>
      <w:r>
        <w:rPr>
          <w:rFonts w:hint="eastAsia" w:ascii="仿宋" w:hAnsi="仿宋" w:eastAsia="仿宋" w:cs="仿宋"/>
          <w:sz w:val="32"/>
          <w:szCs w:val="32"/>
          <w:lang w:eastAsia="zh-CN"/>
        </w:rPr>
        <w:t xml:space="preserve">  市燃气应急领导小组办公室</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市应急领导小组下设办公室，作为常设机构，设在市住建局，处理应急指挥部日常工作。</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主    任：市住建局副局长（业务分管）</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副 主 任：市住建局公用事业管理办公室负责人</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工作人员：市住建局相关业务科室人员</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 xml:space="preserve">　2.2.2 </w:t>
      </w:r>
      <w:r>
        <w:rPr>
          <w:rFonts w:hint="eastAsia" w:ascii="仿宋" w:hAnsi="仿宋" w:eastAsia="仿宋" w:cs="仿宋"/>
          <w:sz w:val="32"/>
          <w:szCs w:val="32"/>
          <w:lang w:eastAsia="zh-CN"/>
        </w:rPr>
        <w:t xml:space="preserve"> 市燃气应急领导小组办公室履行以下主要职责</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（1）落实市燃气应急领导小组的工作部署。</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（2）及时向市燃气应急领导小组报告事态变化情况，传达应急抢险救援指令。</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（3）组织修订燃气突发事件应急预案，并监督执行情况。</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（4）协调相关部门进行应急抢险工作及燃气突发事件信息报送工作。</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（5）建立燃气突发事件应急抢险队伍联络网络。</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2.3  现场指挥部</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2.3.1</w:t>
      </w:r>
      <w:r>
        <w:rPr>
          <w:rFonts w:hint="eastAsia" w:ascii="仿宋" w:hAnsi="仿宋" w:eastAsia="仿宋" w:cs="仿宋"/>
          <w:sz w:val="32"/>
          <w:szCs w:val="32"/>
          <w:lang w:eastAsia="zh-CN"/>
        </w:rPr>
        <w:t xml:space="preserve">  燃气突发事件发生后，成立燃气突发事件应急处置现场指挥部（以下简称现场指挥部）。现场指挥部由应急领导小组指定临时设立指挥长，并实行指挥长负责制。</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2.3.2</w:t>
      </w:r>
      <w:r>
        <w:rPr>
          <w:rFonts w:hint="eastAsia" w:ascii="仿宋" w:hAnsi="仿宋" w:eastAsia="仿宋" w:cs="仿宋"/>
          <w:sz w:val="32"/>
          <w:szCs w:val="32"/>
          <w:lang w:eastAsia="zh-CN"/>
        </w:rPr>
        <w:t xml:space="preserve">  现场指挥部职责</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（1）指挥、协调现场的应急处置和抢险救援工作，防止事态蔓延和扩大。</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（2）核实现场人员伤亡和财产损失情况，及时向市燃气应急领导小组汇报应急处置和抢险救援工作的进展情况。</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（3）根据应急处置的需要，紧急调集人员、物资、交通工具及相关设施、设备。</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2.3.3</w:t>
      </w:r>
      <w:r>
        <w:rPr>
          <w:rFonts w:hint="eastAsia" w:ascii="仿宋" w:hAnsi="仿宋" w:eastAsia="仿宋" w:cs="仿宋"/>
          <w:sz w:val="32"/>
          <w:szCs w:val="32"/>
          <w:lang w:eastAsia="zh-CN"/>
        </w:rPr>
        <w:t xml:space="preserve">  指挥长的主要职责</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（1）负责召集各参与抢险救援部门和单位人员组成现场指挥部，明确各部门和单位职责分工，视实际需要组建各行业专家组。</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（2）研究现场抢险救援方案，制定具体救援措施并组织实施。</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（3）负责指挥、协调现场应急处置工作。</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2.4  专家组</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市燃气应急领导小组设立专家人才库（可协调佳木斯市区及省建设厅提供相关人员），根据突发事件应急抢险救援需要召集有关专家组建专家组。专家组的主要职责是：</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（1）对燃气突发事件可能造成的危害进行预测、评估；</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（2）对燃气突发事件的发展趋势、抢险救援方案、处置办法等进行研究，为应急抢险救援行动的决策、指挥提供技术支持；</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（3）为富锦市中长期燃气安全应急规划、建设提供意见或建议。</w:t>
      </w:r>
    </w:p>
    <w:p>
      <w:pPr>
        <w:rPr>
          <w:rFonts w:hint="eastAsia" w:ascii="黑体" w:hAnsi="黑体" w:eastAsia="黑体" w:cs="黑体"/>
          <w:sz w:val="32"/>
          <w:szCs w:val="32"/>
          <w:lang w:eastAsia="zh-CN"/>
        </w:rPr>
      </w:pPr>
      <w:r>
        <w:rPr>
          <w:rFonts w:hint="eastAsia" w:ascii="黑体" w:hAnsi="黑体" w:eastAsia="黑体" w:cs="黑体"/>
          <w:sz w:val="32"/>
          <w:szCs w:val="32"/>
          <w:lang w:eastAsia="zh-CN"/>
        </w:rPr>
        <w:t>　　3  事件的分类及分级　　　　</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3.1  突发公共事件分类</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1、供应紧缺类。上游气源供应短缺，导致区域性燃气紧张。气源供应紧张或燃气成本价高涨，快速影响正常燃气供应等。</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2、安全事故类。因自然灾害导致燃气设施遭受破坏或设备老化、设备未经检验、操作不当、人为破坏出现重大安全事故；运输途中（槽车）出现安全事故等。</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3.2  突发公共事件分级</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按照燃气事件的可控性、严重程度和影响范围，将我市燃气应急分为四级：Ⅰ级（特别重大）、Ⅱ级（重大）、Ⅲ级（较大）和Ⅳ级（一般），国家和省有关法律法规有明确规定的，按有关规定执行。</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3.2.1</w:t>
      </w:r>
      <w:r>
        <w:rPr>
          <w:rFonts w:hint="eastAsia" w:ascii="仿宋" w:hAnsi="仿宋" w:eastAsia="仿宋" w:cs="仿宋"/>
          <w:sz w:val="32"/>
          <w:szCs w:val="32"/>
          <w:lang w:eastAsia="zh-CN"/>
        </w:rPr>
        <w:t xml:space="preserve">  Ⅰ级（特别重大），适用于以下情况：</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（1）造成30人以上死亡，或100人以上重伤（包括燃气中毒，下同）；</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（2）造成１万户以上居民用户燃气中断供应24小时以上；</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（3）突发燃气事件的次生灾害，造成铁路、高速公路运输长时间中断，或造成供电、通信、供水等系统无法正常运转，使城市基础设施大部分瘫痪。</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 xml:space="preserve">　3.2.2 </w:t>
      </w:r>
      <w:r>
        <w:rPr>
          <w:rFonts w:hint="eastAsia" w:ascii="仿宋" w:hAnsi="仿宋" w:eastAsia="仿宋" w:cs="仿宋"/>
          <w:sz w:val="32"/>
          <w:szCs w:val="32"/>
          <w:lang w:eastAsia="zh-CN"/>
        </w:rPr>
        <w:t xml:space="preserve"> Ⅱ级（重大）适用于以下情况：</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（1）造成10人以上、30人以下死亡（含失踪），或50人以上、100以下中毒（重伤）；</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（2）造成1万户以上、3万户以下居民用户燃气中断供应24小时以上；</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（3）突发燃气事件的次生灾害严重影响到交通运输和其他市政设施正常使用，并使局部地区瘫痪；</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 xml:space="preserve">3.2.3 </w:t>
      </w:r>
      <w:r>
        <w:rPr>
          <w:rFonts w:hint="eastAsia" w:ascii="仿宋" w:hAnsi="仿宋" w:eastAsia="仿宋" w:cs="仿宋"/>
          <w:sz w:val="32"/>
          <w:szCs w:val="32"/>
          <w:lang w:eastAsia="zh-CN"/>
        </w:rPr>
        <w:t xml:space="preserve"> Ⅲ级（较大）适用于以下情况：</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（1）发生3人以上、10人以下死亡，或10人以上、50人以下重伤；</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（2)造成2千户以上、1万户以下居民用户燃气中断供应24小时以上；</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（3）在商业区、居住密集区，液化石油气或液化天然气、槽车以及运输大量液化石油气实瓶的车辆、燃气管道等引起燃气大量泄漏事件，严重危及安全。</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3.2.4</w:t>
      </w:r>
      <w:r>
        <w:rPr>
          <w:rFonts w:hint="eastAsia" w:ascii="仿宋" w:hAnsi="仿宋" w:eastAsia="仿宋" w:cs="仿宋"/>
          <w:sz w:val="32"/>
          <w:szCs w:val="32"/>
          <w:lang w:eastAsia="zh-CN"/>
        </w:rPr>
        <w:t xml:space="preserve">  Ⅳ级（一般）适用于以下情况：</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（1）发生1人以上、3人以下死亡，或10人以下重伤或中毒；</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（2）造成2千户以下居民用户燃气中断供应24小时以上；</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（3）在商业区、居住密集区，液化石油气或液化天然气、槽车以及运输大量液化石油气实瓶的车辆、燃气管道等引起燃气泄漏事件，构成爆炸、火灾、中毒等安全隐患。</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3.3  预警标识</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按照事故分级，设置4种颜色的预警标识。</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红色预警标识表示Ⅰ级突发燃气安全事故险情；</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橙色预警标识表示Ⅱ级突发燃气安全事故险情；</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黄色预警标识表示Ⅲ级突发燃气安全事故险情；</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蓝色黄色预警标识表示Ⅳ级突发燃气安全事故险情。</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3.4  预警发布</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应急领导小组应建立健全全市燃气行业警告、警示通报机制。根据有关部门及燃气企业提供重大突发公共事故的预告信息，以及本地区有关涉及燃气安全的实际情况，在市级统一分析、监控下，适时通过煤体发布本地区相关警示，并及时将情况逐级上报。</w:t>
      </w:r>
    </w:p>
    <w:p>
      <w:pPr>
        <w:rPr>
          <w:rFonts w:hint="eastAsia" w:ascii="黑体" w:hAnsi="黑体" w:eastAsia="黑体" w:cs="黑体"/>
          <w:sz w:val="32"/>
          <w:szCs w:val="32"/>
          <w:lang w:eastAsia="zh-CN"/>
        </w:rPr>
      </w:pPr>
      <w:r>
        <w:rPr>
          <w:rFonts w:hint="eastAsia" w:ascii="黑体" w:hAnsi="黑体" w:eastAsia="黑体" w:cs="黑体"/>
          <w:sz w:val="32"/>
          <w:szCs w:val="32"/>
          <w:lang w:eastAsia="zh-CN"/>
        </w:rPr>
        <w:t>　　4 预防预警机制</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4.1  预防</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各燃气企业应按有关法律、法规的要求，做好燃气突发事件的预防工作，加强燃气隐患排查整治工作，燃气管理部门加强燃气隐患排查治理的监督检查工作，防止燃气安全事故的发生。</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4.2  监测</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燃气管理部门和燃气经营企业负责建立本区域、本单位重大事故隐患和重大危险源信息监控系统，对重大事故隐患和重大危险源实施监控。市住建局负责收集、汇总燃气行业的安全生产信息，组织开展风险分析，建立城市燃气安全监管体系，对城市燃气设施运行状况进行评估，做到早发现、早报告、早处置。</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4.3  预警</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根据预测分析结果，参照燃气突发事件分级标准，对可能发生和可预警的燃气突发事件进行预警，预警级别根据突发事件可能造成的危害程度、紧急程度和发展态势，由高到低划分I级（特别严重）、II级（严重）、III级（较重）、IV级（一般）四个级别，并分别用红色、橙色、黄色和蓝色表示。I级（特别严重）、II级（严重）、III级（较重）预警信息由市燃气应急领导小组发布,IV级（一般）预警信息由市燃气应急领导小组发布。预警信息要包括可能发生的突发燃气事件的时间、影响范围、预警级别、警示事项、相关措施和发布机关等。预警发布单位要密切关注事件进展情况，并依据事态变化情况，适时依职权调整预警级别。各级应急处置机构发布预警信息后应及时向上一级应急处置机构报告。各级燃气突发事件应急机构确认可能导致燃气突发事件的信息后，按照应急预案的规定及时研究确定应对方案，并通知有关单位采取相应措施预防事故发生。当本级应急处置机构需要支援时，请求上级应急处置机构协调。</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4.4  应急准备</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（１）市燃气应急领导小组成员单位应建立和完善本单位处置燃气突发事件的应急预案。</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（2）各燃气企业和专业抢险机构应根据燃气突发事件应急预案的要求, 做好必要的应急救援设备、工具、物品等物资储备。     </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（3）各燃气企业应定期组织本单位开展燃气突发事件应急处理相关知识、技能的培训和应急演练，并根据演练情况，不断完善本单位的应急预案。</w:t>
      </w:r>
    </w:p>
    <w:p>
      <w:pPr>
        <w:rPr>
          <w:rFonts w:hint="eastAsia" w:ascii="黑体" w:hAnsi="黑体" w:eastAsia="黑体" w:cs="黑体"/>
          <w:sz w:val="32"/>
          <w:szCs w:val="32"/>
          <w:lang w:eastAsia="zh-CN"/>
        </w:rPr>
      </w:pPr>
      <w:r>
        <w:rPr>
          <w:rFonts w:hint="eastAsia" w:ascii="黑体" w:hAnsi="黑体" w:eastAsia="黑体" w:cs="黑体"/>
          <w:sz w:val="32"/>
          <w:szCs w:val="32"/>
          <w:lang w:eastAsia="zh-CN"/>
        </w:rPr>
        <w:t>　　5 应急响应</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5.1  总体要求</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燃气突发公共事件发生后，在事发地政府领导下，当地燃气应急领导小组负责协调相关单位，组织实施事故应急、抢险、排险、抢修、快速修复、恢复重建等方面的工作，并第一时间向市燃气应急领导小组办公室报告情况。造成人员伤亡的突发事件，可越级上报。</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5.2  预案启动</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发生Ⅰ级、Ⅱ级、Ⅲ级燃气突发事件时，本预案、相关企业必须立即启动；发生一般Ⅳ级事件时，一般应启动市级及相关企业应急预案，本预案视情况启动。</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对于先期未能有效控制事态的，或者需要市政府协调处置的特别重大、重大、较大、一般事件，根据事态发展，市政府分管领导批准启动市相关预案，并向市政府主要领导报告，必要时直接提请市政府主要领导批准决定有关事项。</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5.3  报告制度</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5.3.1</w:t>
      </w:r>
      <w:r>
        <w:rPr>
          <w:rFonts w:hint="eastAsia" w:ascii="仿宋" w:hAnsi="仿宋" w:eastAsia="仿宋" w:cs="仿宋"/>
          <w:sz w:val="32"/>
          <w:szCs w:val="32"/>
          <w:lang w:eastAsia="zh-CN"/>
        </w:rPr>
        <w:t xml:space="preserve">  报告程序</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1）燃气突发事件发生后，现场人（目击者、单位或个人）有责任及义务立即报告，涉及消防、交通、救护等工作的，应拨打“119”、“110”、“120”等急救电话。严格保护事故现场。燃气企业强化24小时值班制度和“110”联运机制。有关企业或应急组织接到报告后，立即派员前往现场初步确认是否属于燃气突发事故，如确认属于燃气突发事故，立即启动企业应急预案或相应的应急预案，同时根据对事故的初步判断，立即报告各级应急领导小组办公室。</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2）各级应急小组办公室接到事件报告后，按照“迅速、准确”的原则，立即报告同级政府、上一级行政主管部门和安全生产监管部门，不得瞒报、谎报。初次报告可采用电话报告，书面报告时间最长不得超过事发后2小时，重大和特别重大事件实行即时报告、态势变化进程报告制度。发生Ⅱ级及以上重大事件或在特别紧急的情况下，企业及各级、各部门除根据管辖权限逐级上报外，可直接报告市燃气应急领导小组办公室，各级应急组织之间必须保证24小时通信畅通。</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3）燃气事故发生单位应在事故发生后1小时内将事故简要情况书面上报市政府总值班室及领导小组办公室，领导小组办公室将相关情况报领导小组。并根据管辖权和国家、省、市相关规定，逐级报告事故情况，必要时也可越级上报。事故报告后出现新情况的，应及时补报。</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5.3.2</w:t>
      </w:r>
      <w:r>
        <w:rPr>
          <w:rFonts w:hint="eastAsia" w:ascii="仿宋" w:hAnsi="仿宋" w:eastAsia="仿宋" w:cs="仿宋"/>
          <w:sz w:val="32"/>
          <w:szCs w:val="32"/>
          <w:lang w:eastAsia="zh-CN"/>
        </w:rPr>
        <w:t xml:space="preserve">  报告内容</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在紧急情况下，除先电话报告外，必须24小时内形成书面快报，快报应尽可能包括以下内容：</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（1）事故发生单位概况、负责人、联系电话及地址；</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（2）发生事故的时间、地点、类别以及事故现场情况；</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（3）事故简要经过，事故发生原因的初步判断、事故发生后采取的措施及事故控制情况；</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（4）事故已经造成或可能造成的伤亡人数（包括下落不明人数）和初步估计的直接损失；</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（5）需要有关部门和单位协助抢救和处理的有关事宜；</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（6）报告签发人和报告时间；</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（7）其他需要上报的有关事项。</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5.4  应急响应</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燃气突发事故应急预案启动后，各相关人员在接警后应立即赶赴现场，按职责分工开展工作，听从领导小组的统一指挥，并做到：</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（１）及时抢救生命。凡事故现场发生人员伤亡，救援保障组应首先组织力量全力抢救伤员，送入就近医院抢救。</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（２）做好警戒与疏散工作。事故现场需紧急疏散人员或物资时，应在最短时间内划定警戒范围，组织引导人员、车辆和设备的疏散。如发生燃气泄漏，现场应禁止所有火种，人员应向逆风方向疏散。</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（３）制止事故发展或及时消除隐患。如事故有进一步发展的可能，要积极组织人员、设备或物资，尽快制止事故发展并及时消除隐患；如发生燃气大面积泄漏或爆炸，应采取果断措施，避免再次发生人员伤亡。</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４）做好现场保护。事故处置结束，应保护好现场，为事故调查、分析提供直接证据，待事故调查组有明确指令后，再决定清除事故现场。如因抢救伤员、防止事故扩大及疏通交通等原因需要移动现场物件的，应当做好标志，绘制现场简图并写出书面记录，见证人员签字，妥善保存现场重要痕迹、物证，必要时应对事故现场和伤亡情况进行录像或拍照。</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（５）联系外界求援。因处理事故需要有关部门支持配合的，由领导小组统一协调、调度、落实。</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5.5  指挥协调</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１）领导小组办公室接到事故报告后，立即分析事故的严重程度，及时向领导小组报告并提出处置建议，同时将事故现场图像资料传送至市政府应急指挥中心，并将事故情况报告市安委办和佳木斯市建设局。需要市政府领导协调的，报告时一并提出处置建议。</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（２）第一时间召开领导小组成员会议，通报事故情况，布置事故救援工作。领导小组办公室、救援保障工作组和事故调查组按照领导小组指示要求，分头开展应急工作。</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３）各成员单位根据职责分工，做好相关应急工作；领导小组办公室及时做好协调工作，并收集汇总事故发生情况和各部门意见，根据事故严重程度和范围，随时向市政府、佳木斯市建设局、省建设厅汇报事故处置进展情况。</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（４）领导小组召开成员单位和燃气企业技术人员工作会议，根据事故和应急情况决定城市燃气系统的抢险、抢修、临时供气等工作方案，组织工作组赴现场协助、指导应急救援工作。</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（５）领导小组各成员必须坚守岗位，按照本部门的职责分工开展应急工作。</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６）抢险救援需跨地区调配应急物资、救援力量的，或需紧急征用的，由燃气应急领导小组集中统一、及时调配。在应急抢险救援过程中需要紧急调用物资，设备、人员和占用场地的，任何单位和个人不得阻拦和拒绝，有关单位和个人应当支持、配合并提供一切便利条件。</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5.6  现场应急救援</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现场应急救援中，相应成立现场指挥部。参与现场应急救援的各有关部门和单位，应在现场指挥部的统一指挥下开展工作。现场指挥部根据工作需要可成立综合协调、专业抢救、医疗救护、安全保卫、交通运输、后勤保障、预备机动组、市场监察组等专业组，实施应急救援工作。具体职责如下：</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（1）综合协调组：由住建局局负责。传达贯彻领导指示，报告事故应急救援情况，综合协调有关单位分工负责救援工作，完成领导交办的各项任务。</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（2）专业抢救组：由市消防综合救援大队牵头负责组织人员及消防救援工作。</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（3）医疗救护组：由卫生健康局负责组织开展现场救护工作，受伤、中毒人员的救护，保证救治药品和救护器材的供应。</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（4）安全保卫组：由公安局、派出所负责。设置警戒区域、维护现场秩序、疏通道路，组织危险区人员撤离、劝说围观群众离开事故现场。</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（5）交通运输组：由交通局负责组织运输车辆运送事故现场急需的物资、装备、药品等，输送现场需要疏散的人员； </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（6）后勤保障组：政府办负责指挥人员的现场食宿安排，受灾群众生活救援物资的供应由市民政局负责。</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（7）市场监察组：由市市场监管局负责，对突发事故后市场的总体监控。</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（8）新闻报道组：由文化广电旅游局负责，组织新闻单位记者深入现场采访，及时报道抢险救援的有关情况。</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（9）预备机动组：由现场指挥部领导临时确定，机动组力量由现场指挥部领导调动使用。</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5.7  信息发布</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突发燃气事故的信息发布由市应急领导小组实行集中、统一管理，确保信息准确、及时传递，并根据国家有关法律法规、规定向社会公布。根据预警发布的权限和规定程序，由市委宣传部、政府办负责。</w:t>
      </w:r>
    </w:p>
    <w:p>
      <w:pPr>
        <w:rPr>
          <w:rFonts w:hint="eastAsia" w:ascii="黑体" w:hAnsi="黑体" w:eastAsia="黑体" w:cs="黑体"/>
          <w:sz w:val="32"/>
          <w:szCs w:val="32"/>
          <w:lang w:eastAsia="zh-CN"/>
        </w:rPr>
      </w:pPr>
      <w:r>
        <w:rPr>
          <w:rFonts w:hint="eastAsia" w:ascii="黑体" w:hAnsi="黑体" w:eastAsia="黑体" w:cs="黑体"/>
          <w:sz w:val="32"/>
          <w:szCs w:val="32"/>
          <w:lang w:eastAsia="zh-CN"/>
        </w:rPr>
        <w:t>　　6后期处置</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6.1  应急结束</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按照“谁启动、谁结束”的原则，由相应的各级燃气突发事故应急领导机构决定应急结束，并通知相关单位和知会公众。特殊情况下，由市政府或授权有关部门宣布应急结束。</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xml:space="preserve">　　6.2  善后处理 </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善后处理工作由事发地（乡镇）政府负责，市级有关部门（单位）提供必要的支持，市燃气应急领导小组和事故发生地乡镇人民政府、街道办督促、协调有关单位依法认真做好善后工作；必要时，市燃气应急领导小组提请市政府派遣工作组进行指导帮助，对伤亡的人员及时进行医疗救助或按规定给予抚恤，对造成生产生活困难的群众进行妥善安置，对紧急调集、征用的人力物力按照规定给予补偿，确保社会稳定。</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6.3  事故调查与总结</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（１）应急抢险结束后，按规定组织成立事故调查组对事故深入调查，认真吸取教训，及时整改，并对应急处置工作进行评估。</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（２）在事故调查过程中，要认真分析城市燃气事故原因，从燃气的规划、设计、运行、管理等多方面提出改进的措施建议。</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３）调查总结报告应包括下列基本内容：发生事故的燃气系统基本情况，事故原因、发展过程及造成的后果（包括人员伤亡、经济损失）分析、评估，采取的主要应急响应措施及其有效性，事故结论，调查中尚未解决的问题，主要经验教训，事故责任人及处理意见建议，各种必要的附件等。</w:t>
      </w:r>
    </w:p>
    <w:p>
      <w:pPr>
        <w:rPr>
          <w:rFonts w:hint="eastAsia" w:ascii="黑体" w:hAnsi="黑体" w:eastAsia="黑体" w:cs="黑体"/>
          <w:sz w:val="32"/>
          <w:szCs w:val="32"/>
          <w:lang w:eastAsia="zh-CN"/>
        </w:rPr>
      </w:pPr>
      <w:r>
        <w:rPr>
          <w:rFonts w:hint="eastAsia" w:ascii="黑体" w:hAnsi="黑体" w:eastAsia="黑体" w:cs="黑体"/>
          <w:sz w:val="32"/>
          <w:szCs w:val="32"/>
          <w:lang w:eastAsia="zh-CN"/>
        </w:rPr>
        <w:t>　　7应急保障</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7.1  应急系统通信保障</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逐步建立和完善燃气突发事件应急响应网络系统，并建立相应的网络能力保障制度，领导小组成员单位有关人员应24小时保持通信畅通，以保证应急响应期间应急领导小组同各级政府、市应急响应部门、有关单位和应急专家工作组通信联络的需要。应急响应期间，有关单位必须保障通信网络系统的正常工作，随时接收市政府的指示和事故发生地的事故信息。</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7.2  应急队伍保障</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建立应急救援基本力量：</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（1）工程设施抢险力量：各燃气供应企业要建立工程设施抢险队伍，负责事发现场工程设施抢险、抢修、警戒等工作。</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2）专家咨询技术力量：专家咨询技术力量：由从事科研、勘察、设计、施工、质监、应急管理、消防等工作的技术专业组成。负责事发现场工程设施、运行安全性鉴定，研究应急方案，提出相应对策和意见等。</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（3）应急管理力量：由各成员单位相关工作人员组成，担负组织、协调、处置以及信息管理等工作。</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7.3  装备保障</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燃气主管部门负责制定紧急情况下燃气设施抢险设备、物资的储备和调配方案，报本级燃气突发事故应急领导小组备案。燃气企业储备的常规抢险机械、设备、物资应满足抢险急需。</w:t>
      </w:r>
    </w:p>
    <w:p>
      <w:pPr>
        <w:rPr>
          <w:rFonts w:hint="eastAsia" w:ascii="黑体" w:hAnsi="黑体" w:eastAsia="黑体" w:cs="黑体"/>
          <w:sz w:val="32"/>
          <w:szCs w:val="32"/>
          <w:lang w:eastAsia="zh-CN"/>
        </w:rPr>
      </w:pPr>
      <w:r>
        <w:rPr>
          <w:rFonts w:hint="eastAsia" w:ascii="黑体" w:hAnsi="黑体" w:eastAsia="黑体" w:cs="黑体"/>
          <w:sz w:val="32"/>
          <w:szCs w:val="32"/>
          <w:lang w:eastAsia="zh-CN"/>
        </w:rPr>
        <w:t>　　8 监督和管理</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8.1  宣传与培训</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 xml:space="preserve">8.1.1 </w:t>
      </w:r>
      <w:r>
        <w:rPr>
          <w:rFonts w:hint="eastAsia" w:ascii="仿宋" w:hAnsi="仿宋" w:eastAsia="仿宋" w:cs="仿宋"/>
          <w:sz w:val="32"/>
          <w:szCs w:val="32"/>
          <w:lang w:eastAsia="zh-CN"/>
        </w:rPr>
        <w:t xml:space="preserve"> 宣传</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领导小组办公室要会同有关部门和单位，采取多种有效形式，加强燃气安全使用、燃气设施保护、燃气事故应急处置有关知识的宣传，提高公众的安全用气水平、自我保护意识和自救能力。</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宣传主管机构要通过报刊、广播、电视、网络、广场宣传、发放手册等多种形式开展宣传活动。</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 xml:space="preserve">8.1.2 </w:t>
      </w:r>
      <w:r>
        <w:rPr>
          <w:rFonts w:hint="eastAsia" w:ascii="仿宋" w:hAnsi="仿宋" w:eastAsia="仿宋" w:cs="仿宋"/>
          <w:sz w:val="32"/>
          <w:szCs w:val="32"/>
          <w:lang w:eastAsia="zh-CN"/>
        </w:rPr>
        <w:t xml:space="preserve"> 教育培训</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领导小组办公室要会同有关部门组织开展应急管理教育培训工作，重点抓好燃气供气单位和公建工业用户的教育培训工作，开展应急专业队伍专业人员的培训工作，提升突发燃气安全事故应急处置能力。</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8.2  预案演练</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领导小组办公室要按照市政府和上级部门的总体要求组织应急预案演练。通过演练发现应急工作体系和工作机制中存在的问题，不断完善应急预案，提升燃气突发事故应急处置能力。</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8.3  奖励和责任追究</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应急领导小组将提交或建议市政府对在燃气突发事故应急处置中作出突出贡献的集体和个人按照有关规定给予表彰和奖励，对玩忽职守或无故、借故不参加或拖延参加事故应急处理工作，不服从统一指挥者，将追究其行政责任，造成严重后果的，依法追究法律责任。</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8.4  预案管理</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　8.4.1</w:t>
      </w:r>
      <w:r>
        <w:rPr>
          <w:rFonts w:hint="eastAsia" w:ascii="仿宋" w:hAnsi="仿宋" w:eastAsia="仿宋" w:cs="仿宋"/>
          <w:sz w:val="32"/>
          <w:szCs w:val="32"/>
          <w:lang w:eastAsia="zh-CN"/>
        </w:rPr>
        <w:t xml:space="preserve">  分预案</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各乡镇政府、市直各有关部门、单位要根据本预案要求，建立机构，细化职责，明确任务，确定人员，设立专线电话，制订和完善本辖区、本部门的燃气安全事故应急预案，并报市住建局备案。</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 xml:space="preserve">8.4.2 </w:t>
      </w:r>
      <w:r>
        <w:rPr>
          <w:rFonts w:hint="eastAsia" w:ascii="仿宋" w:hAnsi="仿宋" w:eastAsia="仿宋" w:cs="仿宋"/>
          <w:sz w:val="32"/>
          <w:szCs w:val="32"/>
          <w:lang w:eastAsia="zh-CN"/>
        </w:rPr>
        <w:t xml:space="preserve"> 预案更新</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随着应急救援相关法律、法规的制定、修改和完善，部门职责或应急资源发生变化，或者应急预案实施过程中发现存在的问题和出现新的情况，由市住建局会同有关部门及时修订完善本预案，报市政府批准。</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lang w:eastAsia="zh-CN"/>
        </w:rPr>
        <w:t xml:space="preserve">　8.4.3  </w:t>
      </w:r>
      <w:r>
        <w:rPr>
          <w:rFonts w:hint="eastAsia" w:ascii="仿宋" w:hAnsi="仿宋" w:eastAsia="仿宋" w:cs="仿宋"/>
          <w:sz w:val="32"/>
          <w:szCs w:val="32"/>
          <w:lang w:eastAsia="zh-CN"/>
        </w:rPr>
        <w:t>本预案由市住建局负责解释，自印发之日起施行。</w:t>
      </w:r>
    </w:p>
    <w:p>
      <w:pPr>
        <w:rPr>
          <w:rFonts w:hint="eastAsia" w:ascii="黑体" w:hAnsi="黑体" w:eastAsia="黑体" w:cs="黑体"/>
          <w:sz w:val="32"/>
          <w:szCs w:val="32"/>
          <w:lang w:eastAsia="zh-CN"/>
        </w:rPr>
      </w:pPr>
      <w:r>
        <w:rPr>
          <w:rFonts w:hint="eastAsia" w:ascii="黑体" w:hAnsi="黑体" w:eastAsia="黑体" w:cs="黑体"/>
          <w:sz w:val="32"/>
          <w:szCs w:val="32"/>
          <w:lang w:eastAsia="zh-CN"/>
        </w:rPr>
        <w:t>９　附件</w:t>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pStyle w:val="3"/>
      </w:pPr>
      <w:bookmarkStart w:id="0" w:name="_Toc48721175"/>
      <w:r>
        <w:rPr>
          <w:rFonts w:hint="eastAsia"/>
        </w:rPr>
        <w:t>1．燃气抢险快报表</w:t>
      </w:r>
      <w:bookmarkEnd w:id="0"/>
    </w:p>
    <w:p>
      <w:pPr>
        <w:spacing w:line="360" w:lineRule="auto"/>
        <w:rPr>
          <w:rFonts w:ascii="宋体" w:hAnsi="宋体"/>
          <w:sz w:val="24"/>
        </w:rPr>
      </w:pPr>
      <w:r>
        <w:rPr>
          <w:rFonts w:hint="eastAsia" w:ascii="宋体" w:hAnsi="宋体"/>
          <w:sz w:val="24"/>
        </w:rPr>
        <w:t>报送单位（盖章）：</w:t>
      </w:r>
    </w:p>
    <w:tbl>
      <w:tblPr>
        <w:tblStyle w:val="8"/>
        <w:tblW w:w="91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9110" w:type="dxa"/>
            <w:tcBorders>
              <w:top w:val="single" w:color="auto" w:sz="12" w:space="0"/>
              <w:left w:val="single" w:color="auto" w:sz="12" w:space="0"/>
              <w:right w:val="single" w:color="auto" w:sz="12" w:space="0"/>
            </w:tcBorders>
          </w:tcPr>
          <w:p>
            <w:pPr>
              <w:spacing w:line="360" w:lineRule="auto"/>
              <w:rPr>
                <w:rFonts w:ascii="宋体" w:hAnsi="宋体"/>
                <w:sz w:val="24"/>
              </w:rPr>
            </w:pPr>
          </w:p>
          <w:p>
            <w:pPr>
              <w:spacing w:line="360" w:lineRule="auto"/>
              <w:rPr>
                <w:rFonts w:ascii="宋体" w:hAnsi="宋体"/>
                <w:sz w:val="24"/>
              </w:rPr>
            </w:pPr>
            <w:r>
              <w:rPr>
                <w:rFonts w:hint="eastAsia" w:ascii="宋体" w:hAnsi="宋体"/>
                <w:sz w:val="24"/>
              </w:rPr>
              <w:t>事件发生时间：______年______月______日______时______分</w:t>
            </w:r>
          </w:p>
          <w:p>
            <w:pPr>
              <w:spacing w:line="360" w:lineRule="auto"/>
              <w:rPr>
                <w:rFonts w:ascii="宋体" w:hAnsi="宋体"/>
                <w:sz w:val="24"/>
              </w:rPr>
            </w:pPr>
            <w:r>
              <w:rPr>
                <w:rFonts w:hint="eastAsia" w:ascii="宋体" w:hAnsi="宋体"/>
                <w:sz w:val="24"/>
              </w:rPr>
              <w:t>事件发生地点：__________社区______________路________号________</w:t>
            </w:r>
          </w:p>
          <w:p>
            <w:pPr>
              <w:spacing w:line="360" w:lineRule="auto"/>
              <w:rPr>
                <w:rFonts w:ascii="宋体" w:hAnsi="宋体"/>
                <w:sz w:val="24"/>
              </w:rPr>
            </w:pPr>
            <w:r>
              <w:rPr>
                <w:rFonts w:hint="eastAsia" w:ascii="宋体" w:hAnsi="宋体"/>
                <w:sz w:val="24"/>
              </w:rPr>
              <w:t>突发事件类别：□钢瓶着火  □管线折断   □场站泄漏    □室内着火爆炸   □设备故障</w:t>
            </w:r>
          </w:p>
          <w:p>
            <w:pPr>
              <w:spacing w:line="360" w:lineRule="auto"/>
              <w:rPr>
                <w:rFonts w:ascii="宋体" w:hAnsi="宋体"/>
                <w:sz w:val="24"/>
              </w:rPr>
            </w:pPr>
            <w:r>
              <w:rPr>
                <w:rFonts w:hint="eastAsia" w:ascii="宋体" w:hAnsi="宋体"/>
                <w:sz w:val="24"/>
              </w:rPr>
              <w:t xml:space="preserve">              □其他（简要描述）_________________________________________________</w:t>
            </w:r>
          </w:p>
          <w:p>
            <w:pPr>
              <w:spacing w:line="360" w:lineRule="auto"/>
              <w:rPr>
                <w:rFonts w:ascii="宋体" w:hAnsi="宋体"/>
                <w:sz w:val="24"/>
              </w:rPr>
            </w:pPr>
            <w:r>
              <w:rPr>
                <w:rFonts w:hint="eastAsia" w:ascii="宋体" w:hAnsi="宋体"/>
                <w:sz w:val="24"/>
              </w:rPr>
              <w:t xml:space="preserve">事件影响程度：□人员伤亡情况：伤____人、亡____人      </w:t>
            </w:r>
          </w:p>
          <w:p>
            <w:pPr>
              <w:spacing w:line="360" w:lineRule="auto"/>
              <w:rPr>
                <w:rFonts w:ascii="宋体" w:hAnsi="宋体"/>
                <w:sz w:val="24"/>
              </w:rPr>
            </w:pPr>
            <w:r>
              <w:rPr>
                <w:rFonts w:hint="eastAsia" w:ascii="宋体" w:hAnsi="宋体"/>
                <w:sz w:val="24"/>
              </w:rPr>
              <w:t xml:space="preserve">              □其他（简要描述）________________________________________________ </w:t>
            </w:r>
          </w:p>
          <w:p>
            <w:pPr>
              <w:spacing w:line="360" w:lineRule="auto"/>
              <w:rPr>
                <w:rFonts w:ascii="宋体" w:hAnsi="宋体"/>
                <w:sz w:val="24"/>
              </w:rPr>
            </w:pPr>
            <w:r>
              <w:rPr>
                <w:rFonts w:hint="eastAsia" w:ascii="宋体" w:hAnsi="宋体"/>
                <w:sz w:val="24"/>
              </w:rPr>
              <w:t xml:space="preserve">突发事件级别：经初步判定事件为________级别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1" w:hRule="atLeast"/>
        </w:trPr>
        <w:tc>
          <w:tcPr>
            <w:tcW w:w="9110" w:type="dxa"/>
            <w:tcBorders>
              <w:left w:val="single" w:color="auto" w:sz="12" w:space="0"/>
              <w:right w:val="single" w:color="auto" w:sz="12" w:space="0"/>
            </w:tcBorders>
          </w:tcPr>
          <w:p>
            <w:pPr>
              <w:spacing w:line="360" w:lineRule="auto"/>
              <w:rPr>
                <w:rFonts w:ascii="宋体" w:hAnsi="宋体"/>
                <w:sz w:val="24"/>
              </w:rPr>
            </w:pPr>
            <w:r>
              <w:rPr>
                <w:rFonts w:hint="eastAsia" w:ascii="宋体" w:hAnsi="宋体"/>
                <w:sz w:val="24"/>
              </w:rPr>
              <w:t>突发事件起因、经过、损失和影响：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9110" w:type="dxa"/>
            <w:tcBorders>
              <w:left w:val="single" w:color="auto" w:sz="12" w:space="0"/>
              <w:right w:val="single" w:color="auto" w:sz="12" w:space="0"/>
            </w:tcBorders>
          </w:tcPr>
          <w:p>
            <w:pPr>
              <w:spacing w:line="360" w:lineRule="auto"/>
              <w:rPr>
                <w:rFonts w:ascii="宋体" w:hAnsi="宋体"/>
                <w:sz w:val="24"/>
              </w:rPr>
            </w:pPr>
            <w:r>
              <w:rPr>
                <w:rFonts w:hint="eastAsia" w:ascii="宋体" w:hAnsi="宋体"/>
                <w:sz w:val="24"/>
              </w:rPr>
              <w:t>已采取的措施及效果：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110" w:type="dxa"/>
            <w:tcBorders>
              <w:left w:val="single" w:color="auto" w:sz="12" w:space="0"/>
              <w:right w:val="single" w:color="auto" w:sz="12" w:space="0"/>
            </w:tcBorders>
          </w:tcPr>
          <w:p>
            <w:pPr>
              <w:spacing w:line="360" w:lineRule="auto"/>
              <w:rPr>
                <w:rFonts w:ascii="宋体" w:hAnsi="宋体"/>
                <w:sz w:val="24"/>
              </w:rPr>
            </w:pPr>
            <w:r>
              <w:rPr>
                <w:rFonts w:hint="eastAsia" w:ascii="宋体" w:hAnsi="宋体"/>
                <w:sz w:val="24"/>
              </w:rPr>
              <w:t>发展趋势及对策建议：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1" w:hRule="atLeast"/>
        </w:trPr>
        <w:tc>
          <w:tcPr>
            <w:tcW w:w="9110" w:type="dxa"/>
            <w:tcBorders>
              <w:left w:val="single" w:color="auto" w:sz="12" w:space="0"/>
              <w:bottom w:val="single" w:color="auto" w:sz="12" w:space="0"/>
              <w:right w:val="single" w:color="auto" w:sz="12" w:space="0"/>
            </w:tcBorders>
          </w:tcPr>
          <w:p>
            <w:pPr>
              <w:spacing w:line="360" w:lineRule="auto"/>
              <w:rPr>
                <w:rFonts w:ascii="宋体" w:hAnsi="宋体"/>
                <w:sz w:val="24"/>
              </w:rPr>
            </w:pPr>
            <w:r>
              <w:rPr>
                <w:rFonts w:hint="eastAsia" w:ascii="宋体" w:hAnsi="宋体"/>
                <w:sz w:val="24"/>
              </w:rPr>
              <w:t>现场联络方式：</w:t>
            </w:r>
          </w:p>
          <w:p>
            <w:pPr>
              <w:spacing w:line="360" w:lineRule="auto"/>
              <w:rPr>
                <w:rFonts w:ascii="宋体" w:hAnsi="宋体"/>
                <w:sz w:val="24"/>
              </w:rPr>
            </w:pPr>
            <w:r>
              <w:rPr>
                <w:rFonts w:hint="eastAsia" w:ascii="宋体" w:hAnsi="宋体"/>
                <w:sz w:val="24"/>
              </w:rPr>
              <w:t>（一）现场指挥员：姓名_________ 所在单位职务 _____   _____联系电话_____________</w:t>
            </w:r>
          </w:p>
          <w:p>
            <w:pPr>
              <w:spacing w:line="360" w:lineRule="auto"/>
              <w:rPr>
                <w:rFonts w:ascii="宋体" w:hAnsi="宋体"/>
                <w:sz w:val="24"/>
              </w:rPr>
            </w:pPr>
            <w:r>
              <w:rPr>
                <w:rFonts w:hint="eastAsia" w:ascii="宋体" w:hAnsi="宋体"/>
                <w:sz w:val="24"/>
              </w:rPr>
              <w:t xml:space="preserve">    （二）现场联络员：姓名_________ 所在单位职务 __________联系电话_____________</w:t>
            </w:r>
          </w:p>
          <w:p>
            <w:pPr>
              <w:spacing w:line="360" w:lineRule="auto"/>
              <w:rPr>
                <w:rFonts w:ascii="宋体" w:hAnsi="宋体"/>
                <w:sz w:val="24"/>
              </w:rPr>
            </w:pPr>
            <w:r>
              <w:rPr>
                <w:rFonts w:hint="eastAsia" w:ascii="宋体" w:hAnsi="宋体"/>
                <w:sz w:val="24"/>
              </w:rPr>
              <w:t xml:space="preserve">    （三）单位联络员：姓名__________所在单位职务    __________联系电话_____________</w:t>
            </w:r>
          </w:p>
        </w:tc>
      </w:tr>
    </w:tbl>
    <w:p>
      <w:pPr>
        <w:spacing w:line="360" w:lineRule="auto"/>
        <w:rPr>
          <w:rFonts w:ascii="宋体" w:hAnsi="宋体"/>
          <w:sz w:val="24"/>
        </w:rPr>
      </w:pPr>
      <w:r>
        <w:rPr>
          <w:rFonts w:hint="eastAsia" w:ascii="宋体" w:hAnsi="宋体"/>
          <w:sz w:val="24"/>
        </w:rPr>
        <w:t>经办人：                  联系电话：                  审核人：</w:t>
      </w:r>
    </w:p>
    <w:p>
      <w:pPr>
        <w:spacing w:line="360" w:lineRule="auto"/>
        <w:rPr>
          <w:rFonts w:ascii="宋体" w:hAnsi="宋体"/>
          <w:sz w:val="28"/>
          <w:szCs w:val="28"/>
        </w:rPr>
      </w:pPr>
    </w:p>
    <w:p>
      <w:pPr>
        <w:pStyle w:val="3"/>
      </w:pPr>
      <w:bookmarkStart w:id="1" w:name="_Toc450912535"/>
      <w:bookmarkStart w:id="2" w:name="_Toc41817545"/>
      <w:bookmarkStart w:id="3" w:name="_Toc48721176"/>
      <w:r>
        <w:rPr>
          <w:rFonts w:hint="eastAsia"/>
        </w:rPr>
        <w:t>2．　燃气抢险信息发布审批表</w:t>
      </w:r>
      <w:bookmarkEnd w:id="1"/>
      <w:bookmarkEnd w:id="2"/>
      <w:bookmarkEnd w:id="3"/>
    </w:p>
    <w:tbl>
      <w:tblPr>
        <w:tblStyle w:val="8"/>
        <w:tblW w:w="91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5"/>
        <w:gridCol w:w="1488"/>
        <w:gridCol w:w="1271"/>
        <w:gridCol w:w="297"/>
        <w:gridCol w:w="1388"/>
        <w:gridCol w:w="230"/>
        <w:gridCol w:w="1078"/>
        <w:gridCol w:w="14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1905" w:type="dxa"/>
            <w:tcBorders>
              <w:top w:val="single" w:color="auto" w:sz="12" w:space="0"/>
              <w:left w:val="single" w:color="auto" w:sz="12" w:space="0"/>
            </w:tcBorders>
            <w:vAlign w:val="center"/>
          </w:tcPr>
          <w:p>
            <w:pPr>
              <w:spacing w:line="360" w:lineRule="auto"/>
              <w:rPr>
                <w:rFonts w:ascii="宋体" w:hAnsi="宋体"/>
                <w:sz w:val="24"/>
              </w:rPr>
            </w:pPr>
            <w:r>
              <w:rPr>
                <w:rFonts w:hint="eastAsia" w:ascii="宋体" w:hAnsi="宋体"/>
                <w:sz w:val="24"/>
              </w:rPr>
              <w:t>信 息 标 题</w:t>
            </w:r>
          </w:p>
        </w:tc>
        <w:tc>
          <w:tcPr>
            <w:tcW w:w="7210" w:type="dxa"/>
            <w:gridSpan w:val="7"/>
            <w:tcBorders>
              <w:top w:val="single" w:color="auto" w:sz="12" w:space="0"/>
              <w:right w:val="single" w:color="auto" w:sz="12" w:space="0"/>
            </w:tcBorders>
            <w:vAlign w:val="center"/>
          </w:tcPr>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1905" w:type="dxa"/>
            <w:tcBorders>
              <w:left w:val="single" w:color="auto" w:sz="12" w:space="0"/>
            </w:tcBorders>
            <w:vAlign w:val="center"/>
          </w:tcPr>
          <w:p>
            <w:pPr>
              <w:spacing w:line="360" w:lineRule="auto"/>
              <w:rPr>
                <w:rFonts w:ascii="宋体" w:hAnsi="宋体"/>
                <w:sz w:val="24"/>
              </w:rPr>
            </w:pPr>
            <w:r>
              <w:rPr>
                <w:rFonts w:hint="eastAsia" w:ascii="宋体" w:hAnsi="宋体"/>
                <w:sz w:val="24"/>
              </w:rPr>
              <w:t>信息发布编号</w:t>
            </w:r>
          </w:p>
        </w:tc>
        <w:tc>
          <w:tcPr>
            <w:tcW w:w="7210" w:type="dxa"/>
            <w:gridSpan w:val="7"/>
            <w:tcBorders>
              <w:right w:val="single" w:color="auto" w:sz="12" w:space="0"/>
            </w:tcBorders>
            <w:vAlign w:val="center"/>
          </w:tcPr>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1905" w:type="dxa"/>
            <w:tcBorders>
              <w:left w:val="single" w:color="auto" w:sz="12" w:space="0"/>
            </w:tcBorders>
            <w:vAlign w:val="center"/>
          </w:tcPr>
          <w:p>
            <w:pPr>
              <w:spacing w:line="360" w:lineRule="auto"/>
              <w:rPr>
                <w:rFonts w:ascii="宋体" w:hAnsi="宋体"/>
                <w:sz w:val="24"/>
              </w:rPr>
            </w:pPr>
            <w:r>
              <w:rPr>
                <w:rFonts w:hint="eastAsia" w:ascii="宋体" w:hAnsi="宋体"/>
                <w:sz w:val="24"/>
              </w:rPr>
              <w:t>信息报送部门</w:t>
            </w:r>
          </w:p>
        </w:tc>
        <w:tc>
          <w:tcPr>
            <w:tcW w:w="1488" w:type="dxa"/>
            <w:vAlign w:val="center"/>
          </w:tcPr>
          <w:p>
            <w:pPr>
              <w:spacing w:line="360" w:lineRule="auto"/>
              <w:rPr>
                <w:rFonts w:ascii="宋体" w:hAnsi="宋体"/>
                <w:sz w:val="24"/>
              </w:rPr>
            </w:pPr>
          </w:p>
        </w:tc>
        <w:tc>
          <w:tcPr>
            <w:tcW w:w="1568" w:type="dxa"/>
            <w:gridSpan w:val="2"/>
            <w:vAlign w:val="center"/>
          </w:tcPr>
          <w:p>
            <w:pPr>
              <w:spacing w:line="360" w:lineRule="auto"/>
              <w:rPr>
                <w:rFonts w:ascii="宋体" w:hAnsi="宋体"/>
                <w:sz w:val="24"/>
              </w:rPr>
            </w:pPr>
            <w:r>
              <w:rPr>
                <w:rFonts w:hint="eastAsia" w:ascii="宋体" w:hAnsi="宋体"/>
                <w:sz w:val="24"/>
              </w:rPr>
              <w:t>信息员姓名</w:t>
            </w:r>
          </w:p>
        </w:tc>
        <w:tc>
          <w:tcPr>
            <w:tcW w:w="1388" w:type="dxa"/>
            <w:vAlign w:val="center"/>
          </w:tcPr>
          <w:p>
            <w:pPr>
              <w:spacing w:line="360" w:lineRule="auto"/>
              <w:rPr>
                <w:rFonts w:ascii="宋体" w:hAnsi="宋体"/>
                <w:sz w:val="24"/>
              </w:rPr>
            </w:pPr>
          </w:p>
        </w:tc>
        <w:tc>
          <w:tcPr>
            <w:tcW w:w="1308" w:type="dxa"/>
            <w:gridSpan w:val="2"/>
            <w:vAlign w:val="center"/>
          </w:tcPr>
          <w:p>
            <w:pPr>
              <w:spacing w:line="360" w:lineRule="auto"/>
              <w:rPr>
                <w:rFonts w:ascii="宋体" w:hAnsi="宋体"/>
                <w:sz w:val="24"/>
              </w:rPr>
            </w:pPr>
            <w:r>
              <w:rPr>
                <w:rFonts w:hint="eastAsia" w:ascii="宋体" w:hAnsi="宋体"/>
                <w:sz w:val="24"/>
              </w:rPr>
              <w:t>报送日期</w:t>
            </w:r>
          </w:p>
        </w:tc>
        <w:tc>
          <w:tcPr>
            <w:tcW w:w="1458" w:type="dxa"/>
            <w:tcBorders>
              <w:right w:val="single" w:color="auto" w:sz="12" w:space="0"/>
            </w:tcBorders>
            <w:vAlign w:val="center"/>
          </w:tcPr>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1905" w:type="dxa"/>
            <w:tcBorders>
              <w:left w:val="single" w:color="auto" w:sz="12" w:space="0"/>
            </w:tcBorders>
            <w:vAlign w:val="center"/>
          </w:tcPr>
          <w:p>
            <w:pPr>
              <w:spacing w:line="360" w:lineRule="auto"/>
              <w:rPr>
                <w:rFonts w:ascii="宋体" w:hAnsi="宋体"/>
                <w:sz w:val="24"/>
              </w:rPr>
            </w:pPr>
            <w:r>
              <w:rPr>
                <w:rFonts w:hint="eastAsia" w:ascii="宋体" w:hAnsi="宋体"/>
                <w:sz w:val="24"/>
              </w:rPr>
              <w:t>信息稿件附件</w:t>
            </w:r>
          </w:p>
        </w:tc>
        <w:tc>
          <w:tcPr>
            <w:tcW w:w="7210" w:type="dxa"/>
            <w:gridSpan w:val="7"/>
            <w:tcBorders>
              <w:right w:val="single" w:color="auto" w:sz="12" w:space="0"/>
            </w:tcBorders>
            <w:vAlign w:val="center"/>
          </w:tcPr>
          <w:p>
            <w:pPr>
              <w:spacing w:line="360" w:lineRule="auto"/>
              <w:rPr>
                <w:rFonts w:ascii="宋体" w:hAnsi="宋体"/>
                <w:sz w:val="24"/>
              </w:rPr>
            </w:pPr>
            <w:r>
              <w:rPr>
                <w:rFonts w:hint="eastAsia" w:ascii="宋体" w:hAnsi="宋体"/>
                <w:sz w:val="24"/>
              </w:rPr>
              <w:t xml:space="preserve">□ 纸质附件；□ 电子稿附件；□ 照片   张；□ 录像    段；  □ 其他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1905" w:type="dxa"/>
            <w:tcBorders>
              <w:left w:val="single" w:color="auto" w:sz="12" w:space="0"/>
            </w:tcBorders>
            <w:vAlign w:val="center"/>
          </w:tcPr>
          <w:p>
            <w:pPr>
              <w:spacing w:line="360" w:lineRule="auto"/>
              <w:rPr>
                <w:rFonts w:ascii="宋体" w:hAnsi="宋体"/>
                <w:sz w:val="24"/>
              </w:rPr>
            </w:pPr>
            <w:r>
              <w:rPr>
                <w:rFonts w:hint="eastAsia" w:ascii="宋体" w:hAnsi="宋体"/>
                <w:sz w:val="24"/>
              </w:rPr>
              <w:t>要求发布日期</w:t>
            </w:r>
          </w:p>
        </w:tc>
        <w:tc>
          <w:tcPr>
            <w:tcW w:w="3056" w:type="dxa"/>
            <w:gridSpan w:val="3"/>
            <w:vAlign w:val="center"/>
          </w:tcPr>
          <w:p>
            <w:pPr>
              <w:spacing w:line="360" w:lineRule="auto"/>
              <w:rPr>
                <w:rFonts w:ascii="宋体" w:hAnsi="宋体"/>
                <w:sz w:val="24"/>
              </w:rPr>
            </w:pPr>
            <w:r>
              <w:rPr>
                <w:rFonts w:hint="eastAsia" w:ascii="宋体" w:hAnsi="宋体"/>
                <w:sz w:val="24"/>
              </w:rPr>
              <w:t>年      月      日</w:t>
            </w:r>
          </w:p>
        </w:tc>
        <w:tc>
          <w:tcPr>
            <w:tcW w:w="1618" w:type="dxa"/>
            <w:gridSpan w:val="2"/>
            <w:vAlign w:val="center"/>
          </w:tcPr>
          <w:p>
            <w:pPr>
              <w:spacing w:line="360" w:lineRule="auto"/>
              <w:rPr>
                <w:rFonts w:ascii="宋体" w:hAnsi="宋体"/>
                <w:sz w:val="24"/>
              </w:rPr>
            </w:pPr>
            <w:r>
              <w:rPr>
                <w:rFonts w:hint="eastAsia" w:ascii="宋体" w:hAnsi="宋体"/>
                <w:sz w:val="24"/>
              </w:rPr>
              <w:t>信息保留时间</w:t>
            </w:r>
          </w:p>
        </w:tc>
        <w:tc>
          <w:tcPr>
            <w:tcW w:w="2536" w:type="dxa"/>
            <w:gridSpan w:val="2"/>
            <w:tcBorders>
              <w:right w:val="single" w:color="auto" w:sz="12" w:space="0"/>
            </w:tcBorders>
            <w:vAlign w:val="center"/>
          </w:tcPr>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2" w:hRule="atLeast"/>
        </w:trPr>
        <w:tc>
          <w:tcPr>
            <w:tcW w:w="1905" w:type="dxa"/>
            <w:tcBorders>
              <w:left w:val="single" w:color="auto" w:sz="12" w:space="0"/>
            </w:tcBorders>
            <w:vAlign w:val="center"/>
          </w:tcPr>
          <w:p>
            <w:pPr>
              <w:spacing w:line="360" w:lineRule="auto"/>
              <w:rPr>
                <w:rFonts w:ascii="宋体" w:hAnsi="宋体"/>
                <w:sz w:val="24"/>
              </w:rPr>
            </w:pPr>
            <w:r>
              <w:rPr>
                <w:rFonts w:hint="eastAsia" w:ascii="宋体" w:hAnsi="宋体"/>
                <w:sz w:val="24"/>
              </w:rPr>
              <w:t>信息发布内容</w:t>
            </w:r>
          </w:p>
        </w:tc>
        <w:tc>
          <w:tcPr>
            <w:tcW w:w="7210" w:type="dxa"/>
            <w:gridSpan w:val="7"/>
            <w:tcBorders>
              <w:right w:val="single" w:color="auto" w:sz="12" w:space="0"/>
            </w:tcBorders>
          </w:tcPr>
          <w:p>
            <w:pPr>
              <w:spacing w:line="360" w:lineRule="auto"/>
              <w:rPr>
                <w:rFonts w:ascii="宋体" w:hAnsi="宋体"/>
                <w:sz w:val="24"/>
              </w:rPr>
            </w:pPr>
            <w:r>
              <w:rPr>
                <w:rFonts w:hint="eastAsia" w:ascii="宋体" w:hAnsi="宋体"/>
                <w:sz w:val="24"/>
              </w:rPr>
              <w:t>突发事件性质：，初步判定级别：，</w:t>
            </w:r>
          </w:p>
          <w:p>
            <w:pPr>
              <w:spacing w:line="360" w:lineRule="auto"/>
              <w:rPr>
                <w:rFonts w:ascii="宋体" w:hAnsi="宋体"/>
                <w:sz w:val="24"/>
              </w:rPr>
            </w:pPr>
            <w:r>
              <w:rPr>
                <w:rFonts w:hint="eastAsia" w:ascii="宋体" w:hAnsi="宋体"/>
                <w:sz w:val="24"/>
              </w:rPr>
              <w:t>发生时间：_____________，发生地点：，</w:t>
            </w:r>
          </w:p>
          <w:p>
            <w:pPr>
              <w:spacing w:line="360" w:lineRule="auto"/>
              <w:rPr>
                <w:rFonts w:ascii="宋体" w:hAnsi="宋体"/>
                <w:sz w:val="24"/>
              </w:rPr>
            </w:pPr>
            <w:r>
              <w:rPr>
                <w:rFonts w:hint="eastAsia" w:ascii="宋体" w:hAnsi="宋体"/>
                <w:sz w:val="24"/>
              </w:rPr>
              <w:t>人员伤亡：_____________，财产损失：_____________。</w:t>
            </w:r>
          </w:p>
          <w:p>
            <w:pPr>
              <w:spacing w:line="360" w:lineRule="auto"/>
              <w:rPr>
                <w:rFonts w:ascii="宋体" w:hAnsi="宋体"/>
                <w:sz w:val="24"/>
              </w:rPr>
            </w:pPr>
            <w:r>
              <w:rPr>
                <w:rFonts w:hint="eastAsia" w:ascii="宋体" w:hAnsi="宋体"/>
                <w:sz w:val="24"/>
              </w:rPr>
              <w:t>救援进展：</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影响情况：</w:t>
            </w:r>
          </w:p>
          <w:p>
            <w:pPr>
              <w:spacing w:line="360" w:lineRule="auto"/>
              <w:rPr>
                <w:rFonts w:ascii="宋体" w:hAnsi="宋体"/>
                <w:sz w:val="24"/>
              </w:rPr>
            </w:pPr>
            <w:r>
              <w:rPr>
                <w:rFonts w:hint="eastAsia" w:ascii="宋体" w:hAnsi="宋体"/>
                <w:sz w:val="24"/>
              </w:rPr>
              <w:t>事故点交通管制情况：</w:t>
            </w:r>
          </w:p>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1905" w:type="dxa"/>
            <w:tcBorders>
              <w:left w:val="single" w:color="auto" w:sz="12" w:space="0"/>
            </w:tcBorders>
            <w:vAlign w:val="center"/>
          </w:tcPr>
          <w:p>
            <w:pPr>
              <w:spacing w:line="360" w:lineRule="auto"/>
              <w:rPr>
                <w:rFonts w:ascii="宋体" w:hAnsi="宋体"/>
                <w:sz w:val="24"/>
              </w:rPr>
            </w:pPr>
            <w:r>
              <w:rPr>
                <w:rFonts w:hint="eastAsia" w:ascii="宋体" w:hAnsi="宋体"/>
                <w:sz w:val="24"/>
              </w:rPr>
              <w:t>负责人审核意见</w:t>
            </w:r>
          </w:p>
        </w:tc>
        <w:tc>
          <w:tcPr>
            <w:tcW w:w="7210" w:type="dxa"/>
            <w:gridSpan w:val="7"/>
            <w:tcBorders>
              <w:right w:val="single" w:color="auto" w:sz="12" w:space="0"/>
            </w:tcBorders>
            <w:vAlign w:val="center"/>
          </w:tcPr>
          <w:p>
            <w:pPr>
              <w:spacing w:line="360" w:lineRule="auto"/>
              <w:rPr>
                <w:rFonts w:ascii="宋体" w:hAnsi="宋体"/>
                <w:sz w:val="24"/>
              </w:rPr>
            </w:pPr>
          </w:p>
          <w:p>
            <w:pPr>
              <w:spacing w:line="360" w:lineRule="auto"/>
              <w:rPr>
                <w:rFonts w:ascii="宋体" w:hAnsi="宋体"/>
                <w:sz w:val="24"/>
              </w:rPr>
            </w:pPr>
            <w:r>
              <w:rPr>
                <w:rFonts w:hint="eastAsia" w:ascii="宋体" w:hAnsi="宋体"/>
                <w:sz w:val="24"/>
              </w:rPr>
              <w:t>审核人：__________________</w:t>
            </w:r>
          </w:p>
          <w:p>
            <w:pPr>
              <w:spacing w:line="360" w:lineRule="auto"/>
              <w:rPr>
                <w:rFonts w:ascii="宋体" w:hAnsi="宋体"/>
                <w:sz w:val="24"/>
              </w:rPr>
            </w:pPr>
            <w:r>
              <w:rPr>
                <w:rFonts w:hint="eastAsia" w:ascii="宋体" w:hAnsi="宋体"/>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3" w:hRule="atLeast"/>
        </w:trPr>
        <w:tc>
          <w:tcPr>
            <w:tcW w:w="1905" w:type="dxa"/>
            <w:tcBorders>
              <w:left w:val="single" w:color="auto" w:sz="12" w:space="0"/>
            </w:tcBorders>
            <w:vAlign w:val="center"/>
          </w:tcPr>
          <w:p>
            <w:pPr>
              <w:spacing w:line="360" w:lineRule="auto"/>
              <w:rPr>
                <w:rFonts w:ascii="宋体" w:hAnsi="宋体"/>
                <w:sz w:val="24"/>
              </w:rPr>
            </w:pPr>
            <w:r>
              <w:rPr>
                <w:rFonts w:hint="eastAsia" w:ascii="宋体" w:hAnsi="宋体"/>
                <w:sz w:val="24"/>
              </w:rPr>
              <w:t>主管（分管）</w:t>
            </w:r>
          </w:p>
          <w:p>
            <w:pPr>
              <w:spacing w:line="360" w:lineRule="auto"/>
              <w:rPr>
                <w:rFonts w:ascii="宋体" w:hAnsi="宋体"/>
                <w:sz w:val="24"/>
              </w:rPr>
            </w:pPr>
            <w:r>
              <w:rPr>
                <w:rFonts w:hint="eastAsia" w:ascii="宋体" w:hAnsi="宋体"/>
                <w:sz w:val="24"/>
              </w:rPr>
              <w:t>领导审批意见</w:t>
            </w:r>
          </w:p>
        </w:tc>
        <w:tc>
          <w:tcPr>
            <w:tcW w:w="7210" w:type="dxa"/>
            <w:gridSpan w:val="7"/>
            <w:tcBorders>
              <w:right w:val="single" w:color="auto" w:sz="12" w:space="0"/>
            </w:tcBorders>
            <w:vAlign w:val="center"/>
          </w:tcPr>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审批人：__________________</w:t>
            </w:r>
          </w:p>
          <w:p>
            <w:pPr>
              <w:spacing w:line="360" w:lineRule="auto"/>
              <w:ind w:firstLine="2880" w:firstLineChars="1200"/>
              <w:rPr>
                <w:rFonts w:ascii="宋体" w:hAnsi="宋体"/>
                <w:sz w:val="24"/>
              </w:rPr>
            </w:pPr>
            <w:r>
              <w:rPr>
                <w:rFonts w:hint="eastAsia" w:ascii="宋体" w:hAnsi="宋体"/>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trPr>
        <w:tc>
          <w:tcPr>
            <w:tcW w:w="1905" w:type="dxa"/>
            <w:tcBorders>
              <w:left w:val="single" w:color="auto" w:sz="12" w:space="0"/>
              <w:bottom w:val="single" w:color="auto" w:sz="12" w:space="0"/>
            </w:tcBorders>
            <w:vAlign w:val="center"/>
          </w:tcPr>
          <w:p>
            <w:pPr>
              <w:spacing w:line="360" w:lineRule="auto"/>
              <w:rPr>
                <w:rFonts w:ascii="宋体" w:hAnsi="宋体"/>
                <w:sz w:val="24"/>
              </w:rPr>
            </w:pPr>
            <w:r>
              <w:rPr>
                <w:rFonts w:hint="eastAsia" w:ascii="宋体" w:hAnsi="宋体"/>
                <w:sz w:val="24"/>
              </w:rPr>
              <w:t>信息校对人</w:t>
            </w:r>
          </w:p>
          <w:p>
            <w:pPr>
              <w:spacing w:line="360" w:lineRule="auto"/>
              <w:rPr>
                <w:rFonts w:ascii="宋体" w:hAnsi="宋体"/>
                <w:sz w:val="24"/>
              </w:rPr>
            </w:pPr>
            <w:r>
              <w:rPr>
                <w:rFonts w:hint="eastAsia" w:ascii="宋体" w:hAnsi="宋体"/>
                <w:sz w:val="24"/>
              </w:rPr>
              <w:t>签     名</w:t>
            </w:r>
          </w:p>
        </w:tc>
        <w:tc>
          <w:tcPr>
            <w:tcW w:w="2759" w:type="dxa"/>
            <w:gridSpan w:val="2"/>
            <w:tcBorders>
              <w:bottom w:val="single" w:color="auto" w:sz="12" w:space="0"/>
            </w:tcBorders>
            <w:vAlign w:val="center"/>
          </w:tcPr>
          <w:p>
            <w:pPr>
              <w:spacing w:line="360" w:lineRule="auto"/>
              <w:rPr>
                <w:rFonts w:ascii="宋体" w:hAnsi="宋体"/>
                <w:sz w:val="24"/>
              </w:rPr>
            </w:pPr>
          </w:p>
        </w:tc>
        <w:tc>
          <w:tcPr>
            <w:tcW w:w="1915" w:type="dxa"/>
            <w:gridSpan w:val="3"/>
            <w:tcBorders>
              <w:bottom w:val="single" w:color="auto" w:sz="12" w:space="0"/>
            </w:tcBorders>
            <w:vAlign w:val="center"/>
          </w:tcPr>
          <w:p>
            <w:pPr>
              <w:spacing w:line="360" w:lineRule="auto"/>
              <w:rPr>
                <w:rFonts w:ascii="宋体" w:hAnsi="宋体"/>
                <w:sz w:val="24"/>
              </w:rPr>
            </w:pPr>
            <w:r>
              <w:rPr>
                <w:rFonts w:hint="eastAsia" w:ascii="宋体" w:hAnsi="宋体"/>
                <w:sz w:val="24"/>
              </w:rPr>
              <w:t>发布人员</w:t>
            </w:r>
          </w:p>
          <w:p>
            <w:pPr>
              <w:spacing w:line="360" w:lineRule="auto"/>
              <w:rPr>
                <w:rFonts w:ascii="宋体" w:hAnsi="宋体"/>
                <w:sz w:val="24"/>
              </w:rPr>
            </w:pPr>
            <w:r>
              <w:rPr>
                <w:rFonts w:hint="eastAsia" w:ascii="宋体" w:hAnsi="宋体"/>
                <w:sz w:val="24"/>
              </w:rPr>
              <w:t>签    名</w:t>
            </w:r>
          </w:p>
        </w:tc>
        <w:tc>
          <w:tcPr>
            <w:tcW w:w="2536" w:type="dxa"/>
            <w:gridSpan w:val="2"/>
            <w:tcBorders>
              <w:bottom w:val="single" w:color="auto" w:sz="12" w:space="0"/>
              <w:right w:val="single" w:color="auto" w:sz="12" w:space="0"/>
            </w:tcBorders>
            <w:vAlign w:val="center"/>
          </w:tcPr>
          <w:p>
            <w:pPr>
              <w:spacing w:line="360" w:lineRule="auto"/>
              <w:rPr>
                <w:rFonts w:ascii="宋体" w:hAnsi="宋体"/>
                <w:sz w:val="24"/>
              </w:rPr>
            </w:pPr>
          </w:p>
        </w:tc>
      </w:tr>
    </w:tbl>
    <w:p>
      <w:pPr>
        <w:spacing w:line="360" w:lineRule="auto"/>
        <w:ind w:left="-161" w:leftChars="-67" w:firstLine="140" w:firstLineChars="50"/>
        <w:rPr>
          <w:rFonts w:asciiTheme="minorEastAsia" w:hAnsiTheme="minorEastAsia"/>
          <w:sz w:val="28"/>
          <w:szCs w:val="28"/>
        </w:rPr>
      </w:pPr>
    </w:p>
    <w:p>
      <w:pPr>
        <w:pStyle w:val="3"/>
      </w:pPr>
      <w:bookmarkStart w:id="4" w:name="_Toc48721177"/>
      <w:bookmarkStart w:id="5" w:name="_Toc41817547"/>
      <w:r>
        <w:rPr>
          <w:rFonts w:hint="eastAsia"/>
        </w:rPr>
        <w:t>3　应急通讯录</w:t>
      </w:r>
      <w:bookmarkEnd w:id="4"/>
      <w:bookmarkEnd w:id="5"/>
    </w:p>
    <w:tbl>
      <w:tblPr>
        <w:tblStyle w:val="8"/>
        <w:tblW w:w="8237" w:type="dxa"/>
        <w:tblInd w:w="93" w:type="dxa"/>
        <w:tblLayout w:type="autofit"/>
        <w:tblCellMar>
          <w:top w:w="0" w:type="dxa"/>
          <w:left w:w="108" w:type="dxa"/>
          <w:bottom w:w="0" w:type="dxa"/>
          <w:right w:w="108" w:type="dxa"/>
        </w:tblCellMar>
      </w:tblPr>
      <w:tblGrid>
        <w:gridCol w:w="540"/>
        <w:gridCol w:w="980"/>
        <w:gridCol w:w="980"/>
        <w:gridCol w:w="1626"/>
        <w:gridCol w:w="456"/>
        <w:gridCol w:w="980"/>
        <w:gridCol w:w="980"/>
        <w:gridCol w:w="1717"/>
      </w:tblGrid>
      <w:tr>
        <w:tblPrEx>
          <w:tblCellMar>
            <w:top w:w="0" w:type="dxa"/>
            <w:left w:w="108" w:type="dxa"/>
            <w:bottom w:w="0" w:type="dxa"/>
            <w:right w:w="108" w:type="dxa"/>
          </w:tblCellMar>
        </w:tblPrEx>
        <w:trPr>
          <w:trHeight w:val="408" w:hRule="atLeast"/>
        </w:trPr>
        <w:tc>
          <w:tcPr>
            <w:tcW w:w="54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98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98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职务</w:t>
            </w:r>
          </w:p>
        </w:tc>
        <w:tc>
          <w:tcPr>
            <w:tcW w:w="162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98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98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职务</w:t>
            </w:r>
          </w:p>
        </w:tc>
        <w:tc>
          <w:tcPr>
            <w:tcW w:w="17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38</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41</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44</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34" w:type="dxa"/>
            <w:tcBorders>
              <w:top w:val="nil"/>
              <w:left w:val="nil"/>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45</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08" w:hRule="atLeast"/>
        </w:trPr>
        <w:tc>
          <w:tcPr>
            <w:tcW w:w="540" w:type="dxa"/>
            <w:tcBorders>
              <w:top w:val="nil"/>
              <w:left w:val="single" w:color="auto" w:sz="4" w:space="0"/>
              <w:bottom w:val="single" w:color="auto" w:sz="4" w:space="0"/>
              <w:right w:val="single" w:color="auto" w:sz="4" w:space="0"/>
            </w:tcBorders>
            <w:noWrap/>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626"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34"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80"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717" w:type="dxa"/>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pPr>
        <w:rPr>
          <w:rFonts w:ascii="Times New Roman" w:hAnsi="Times New Roman" w:eastAsia="宋体" w:cs="Times New Roman"/>
          <w:szCs w:val="24"/>
        </w:rPr>
      </w:pPr>
    </w:p>
    <w:p>
      <w:pPr>
        <w:spacing w:line="360" w:lineRule="auto"/>
        <w:ind w:left="-161" w:leftChars="-67" w:firstLine="140" w:firstLineChars="50"/>
        <w:rPr>
          <w:rFonts w:asciiTheme="minorEastAsia" w:hAnsiTheme="minorEastAsia"/>
          <w:sz w:val="28"/>
          <w:szCs w:val="28"/>
        </w:rPr>
      </w:pPr>
    </w:p>
    <w:p>
      <w:pPr>
        <w:rPr>
          <w:rFonts w:hint="eastAsia"/>
          <w:lang w:eastAsia="zh-CN"/>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zOGI1OGEzYzc2OGFjMTEzMjdmZjlhYzk1MDM4YzEifQ=="/>
  </w:docVars>
  <w:rsids>
    <w:rsidRoot w:val="00000000"/>
    <w:rsid w:val="032020AF"/>
    <w:rsid w:val="423B27FF"/>
    <w:rsid w:val="7DA70C9A"/>
    <w:rsid w:val="7F6A5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style>
  <w:style w:type="paragraph" w:styleId="7">
    <w:name w:val="toc 2"/>
    <w:basedOn w:val="1"/>
    <w:next w:val="1"/>
    <w:unhideWhenUsed/>
    <w:qFormat/>
    <w:uiPriority w:val="39"/>
    <w:pPr>
      <w:ind w:left="420" w:leftChars="200"/>
    </w:pPr>
  </w:style>
  <w:style w:type="character" w:styleId="10">
    <w:name w:val="Hyperlink"/>
    <w:basedOn w:val="9"/>
    <w:unhideWhenUsed/>
    <w:qFormat/>
    <w:uiPriority w:val="99"/>
    <w:rPr>
      <w:color w:val="0563C1" w:themeColor="hyperlink"/>
      <w:u w:val="single"/>
      <w14:textFill>
        <w14:solidFill>
          <w14:schemeClr w14:val="hlink"/>
        </w14:solidFill>
      </w14:textFill>
    </w:rPr>
  </w:style>
  <w:style w:type="paragraph" w:customStyle="1" w:styleId="11">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孙家伟</cp:lastModifiedBy>
  <dcterms:modified xsi:type="dcterms:W3CDTF">2023-12-06T01:01:43Z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ECEC55A513A341CC939F208FE96ECEE8_13</vt:lpwstr>
  </property>
</Properties>
</file>