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4C4">
      <w:pPr>
        <w:ind w:left="0" w:leftChars="0" w:firstLine="0" w:firstLineChars="0"/>
        <w:jc w:val="center"/>
        <w:rPr>
          <w:rFonts w:ascii="Times New Roman" w:hAnsi="Times New Roman" w:eastAsia="华文中宋" w:cs="Times New Roman"/>
          <w:b/>
          <w:bCs/>
          <w:sz w:val="48"/>
          <w:szCs w:val="48"/>
        </w:rPr>
      </w:pPr>
      <w:r>
        <w:drawing>
          <wp:inline distT="0" distB="0" distL="114300" distR="114300">
            <wp:extent cx="4419600" cy="497205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1"/>
                    <a:stretch>
                      <a:fillRect/>
                    </a:stretch>
                  </pic:blipFill>
                  <pic:spPr>
                    <a:xfrm>
                      <a:off x="0" y="0"/>
                      <a:ext cx="4419600" cy="4972050"/>
                    </a:xfrm>
                    <a:prstGeom prst="rect">
                      <a:avLst/>
                    </a:prstGeom>
                    <a:noFill/>
                    <a:ln>
                      <a:noFill/>
                    </a:ln>
                  </pic:spPr>
                </pic:pic>
              </a:graphicData>
            </a:graphic>
          </wp:inline>
        </w:drawing>
      </w:r>
    </w:p>
    <w:p w14:paraId="1C154CE6">
      <w:pPr>
        <w:ind w:left="0" w:leftChars="0" w:firstLine="0" w:firstLineChars="0"/>
        <w:jc w:val="center"/>
        <w:rPr>
          <w:rFonts w:ascii="Times New Roman" w:hAnsi="Times New Roman" w:eastAsia="华文中宋" w:cs="Times New Roman"/>
          <w:b/>
          <w:bCs/>
          <w:sz w:val="48"/>
          <w:szCs w:val="48"/>
        </w:rPr>
      </w:pPr>
    </w:p>
    <w:p w14:paraId="5AC936F3">
      <w:pPr>
        <w:ind w:left="0" w:leftChars="0" w:firstLine="0" w:firstLineChars="0"/>
        <w:jc w:val="center"/>
        <w:rPr>
          <w:rFonts w:ascii="Times New Roman" w:hAnsi="Times New Roman" w:eastAsia="华文中宋" w:cs="Times New Roman"/>
          <w:b/>
          <w:bCs/>
          <w:sz w:val="48"/>
          <w:szCs w:val="48"/>
        </w:rPr>
      </w:pPr>
    </w:p>
    <w:p w14:paraId="26803DA0">
      <w:pPr>
        <w:ind w:left="0" w:leftChars="0" w:firstLine="0" w:firstLineChars="0"/>
        <w:jc w:val="center"/>
        <w:rPr>
          <w:rFonts w:ascii="Times New Roman" w:hAnsi="Times New Roman" w:eastAsia="华文中宋" w:cs="Times New Roman"/>
          <w:b/>
          <w:bCs/>
          <w:sz w:val="48"/>
          <w:szCs w:val="48"/>
        </w:rPr>
      </w:pPr>
    </w:p>
    <w:p w14:paraId="1FD16B28">
      <w:pPr>
        <w:ind w:left="0" w:leftChars="0" w:firstLine="0" w:firstLineChars="0"/>
        <w:jc w:val="center"/>
        <w:rPr>
          <w:rFonts w:ascii="Times New Roman" w:hAnsi="Times New Roman" w:eastAsia="华文中宋" w:cs="Times New Roman"/>
          <w:b/>
          <w:bCs/>
          <w:sz w:val="48"/>
          <w:szCs w:val="48"/>
        </w:rPr>
      </w:pPr>
    </w:p>
    <w:p w14:paraId="5BCE5C07">
      <w:pPr>
        <w:ind w:left="0" w:leftChars="0" w:firstLine="0" w:firstLineChars="0"/>
        <w:jc w:val="center"/>
        <w:rPr>
          <w:rFonts w:hint="eastAsia" w:ascii="方正小标宋简体" w:hAnsi="方正小标宋简体" w:eastAsia="方正小标宋简体" w:cs="方正小标宋简体"/>
          <w:b w:val="0"/>
          <w:bCs w:val="0"/>
          <w:sz w:val="48"/>
          <w:szCs w:val="48"/>
        </w:rPr>
      </w:pPr>
      <w:r>
        <w:rPr>
          <w:rFonts w:hint="eastAsia" w:ascii="方正小标宋简体" w:hAnsi="方正小标宋简体" w:eastAsia="方正小标宋简体" w:cs="方正小标宋简体"/>
          <w:b w:val="0"/>
          <w:bCs w:val="0"/>
          <w:sz w:val="48"/>
          <w:szCs w:val="48"/>
          <w:lang w:val="en-US" w:eastAsia="zh-CN"/>
        </w:rPr>
        <w:t>富锦市</w:t>
      </w:r>
      <w:r>
        <w:rPr>
          <w:rFonts w:hint="eastAsia" w:ascii="方正小标宋简体" w:hAnsi="方正小标宋简体" w:eastAsia="方正小标宋简体" w:cs="方正小标宋简体"/>
          <w:b w:val="0"/>
          <w:bCs w:val="0"/>
          <w:sz w:val="48"/>
          <w:szCs w:val="48"/>
        </w:rPr>
        <w:t>国民经济和社会发展第十</w:t>
      </w:r>
      <w:r>
        <w:rPr>
          <w:rFonts w:hint="eastAsia" w:ascii="方正小标宋简体" w:hAnsi="方正小标宋简体" w:eastAsia="方正小标宋简体" w:cs="方正小标宋简体"/>
          <w:b w:val="0"/>
          <w:bCs w:val="0"/>
          <w:sz w:val="48"/>
          <w:szCs w:val="48"/>
          <w:lang w:val="en-US" w:eastAsia="zh-CN"/>
        </w:rPr>
        <w:t>五</w:t>
      </w:r>
      <w:r>
        <w:rPr>
          <w:rFonts w:hint="eastAsia" w:ascii="方正小标宋简体" w:hAnsi="方正小标宋简体" w:eastAsia="方正小标宋简体" w:cs="方正小标宋简体"/>
          <w:b w:val="0"/>
          <w:bCs w:val="0"/>
          <w:sz w:val="48"/>
          <w:szCs w:val="48"/>
        </w:rPr>
        <w:t>个</w:t>
      </w:r>
    </w:p>
    <w:p w14:paraId="61442798">
      <w:pPr>
        <w:ind w:left="0" w:leftChars="0" w:firstLine="0" w:firstLineChars="0"/>
        <w:jc w:val="center"/>
        <w:rPr>
          <w:rFonts w:hint="eastAsia" w:ascii="方正小标宋简体" w:hAnsi="方正小标宋简体" w:eastAsia="方正小标宋简体" w:cs="方正小标宋简体"/>
          <w:b w:val="0"/>
          <w:bCs w:val="0"/>
          <w:sz w:val="48"/>
          <w:szCs w:val="48"/>
        </w:rPr>
      </w:pPr>
      <w:r>
        <w:rPr>
          <w:rFonts w:hint="eastAsia" w:ascii="方正小标宋简体" w:hAnsi="方正小标宋简体" w:eastAsia="方正小标宋简体" w:cs="方正小标宋简体"/>
          <w:b w:val="0"/>
          <w:bCs w:val="0"/>
          <w:sz w:val="48"/>
          <w:szCs w:val="48"/>
        </w:rPr>
        <w:t>五年规划纲要</w:t>
      </w:r>
    </w:p>
    <w:p w14:paraId="2FA26F35">
      <w:pPr>
        <w:spacing w:line="533" w:lineRule="atLeast"/>
        <w:ind w:left="0" w:leftChars="0" w:firstLine="0" w:firstLineChars="0"/>
        <w:jc w:val="center"/>
        <w:rPr>
          <w:rFonts w:hint="eastAsia" w:ascii="方正小标宋简体" w:hAnsi="方正小标宋简体" w:eastAsia="方正小标宋简体" w:cs="方正小标宋简体"/>
          <w:kern w:val="0"/>
          <w:sz w:val="27"/>
          <w:szCs w:val="27"/>
        </w:rPr>
      </w:pPr>
      <w:r>
        <w:rPr>
          <w:rFonts w:hint="eastAsia" w:ascii="方正小标宋简体" w:hAnsi="方正小标宋简体" w:eastAsia="方正小标宋简体" w:cs="方正小标宋简体"/>
          <w:kern w:val="0"/>
          <w:sz w:val="48"/>
          <w:szCs w:val="48"/>
        </w:rPr>
        <w:t>（202</w:t>
      </w:r>
      <w:r>
        <w:rPr>
          <w:rFonts w:hint="eastAsia" w:ascii="方正小标宋简体" w:hAnsi="方正小标宋简体" w:eastAsia="方正小标宋简体" w:cs="方正小标宋简体"/>
          <w:kern w:val="0"/>
          <w:sz w:val="48"/>
          <w:szCs w:val="48"/>
          <w:lang w:val="en-US" w:eastAsia="zh-CN"/>
        </w:rPr>
        <w:t>6</w:t>
      </w:r>
      <w:r>
        <w:rPr>
          <w:rFonts w:hint="eastAsia" w:ascii="方正小标宋简体" w:hAnsi="方正小标宋简体" w:eastAsia="方正小标宋简体" w:cs="方正小标宋简体"/>
          <w:kern w:val="0"/>
          <w:sz w:val="48"/>
          <w:szCs w:val="48"/>
        </w:rPr>
        <w:t>—20</w:t>
      </w:r>
      <w:r>
        <w:rPr>
          <w:rFonts w:hint="eastAsia" w:ascii="方正小标宋简体" w:hAnsi="方正小标宋简体" w:eastAsia="方正小标宋简体" w:cs="方正小标宋简体"/>
          <w:kern w:val="0"/>
          <w:sz w:val="48"/>
          <w:szCs w:val="48"/>
          <w:lang w:val="en-US" w:eastAsia="zh-CN"/>
        </w:rPr>
        <w:t>30</w:t>
      </w:r>
      <w:r>
        <w:rPr>
          <w:rFonts w:hint="eastAsia" w:ascii="方正小标宋简体" w:hAnsi="方正小标宋简体" w:eastAsia="方正小标宋简体" w:cs="方正小标宋简体"/>
          <w:kern w:val="0"/>
          <w:sz w:val="48"/>
          <w:szCs w:val="48"/>
        </w:rPr>
        <w:t>年）</w:t>
      </w:r>
    </w:p>
    <w:p w14:paraId="7B745BBF">
      <w:pPr>
        <w:ind w:left="0" w:leftChars="0" w:firstLine="0" w:firstLineChars="0"/>
        <w:jc w:val="center"/>
        <w:rPr>
          <w:rFonts w:hint="eastAsia" w:ascii="方正小标宋简体" w:hAnsi="方正小标宋简体" w:eastAsia="方正小标宋简体" w:cs="方正小标宋简体"/>
          <w:b/>
          <w:bCs/>
          <w:sz w:val="48"/>
          <w:szCs w:val="48"/>
        </w:rPr>
      </w:pPr>
    </w:p>
    <w:p w14:paraId="3C7F3110">
      <w:pPr>
        <w:ind w:left="0" w:leftChars="0" w:firstLine="0" w:firstLineChars="0"/>
        <w:jc w:val="center"/>
        <w:rPr>
          <w:rFonts w:ascii="Times New Roman" w:hAnsi="Times New Roman" w:eastAsia="华文中宋" w:cs="Times New Roman"/>
          <w:b/>
          <w:bCs/>
          <w:sz w:val="30"/>
          <w:szCs w:val="30"/>
        </w:rPr>
      </w:pPr>
    </w:p>
    <w:p w14:paraId="294D7448">
      <w:pPr>
        <w:ind w:left="0" w:leftChars="0" w:firstLine="0" w:firstLineChars="0"/>
        <w:jc w:val="center"/>
        <w:rPr>
          <w:rFonts w:ascii="Times New Roman" w:hAnsi="Times New Roman" w:eastAsia="华文中宋" w:cs="Times New Roman"/>
          <w:b/>
          <w:bCs/>
          <w:sz w:val="30"/>
          <w:szCs w:val="30"/>
        </w:rPr>
      </w:pPr>
    </w:p>
    <w:p w14:paraId="730CE17A">
      <w:pPr>
        <w:ind w:left="0" w:leftChars="0" w:firstLine="0" w:firstLineChars="0"/>
        <w:jc w:val="both"/>
        <w:rPr>
          <w:rFonts w:ascii="Times New Roman" w:hAnsi="Times New Roman" w:eastAsia="华文中宋" w:cs="Times New Roman"/>
          <w:b/>
          <w:bCs/>
          <w:sz w:val="30"/>
          <w:szCs w:val="30"/>
        </w:rPr>
      </w:pPr>
    </w:p>
    <w:p w14:paraId="27F9A409">
      <w:pPr>
        <w:ind w:left="0" w:leftChars="0" w:firstLine="0" w:firstLineChars="0"/>
        <w:jc w:val="center"/>
        <w:rPr>
          <w:rFonts w:ascii="Times New Roman" w:hAnsi="Times New Roman" w:eastAsia="华文中宋" w:cs="Times New Roman"/>
          <w:b/>
          <w:bCs/>
          <w:sz w:val="30"/>
          <w:szCs w:val="30"/>
        </w:rPr>
      </w:pPr>
    </w:p>
    <w:p w14:paraId="49E06DC8">
      <w:pPr>
        <w:ind w:left="0" w:leftChars="0" w:firstLine="0" w:firstLineChars="0"/>
        <w:jc w:val="center"/>
        <w:rPr>
          <w:rFonts w:ascii="Times New Roman" w:hAnsi="Times New Roman" w:eastAsia="华文中宋" w:cs="Times New Roman"/>
          <w:b/>
          <w:bCs/>
          <w:sz w:val="30"/>
          <w:szCs w:val="30"/>
        </w:rPr>
      </w:pPr>
    </w:p>
    <w:p w14:paraId="0250477E">
      <w:pPr>
        <w:ind w:left="0" w:leftChars="0" w:firstLine="0" w:firstLineChars="0"/>
        <w:jc w:val="both"/>
        <w:rPr>
          <w:rFonts w:ascii="Times New Roman" w:hAnsi="Times New Roman" w:eastAsia="华文中宋" w:cs="Times New Roman"/>
          <w:b/>
          <w:bCs/>
          <w:sz w:val="30"/>
          <w:szCs w:val="30"/>
        </w:rPr>
      </w:pPr>
    </w:p>
    <w:p w14:paraId="25CA72FC">
      <w:pPr>
        <w:ind w:left="0" w:leftChars="0" w:firstLine="0" w:firstLineChars="0"/>
        <w:jc w:val="center"/>
        <w:rPr>
          <w:rFonts w:ascii="Times New Roman" w:hAnsi="Times New Roman" w:eastAsia="华文中宋" w:cs="Times New Roman"/>
          <w:b/>
          <w:bCs/>
          <w:sz w:val="30"/>
          <w:szCs w:val="30"/>
        </w:rPr>
      </w:pPr>
    </w:p>
    <w:p w14:paraId="054A6EAE">
      <w:pPr>
        <w:ind w:left="0" w:leftChars="0" w:firstLine="0" w:firstLineChars="0"/>
        <w:jc w:val="center"/>
        <w:rPr>
          <w:rFonts w:ascii="Times New Roman" w:hAnsi="Times New Roman" w:eastAsia="华文中宋" w:cs="Times New Roman"/>
          <w:b/>
          <w:bCs/>
          <w:sz w:val="30"/>
          <w:szCs w:val="30"/>
        </w:rPr>
      </w:pPr>
    </w:p>
    <w:p w14:paraId="1B9ABD75">
      <w:pPr>
        <w:ind w:left="0" w:leftChars="0" w:firstLine="0" w:firstLineChars="0"/>
        <w:jc w:val="center"/>
        <w:rPr>
          <w:rFonts w:ascii="Times New Roman" w:hAnsi="Times New Roman" w:eastAsia="华文中宋" w:cs="Times New Roman"/>
          <w:b/>
          <w:bCs/>
          <w:sz w:val="30"/>
          <w:szCs w:val="30"/>
        </w:rPr>
      </w:pPr>
    </w:p>
    <w:p w14:paraId="7107DF6F">
      <w:pPr>
        <w:ind w:left="0" w:leftChars="0" w:firstLine="0" w:firstLineChars="0"/>
        <w:jc w:val="center"/>
        <w:rPr>
          <w:rFonts w:ascii="Times New Roman" w:hAnsi="Times New Roman" w:eastAsia="华文中宋" w:cs="Times New Roman"/>
          <w:b/>
          <w:bCs/>
          <w:sz w:val="30"/>
          <w:szCs w:val="30"/>
        </w:rPr>
      </w:pPr>
    </w:p>
    <w:p w14:paraId="100B4A04">
      <w:pPr>
        <w:ind w:left="0" w:leftChars="0" w:firstLine="0" w:firstLineChars="0"/>
        <w:jc w:val="center"/>
        <w:rPr>
          <w:rFonts w:ascii="Times New Roman" w:hAnsi="Times New Roman" w:eastAsia="华文中宋" w:cs="Times New Roman"/>
          <w:b/>
          <w:bCs/>
          <w:sz w:val="30"/>
          <w:szCs w:val="30"/>
        </w:rPr>
      </w:pPr>
    </w:p>
    <w:p w14:paraId="73B104C9">
      <w:pPr>
        <w:ind w:left="0" w:leftChars="0" w:firstLine="0" w:firstLineChars="0"/>
        <w:jc w:val="center"/>
        <w:rPr>
          <w:rFonts w:ascii="Times New Roman" w:hAnsi="Times New Roman" w:eastAsia="华文中宋" w:cs="Times New Roman"/>
          <w:b/>
          <w:bCs/>
          <w:sz w:val="44"/>
          <w:szCs w:val="44"/>
        </w:rPr>
      </w:pPr>
      <w:r>
        <w:rPr>
          <w:rFonts w:ascii="Times New Roman" w:hAnsi="Times New Roman" w:eastAsia="华文中宋" w:cs="Times New Roman"/>
          <w:b/>
          <w:bCs/>
          <w:sz w:val="30"/>
          <w:szCs w:val="30"/>
        </w:rPr>
        <w:t>202</w:t>
      </w:r>
      <w:r>
        <w:rPr>
          <w:rFonts w:hint="eastAsia" w:ascii="Times New Roman" w:hAnsi="Times New Roman" w:eastAsia="华文中宋" w:cs="Times New Roman"/>
          <w:b/>
          <w:bCs/>
          <w:sz w:val="30"/>
          <w:szCs w:val="30"/>
          <w:lang w:val="en-US" w:eastAsia="zh-CN"/>
        </w:rPr>
        <w:t>6</w:t>
      </w:r>
      <w:r>
        <w:rPr>
          <w:rFonts w:hint="eastAsia" w:ascii="Times New Roman" w:hAnsi="Times New Roman" w:eastAsia="华文中宋" w:cs="华文中宋"/>
          <w:b/>
          <w:bCs/>
          <w:sz w:val="30"/>
          <w:szCs w:val="30"/>
        </w:rPr>
        <w:t>年</w:t>
      </w:r>
      <w:r>
        <w:rPr>
          <w:rFonts w:hint="eastAsia" w:ascii="Times New Roman" w:hAnsi="Times New Roman" w:eastAsia="华文中宋" w:cs="Times New Roman"/>
          <w:b/>
          <w:bCs/>
          <w:sz w:val="30"/>
          <w:szCs w:val="30"/>
          <w:lang w:val="en-US" w:eastAsia="zh-CN"/>
        </w:rPr>
        <w:t>7</w:t>
      </w:r>
      <w:r>
        <w:rPr>
          <w:rFonts w:hint="eastAsia" w:ascii="Times New Roman" w:hAnsi="Times New Roman" w:eastAsia="华文中宋" w:cs="华文中宋"/>
          <w:b/>
          <w:bCs/>
          <w:sz w:val="30"/>
          <w:szCs w:val="30"/>
        </w:rPr>
        <w:t>月</w:t>
      </w:r>
      <w:bookmarkStart w:id="106" w:name="_GoBack"/>
      <w:bookmarkEnd w:id="106"/>
    </w:p>
    <w:p w14:paraId="23149A6E">
      <w:pPr>
        <w:tabs>
          <w:tab w:val="left" w:pos="420"/>
          <w:tab w:val="left" w:pos="840"/>
          <w:tab w:val="left" w:pos="1260"/>
          <w:tab w:val="left" w:pos="1680"/>
          <w:tab w:val="left" w:pos="2100"/>
          <w:tab w:val="left" w:pos="2520"/>
          <w:tab w:val="left" w:pos="2940"/>
          <w:tab w:val="left" w:pos="3360"/>
          <w:tab w:val="left" w:pos="3780"/>
          <w:tab w:val="center" w:pos="4153"/>
          <w:tab w:val="left" w:pos="4200"/>
          <w:tab w:val="left" w:pos="5722"/>
        </w:tabs>
        <w:ind w:left="0" w:leftChars="0" w:firstLine="0" w:firstLineChars="0"/>
        <w:rPr>
          <w:rFonts w:ascii="Times New Roman" w:hAnsi="Times New Roman" w:eastAsia="华文中宋" w:cs="Times New Roman"/>
          <w:b/>
          <w:bCs/>
          <w:sz w:val="44"/>
          <w:szCs w:val="44"/>
        </w:rPr>
      </w:pPr>
    </w:p>
    <w:p w14:paraId="67746CEB">
      <w:pPr>
        <w:tabs>
          <w:tab w:val="center" w:pos="4153"/>
          <w:tab w:val="left" w:pos="5722"/>
        </w:tabs>
        <w:rPr>
          <w:rFonts w:ascii="Times New Roman" w:hAnsi="Times New Roman" w:eastAsia="华文中宋" w:cs="Times New Roman"/>
          <w:b/>
          <w:bCs/>
          <w:sz w:val="44"/>
          <w:szCs w:val="44"/>
        </w:rPr>
        <w:sectPr>
          <w:footerReference r:id="rId6" w:type="first"/>
          <w:footerReference r:id="rId5"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00DD30FA">
      <w:pPr>
        <w:keepNext w:val="0"/>
        <w:keepLines w:val="0"/>
        <w:pageBreakBefore w:val="0"/>
        <w:kinsoku/>
        <w:wordWrap/>
        <w:overflowPunct/>
        <w:topLinePunct w:val="0"/>
        <w:autoSpaceDE/>
        <w:autoSpaceDN/>
        <w:bidi w:val="0"/>
        <w:adjustRightInd/>
        <w:snapToGrid/>
        <w:spacing w:line="560" w:lineRule="exact"/>
        <w:ind w:left="0" w:leftChars="0" w:firstLine="0" w:firstLineChars="0"/>
        <w:jc w:val="center"/>
        <w:textAlignment w:val="auto"/>
        <w:rPr>
          <w:rFonts w:ascii="Times New Roman" w:hAnsi="Times New Roman" w:eastAsia="华文中宋" w:cs="Times New Roman"/>
          <w:b/>
          <w:bCs/>
          <w:sz w:val="44"/>
          <w:szCs w:val="44"/>
        </w:rPr>
      </w:pPr>
      <w:r>
        <w:rPr>
          <w:rFonts w:hint="eastAsia" w:ascii="Times New Roman" w:hAnsi="Times New Roman" w:eastAsia="华文中宋" w:cs="华文中宋"/>
          <w:b/>
          <w:bCs/>
          <w:sz w:val="44"/>
          <w:szCs w:val="44"/>
        </w:rPr>
        <w:t>目</w:t>
      </w:r>
      <w:r>
        <w:rPr>
          <w:rFonts w:ascii="Times New Roman" w:hAnsi="Times New Roman" w:eastAsia="华文中宋" w:cs="Times New Roman"/>
          <w:b/>
          <w:bCs/>
          <w:sz w:val="44"/>
          <w:szCs w:val="44"/>
        </w:rPr>
        <w:t xml:space="preserve">  </w:t>
      </w:r>
      <w:r>
        <w:rPr>
          <w:rFonts w:hint="eastAsia" w:ascii="Times New Roman" w:hAnsi="Times New Roman" w:eastAsia="华文中宋" w:cs="华文中宋"/>
          <w:b/>
          <w:bCs/>
          <w:sz w:val="44"/>
          <w:szCs w:val="44"/>
        </w:rPr>
        <w:t>录</w:t>
      </w:r>
    </w:p>
    <w:p w14:paraId="1742E90E">
      <w:pPr>
        <w:pStyle w:val="12"/>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 w:val="40"/>
          <w:szCs w:val="40"/>
          <w:lang w:val="en-US" w:eastAsia="zh-CN"/>
        </w:rPr>
        <w:fldChar w:fldCharType="begin"/>
      </w:r>
      <w:r>
        <w:rPr>
          <w:rFonts w:hint="eastAsia" w:ascii="仿宋" w:hAnsi="仿宋" w:eastAsia="仿宋" w:cs="仿宋"/>
          <w:sz w:val="40"/>
          <w:szCs w:val="40"/>
          <w:lang w:val="en-US" w:eastAsia="zh-CN"/>
        </w:rPr>
        <w:instrText xml:space="preserve">TOC \o "1-3" \h \u </w:instrText>
      </w:r>
      <w:r>
        <w:rPr>
          <w:rFonts w:hint="eastAsia" w:ascii="仿宋" w:hAnsi="仿宋" w:eastAsia="仿宋" w:cs="仿宋"/>
          <w:sz w:val="40"/>
          <w:szCs w:val="40"/>
          <w:lang w:val="en-US" w:eastAsia="zh-CN"/>
        </w:rPr>
        <w:fldChar w:fldCharType="separate"/>
      </w: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_Toc25704 </w:instrText>
      </w:r>
      <w:r>
        <w:rPr>
          <w:rFonts w:hint="eastAsia" w:ascii="仿宋" w:hAnsi="仿宋" w:eastAsia="仿宋" w:cs="仿宋"/>
          <w:szCs w:val="40"/>
          <w:lang w:val="en-US" w:eastAsia="zh-CN"/>
        </w:rPr>
        <w:fldChar w:fldCharType="separate"/>
      </w:r>
      <w:r>
        <w:rPr>
          <w:rFonts w:hint="eastAsia" w:ascii="华文中宋" w:hAnsi="华文中宋" w:eastAsia="华文中宋" w:cs="华文中宋"/>
          <w:szCs w:val="56"/>
        </w:rPr>
        <w:t>前  言</w:t>
      </w:r>
      <w:r>
        <w:tab/>
      </w:r>
      <w:r>
        <w:fldChar w:fldCharType="begin"/>
      </w:r>
      <w:r>
        <w:instrText xml:space="preserve"> PAGEREF _Toc25704 \h </w:instrText>
      </w:r>
      <w:r>
        <w:fldChar w:fldCharType="separate"/>
      </w:r>
      <w:r>
        <w:t>1</w:t>
      </w:r>
      <w:r>
        <w:fldChar w:fldCharType="end"/>
      </w:r>
      <w:r>
        <w:rPr>
          <w:rFonts w:hint="eastAsia" w:ascii="仿宋" w:hAnsi="仿宋" w:eastAsia="仿宋" w:cs="仿宋"/>
          <w:szCs w:val="40"/>
          <w:lang w:val="en-US" w:eastAsia="zh-CN"/>
        </w:rPr>
        <w:fldChar w:fldCharType="end"/>
      </w:r>
    </w:p>
    <w:p w14:paraId="07B984CC">
      <w:pPr>
        <w:pStyle w:val="12"/>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_Toc27289 </w:instrText>
      </w:r>
      <w:r>
        <w:rPr>
          <w:rFonts w:hint="eastAsia" w:ascii="仿宋" w:hAnsi="仿宋" w:eastAsia="仿宋" w:cs="仿宋"/>
          <w:szCs w:val="40"/>
          <w:lang w:val="en-US" w:eastAsia="zh-CN"/>
        </w:rPr>
        <w:fldChar w:fldCharType="separate"/>
      </w:r>
      <w:r>
        <w:rPr>
          <w:rFonts w:hint="eastAsia" w:ascii="黑体" w:hAnsi="黑体" w:eastAsia="黑体" w:cs="黑体"/>
          <w:szCs w:val="48"/>
          <w:lang w:val="en-US" w:eastAsia="zh-CN"/>
        </w:rPr>
        <w:t xml:space="preserve">第一章  </w:t>
      </w:r>
      <w:r>
        <w:rPr>
          <w:rFonts w:hint="eastAsia" w:ascii="黑体" w:hAnsi="黑体" w:cs="黑体"/>
          <w:szCs w:val="48"/>
          <w:lang w:val="en-US" w:eastAsia="zh-CN"/>
        </w:rPr>
        <w:t>“十五五”时期是全面建设社会主义现代化富锦的关键时期</w:t>
      </w:r>
      <w:r>
        <w:tab/>
      </w:r>
      <w:r>
        <w:fldChar w:fldCharType="begin"/>
      </w:r>
      <w:r>
        <w:instrText xml:space="preserve"> PAGEREF _Toc27289 \h </w:instrText>
      </w:r>
      <w:r>
        <w:fldChar w:fldCharType="separate"/>
      </w:r>
      <w:r>
        <w:t>2</w:t>
      </w:r>
      <w:r>
        <w:fldChar w:fldCharType="end"/>
      </w:r>
      <w:r>
        <w:rPr>
          <w:rFonts w:hint="eastAsia" w:ascii="仿宋" w:hAnsi="仿宋" w:eastAsia="仿宋" w:cs="仿宋"/>
          <w:szCs w:val="40"/>
          <w:lang w:val="en-US" w:eastAsia="zh-CN"/>
        </w:rPr>
        <w:fldChar w:fldCharType="end"/>
      </w:r>
    </w:p>
    <w:p w14:paraId="47C65F72">
      <w:pPr>
        <w:pStyle w:val="14"/>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_Toc29727 </w:instrText>
      </w:r>
      <w:r>
        <w:rPr>
          <w:rFonts w:hint="eastAsia" w:ascii="仿宋" w:hAnsi="仿宋" w:eastAsia="仿宋" w:cs="仿宋"/>
          <w:szCs w:val="40"/>
          <w:lang w:val="en-US" w:eastAsia="zh-CN"/>
        </w:rPr>
        <w:fldChar w:fldCharType="separate"/>
      </w:r>
      <w:r>
        <w:rPr>
          <w:rFonts w:hint="eastAsia"/>
        </w:rPr>
        <w:t>第一节</w:t>
      </w:r>
      <w:r>
        <w:rPr>
          <w:rFonts w:hint="eastAsia"/>
          <w:lang w:val="en-US" w:eastAsia="zh-CN"/>
        </w:rPr>
        <w:t xml:space="preserve">  </w:t>
      </w:r>
      <w:r>
        <w:rPr>
          <w:rFonts w:hint="eastAsia"/>
        </w:rPr>
        <w:t>“十四五”时期</w:t>
      </w:r>
      <w:r>
        <w:rPr>
          <w:rFonts w:hint="eastAsia"/>
          <w:lang w:val="en-US" w:eastAsia="zh-CN"/>
        </w:rPr>
        <w:t>经济社会发展取得新成就</w:t>
      </w:r>
      <w:r>
        <w:tab/>
      </w:r>
      <w:r>
        <w:fldChar w:fldCharType="begin"/>
      </w:r>
      <w:r>
        <w:instrText xml:space="preserve"> PAGEREF _Toc29727 \h </w:instrText>
      </w:r>
      <w:r>
        <w:fldChar w:fldCharType="separate"/>
      </w:r>
      <w:r>
        <w:t>2</w:t>
      </w:r>
      <w:r>
        <w:fldChar w:fldCharType="end"/>
      </w:r>
      <w:r>
        <w:rPr>
          <w:rFonts w:hint="eastAsia" w:ascii="仿宋" w:hAnsi="仿宋" w:eastAsia="仿宋" w:cs="仿宋"/>
          <w:szCs w:val="40"/>
          <w:lang w:val="en-US" w:eastAsia="zh-CN"/>
        </w:rPr>
        <w:fldChar w:fldCharType="end"/>
      </w:r>
    </w:p>
    <w:p w14:paraId="6CB6E20F">
      <w:pPr>
        <w:pStyle w:val="14"/>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_Toc15406 </w:instrText>
      </w:r>
      <w:r>
        <w:rPr>
          <w:rFonts w:hint="eastAsia" w:ascii="仿宋" w:hAnsi="仿宋" w:eastAsia="仿宋" w:cs="仿宋"/>
          <w:szCs w:val="40"/>
          <w:lang w:val="en-US" w:eastAsia="zh-CN"/>
        </w:rPr>
        <w:fldChar w:fldCharType="separate"/>
      </w:r>
      <w:r>
        <w:rPr>
          <w:rFonts w:hint="eastAsia"/>
          <w:lang w:val="en-US" w:eastAsia="zh-CN"/>
        </w:rPr>
        <w:t xml:space="preserve">第二节  </w:t>
      </w:r>
      <w:r>
        <w:rPr>
          <w:rFonts w:hint="eastAsia"/>
        </w:rPr>
        <w:t>“十五五”时期</w:t>
      </w:r>
      <w:r>
        <w:rPr>
          <w:rFonts w:hint="eastAsia"/>
          <w:lang w:val="en-US" w:eastAsia="zh-CN"/>
        </w:rPr>
        <w:t>在建设现代化富锦中的重要地位</w:t>
      </w:r>
      <w:r>
        <w:tab/>
      </w:r>
      <w:r>
        <w:fldChar w:fldCharType="begin"/>
      </w:r>
      <w:r>
        <w:instrText xml:space="preserve"> PAGEREF _Toc15406 \h </w:instrText>
      </w:r>
      <w:r>
        <w:fldChar w:fldCharType="separate"/>
      </w:r>
      <w:r>
        <w:t>13</w:t>
      </w:r>
      <w:r>
        <w:fldChar w:fldCharType="end"/>
      </w:r>
      <w:r>
        <w:rPr>
          <w:rFonts w:hint="eastAsia" w:ascii="仿宋" w:hAnsi="仿宋" w:eastAsia="仿宋" w:cs="仿宋"/>
          <w:szCs w:val="40"/>
          <w:lang w:val="en-US" w:eastAsia="zh-CN"/>
        </w:rPr>
        <w:fldChar w:fldCharType="end"/>
      </w:r>
    </w:p>
    <w:p w14:paraId="0DD94AF6">
      <w:pPr>
        <w:pStyle w:val="14"/>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_Toc19271 </w:instrText>
      </w:r>
      <w:r>
        <w:rPr>
          <w:rFonts w:hint="eastAsia" w:ascii="仿宋" w:hAnsi="仿宋" w:eastAsia="仿宋" w:cs="仿宋"/>
          <w:szCs w:val="40"/>
          <w:lang w:val="en-US" w:eastAsia="zh-CN"/>
        </w:rPr>
        <w:fldChar w:fldCharType="separate"/>
      </w:r>
      <w:r>
        <w:rPr>
          <w:rFonts w:hint="eastAsia" w:ascii="Calibri Light" w:hAnsi="Calibri Light" w:eastAsia="楷体_GB2312" w:cs="Calibri Light"/>
          <w:bCs/>
          <w:kern w:val="0"/>
          <w:szCs w:val="32"/>
          <w:lang w:val="en-US" w:eastAsia="zh-CN" w:bidi="ar-SA"/>
        </w:rPr>
        <w:t>第三节</w:t>
      </w:r>
      <w:r>
        <w:rPr>
          <w:rFonts w:hint="eastAsia" w:cs="Calibri Light"/>
          <w:bCs/>
          <w:kern w:val="0"/>
          <w:szCs w:val="32"/>
          <w:lang w:val="en-US" w:eastAsia="zh-CN" w:bidi="ar-SA"/>
        </w:rPr>
        <w:t xml:space="preserve">  </w:t>
      </w:r>
      <w:r>
        <w:rPr>
          <w:rFonts w:hint="eastAsia"/>
          <w:lang w:val="en-US" w:eastAsia="zh-CN"/>
        </w:rPr>
        <w:t>“十五五”时期发展环境面临深刻复杂变化</w:t>
      </w:r>
      <w:r>
        <w:tab/>
      </w:r>
      <w:r>
        <w:fldChar w:fldCharType="begin"/>
      </w:r>
      <w:r>
        <w:instrText xml:space="preserve"> PAGEREF _Toc19271 \h </w:instrText>
      </w:r>
      <w:r>
        <w:fldChar w:fldCharType="separate"/>
      </w:r>
      <w:r>
        <w:t>13</w:t>
      </w:r>
      <w:r>
        <w:fldChar w:fldCharType="end"/>
      </w:r>
      <w:r>
        <w:rPr>
          <w:rFonts w:hint="eastAsia" w:ascii="仿宋" w:hAnsi="仿宋" w:eastAsia="仿宋" w:cs="仿宋"/>
          <w:szCs w:val="40"/>
          <w:lang w:val="en-US" w:eastAsia="zh-CN"/>
        </w:rPr>
        <w:fldChar w:fldCharType="end"/>
      </w:r>
    </w:p>
    <w:p w14:paraId="5313371E">
      <w:pPr>
        <w:pStyle w:val="12"/>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_Toc26781 </w:instrText>
      </w:r>
      <w:r>
        <w:rPr>
          <w:rFonts w:hint="eastAsia" w:ascii="仿宋" w:hAnsi="仿宋" w:eastAsia="仿宋" w:cs="仿宋"/>
          <w:szCs w:val="40"/>
          <w:lang w:val="en-US" w:eastAsia="zh-CN"/>
        </w:rPr>
        <w:fldChar w:fldCharType="separate"/>
      </w:r>
      <w:r>
        <w:rPr>
          <w:rFonts w:hint="eastAsia" w:ascii="黑体" w:hAnsi="黑体" w:eastAsia="黑体" w:cs="黑体"/>
          <w:szCs w:val="48"/>
          <w:lang w:val="en-US" w:eastAsia="zh-CN"/>
        </w:rPr>
        <w:t>第二章  “十五五”时期经济社会发展的总体要求</w:t>
      </w:r>
      <w:r>
        <w:tab/>
      </w:r>
      <w:r>
        <w:fldChar w:fldCharType="begin"/>
      </w:r>
      <w:r>
        <w:instrText xml:space="preserve"> PAGEREF _Toc26781 \h </w:instrText>
      </w:r>
      <w:r>
        <w:fldChar w:fldCharType="separate"/>
      </w:r>
      <w:r>
        <w:t>17</w:t>
      </w:r>
      <w:r>
        <w:fldChar w:fldCharType="end"/>
      </w:r>
      <w:r>
        <w:rPr>
          <w:rFonts w:hint="eastAsia" w:ascii="仿宋" w:hAnsi="仿宋" w:eastAsia="仿宋" w:cs="仿宋"/>
          <w:szCs w:val="40"/>
          <w:lang w:val="en-US" w:eastAsia="zh-CN"/>
        </w:rPr>
        <w:fldChar w:fldCharType="end"/>
      </w:r>
    </w:p>
    <w:p w14:paraId="5CD6B1BD">
      <w:pPr>
        <w:pStyle w:val="14"/>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_Toc28522 </w:instrText>
      </w:r>
      <w:r>
        <w:rPr>
          <w:rFonts w:hint="eastAsia" w:ascii="仿宋" w:hAnsi="仿宋" w:eastAsia="仿宋" w:cs="仿宋"/>
          <w:szCs w:val="40"/>
          <w:lang w:val="en-US" w:eastAsia="zh-CN"/>
        </w:rPr>
        <w:fldChar w:fldCharType="separate"/>
      </w:r>
      <w:r>
        <w:rPr>
          <w:rFonts w:hint="eastAsia"/>
          <w:lang w:val="en-US" w:eastAsia="zh-CN"/>
        </w:rPr>
        <w:t>第一节  指导思想</w:t>
      </w:r>
      <w:r>
        <w:tab/>
      </w:r>
      <w:r>
        <w:fldChar w:fldCharType="begin"/>
      </w:r>
      <w:r>
        <w:instrText xml:space="preserve"> PAGEREF _Toc28522 \h </w:instrText>
      </w:r>
      <w:r>
        <w:fldChar w:fldCharType="separate"/>
      </w:r>
      <w:r>
        <w:t>17</w:t>
      </w:r>
      <w:r>
        <w:fldChar w:fldCharType="end"/>
      </w:r>
      <w:r>
        <w:rPr>
          <w:rFonts w:hint="eastAsia" w:ascii="仿宋" w:hAnsi="仿宋" w:eastAsia="仿宋" w:cs="仿宋"/>
          <w:szCs w:val="40"/>
          <w:lang w:val="en-US" w:eastAsia="zh-CN"/>
        </w:rPr>
        <w:fldChar w:fldCharType="end"/>
      </w:r>
    </w:p>
    <w:p w14:paraId="0B4789EA">
      <w:pPr>
        <w:pStyle w:val="14"/>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_Toc17028 </w:instrText>
      </w:r>
      <w:r>
        <w:rPr>
          <w:rFonts w:hint="eastAsia" w:ascii="仿宋" w:hAnsi="仿宋" w:eastAsia="仿宋" w:cs="仿宋"/>
          <w:szCs w:val="40"/>
          <w:lang w:val="en-US" w:eastAsia="zh-CN"/>
        </w:rPr>
        <w:fldChar w:fldCharType="separate"/>
      </w:r>
      <w:r>
        <w:rPr>
          <w:rFonts w:hint="eastAsia"/>
          <w:lang w:val="en-US" w:eastAsia="zh-CN"/>
        </w:rPr>
        <w:t>第二节  基本原则</w:t>
      </w:r>
      <w:r>
        <w:tab/>
      </w:r>
      <w:r>
        <w:fldChar w:fldCharType="begin"/>
      </w:r>
      <w:r>
        <w:instrText xml:space="preserve"> PAGEREF _Toc17028 \h </w:instrText>
      </w:r>
      <w:r>
        <w:fldChar w:fldCharType="separate"/>
      </w:r>
      <w:r>
        <w:t>17</w:t>
      </w:r>
      <w:r>
        <w:fldChar w:fldCharType="end"/>
      </w:r>
      <w:r>
        <w:rPr>
          <w:rFonts w:hint="eastAsia" w:ascii="仿宋" w:hAnsi="仿宋" w:eastAsia="仿宋" w:cs="仿宋"/>
          <w:szCs w:val="40"/>
          <w:lang w:val="en-US" w:eastAsia="zh-CN"/>
        </w:rPr>
        <w:fldChar w:fldCharType="end"/>
      </w:r>
    </w:p>
    <w:p w14:paraId="55AC5A84">
      <w:pPr>
        <w:pStyle w:val="14"/>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_Toc18152 </w:instrText>
      </w:r>
      <w:r>
        <w:rPr>
          <w:rFonts w:hint="eastAsia" w:ascii="仿宋" w:hAnsi="仿宋" w:eastAsia="仿宋" w:cs="仿宋"/>
          <w:szCs w:val="40"/>
          <w:lang w:val="en-US" w:eastAsia="zh-CN"/>
        </w:rPr>
        <w:fldChar w:fldCharType="separate"/>
      </w:r>
      <w:r>
        <w:rPr>
          <w:rFonts w:hint="eastAsia" w:ascii="Times New Roman" w:hAnsi="Times New Roman" w:eastAsia="楷体_GB2312" w:cs="楷体_GB2312"/>
          <w:lang w:val="en-US" w:eastAsia="zh-CN"/>
        </w:rPr>
        <w:t xml:space="preserve">第三节  </w:t>
      </w:r>
      <w:r>
        <w:rPr>
          <w:rFonts w:hint="eastAsia" w:ascii="Times New Roman" w:hAnsi="Times New Roman" w:cs="楷体_GB2312"/>
          <w:lang w:val="en-US" w:eastAsia="zh-CN"/>
        </w:rPr>
        <w:t>战略</w:t>
      </w:r>
      <w:r>
        <w:rPr>
          <w:rFonts w:hint="eastAsia" w:ascii="Times New Roman" w:hAnsi="Times New Roman" w:eastAsia="楷体_GB2312" w:cs="楷体_GB2312"/>
          <w:lang w:val="en-US" w:eastAsia="zh-CN"/>
        </w:rPr>
        <w:t>定位</w:t>
      </w:r>
      <w:r>
        <w:tab/>
      </w:r>
      <w:r>
        <w:fldChar w:fldCharType="begin"/>
      </w:r>
      <w:r>
        <w:instrText xml:space="preserve"> PAGEREF _Toc18152 \h </w:instrText>
      </w:r>
      <w:r>
        <w:fldChar w:fldCharType="separate"/>
      </w:r>
      <w:r>
        <w:t>19</w:t>
      </w:r>
      <w:r>
        <w:fldChar w:fldCharType="end"/>
      </w:r>
      <w:r>
        <w:rPr>
          <w:rFonts w:hint="eastAsia" w:ascii="仿宋" w:hAnsi="仿宋" w:eastAsia="仿宋" w:cs="仿宋"/>
          <w:szCs w:val="40"/>
          <w:lang w:val="en-US" w:eastAsia="zh-CN"/>
        </w:rPr>
        <w:fldChar w:fldCharType="end"/>
      </w:r>
    </w:p>
    <w:p w14:paraId="1383406A">
      <w:pPr>
        <w:pStyle w:val="14"/>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_Toc25622 </w:instrText>
      </w:r>
      <w:r>
        <w:rPr>
          <w:rFonts w:hint="eastAsia" w:ascii="仿宋" w:hAnsi="仿宋" w:eastAsia="仿宋" w:cs="仿宋"/>
          <w:szCs w:val="40"/>
          <w:lang w:val="en-US" w:eastAsia="zh-CN"/>
        </w:rPr>
        <w:fldChar w:fldCharType="separate"/>
      </w:r>
      <w:r>
        <w:rPr>
          <w:rFonts w:hint="eastAsia" w:ascii="Times New Roman" w:hAnsi="Times New Roman" w:eastAsia="楷体_GB2312" w:cs="楷体_GB2312"/>
          <w:lang w:val="en-US" w:eastAsia="zh-CN"/>
        </w:rPr>
        <w:t xml:space="preserve">第四节  </w:t>
      </w:r>
      <w:r>
        <w:rPr>
          <w:rFonts w:hint="eastAsia" w:ascii="Times New Roman" w:hAnsi="Times New Roman" w:cs="楷体_GB2312"/>
          <w:lang w:val="en-US" w:eastAsia="zh-CN"/>
        </w:rPr>
        <w:t>主要目标</w:t>
      </w:r>
      <w:r>
        <w:tab/>
      </w:r>
      <w:r>
        <w:fldChar w:fldCharType="begin"/>
      </w:r>
      <w:r>
        <w:instrText xml:space="preserve"> PAGEREF _Toc25622 \h </w:instrText>
      </w:r>
      <w:r>
        <w:fldChar w:fldCharType="separate"/>
      </w:r>
      <w:r>
        <w:t>20</w:t>
      </w:r>
      <w:r>
        <w:fldChar w:fldCharType="end"/>
      </w:r>
      <w:r>
        <w:rPr>
          <w:rFonts w:hint="eastAsia" w:ascii="仿宋" w:hAnsi="仿宋" w:eastAsia="仿宋" w:cs="仿宋"/>
          <w:szCs w:val="40"/>
          <w:lang w:val="en-US" w:eastAsia="zh-CN"/>
        </w:rPr>
        <w:fldChar w:fldCharType="end"/>
      </w:r>
    </w:p>
    <w:p w14:paraId="7492EBC7">
      <w:pPr>
        <w:pStyle w:val="12"/>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_Toc25389 </w:instrText>
      </w:r>
      <w:r>
        <w:rPr>
          <w:rFonts w:hint="eastAsia" w:ascii="仿宋" w:hAnsi="仿宋" w:eastAsia="仿宋" w:cs="仿宋"/>
          <w:szCs w:val="40"/>
          <w:lang w:val="en-US" w:eastAsia="zh-CN"/>
        </w:rPr>
        <w:fldChar w:fldCharType="separate"/>
      </w:r>
      <w:r>
        <w:rPr>
          <w:rFonts w:hint="eastAsia" w:ascii="黑体" w:hAnsi="黑体" w:eastAsia="黑体" w:cs="黑体"/>
          <w:szCs w:val="48"/>
          <w:lang w:val="en-US" w:eastAsia="zh-CN"/>
        </w:rPr>
        <w:t>第三章  加快农业农村现代化，奋力打造农业现代化示范新标杆</w:t>
      </w:r>
      <w:r>
        <w:tab/>
      </w:r>
      <w:r>
        <w:fldChar w:fldCharType="begin"/>
      </w:r>
      <w:r>
        <w:instrText xml:space="preserve"> PAGEREF _Toc25389 \h </w:instrText>
      </w:r>
      <w:r>
        <w:fldChar w:fldCharType="separate"/>
      </w:r>
      <w:r>
        <w:t>24</w:t>
      </w:r>
      <w:r>
        <w:fldChar w:fldCharType="end"/>
      </w:r>
      <w:r>
        <w:rPr>
          <w:rFonts w:hint="eastAsia" w:ascii="仿宋" w:hAnsi="仿宋" w:eastAsia="仿宋" w:cs="仿宋"/>
          <w:szCs w:val="40"/>
          <w:lang w:val="en-US" w:eastAsia="zh-CN"/>
        </w:rPr>
        <w:fldChar w:fldCharType="end"/>
      </w:r>
    </w:p>
    <w:p w14:paraId="4FB96911">
      <w:pPr>
        <w:pStyle w:val="14"/>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_Toc8433 </w:instrText>
      </w:r>
      <w:r>
        <w:rPr>
          <w:rFonts w:hint="eastAsia" w:ascii="仿宋" w:hAnsi="仿宋" w:eastAsia="仿宋" w:cs="仿宋"/>
          <w:szCs w:val="40"/>
          <w:lang w:val="en-US" w:eastAsia="zh-CN"/>
        </w:rPr>
        <w:fldChar w:fldCharType="separate"/>
      </w:r>
      <w:r>
        <w:rPr>
          <w:rFonts w:hint="eastAsia" w:ascii="Times New Roman" w:hAnsi="Times New Roman" w:eastAsia="楷体_GB2312" w:cs="楷体_GB2312"/>
          <w:lang w:val="en-US" w:eastAsia="zh-CN"/>
        </w:rPr>
        <w:t>第一节  提升质量</w:t>
      </w:r>
      <w:r>
        <w:rPr>
          <w:rFonts w:hint="eastAsia" w:ascii="Times New Roman" w:hAnsi="Times New Roman" w:cs="楷体_GB2312"/>
          <w:lang w:val="en-US" w:eastAsia="zh-CN"/>
        </w:rPr>
        <w:t>农业</w:t>
      </w:r>
      <w:r>
        <w:rPr>
          <w:rFonts w:hint="eastAsia" w:ascii="Times New Roman" w:hAnsi="Times New Roman" w:eastAsia="楷体_GB2312" w:cs="楷体_GB2312"/>
          <w:lang w:val="en-US" w:eastAsia="zh-CN"/>
        </w:rPr>
        <w:t>，筑牢“黑土粮仓”安全根基</w:t>
      </w:r>
      <w:r>
        <w:tab/>
      </w:r>
      <w:r>
        <w:fldChar w:fldCharType="begin"/>
      </w:r>
      <w:r>
        <w:instrText xml:space="preserve"> PAGEREF _Toc8433 \h </w:instrText>
      </w:r>
      <w:r>
        <w:fldChar w:fldCharType="separate"/>
      </w:r>
      <w:r>
        <w:t>24</w:t>
      </w:r>
      <w:r>
        <w:fldChar w:fldCharType="end"/>
      </w:r>
      <w:r>
        <w:rPr>
          <w:rFonts w:hint="eastAsia" w:ascii="仿宋" w:hAnsi="仿宋" w:eastAsia="仿宋" w:cs="仿宋"/>
          <w:szCs w:val="40"/>
          <w:lang w:val="en-US" w:eastAsia="zh-CN"/>
        </w:rPr>
        <w:fldChar w:fldCharType="end"/>
      </w:r>
    </w:p>
    <w:p w14:paraId="27CB76C0">
      <w:pPr>
        <w:pStyle w:val="14"/>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_Toc14782 </w:instrText>
      </w:r>
      <w:r>
        <w:rPr>
          <w:rFonts w:hint="eastAsia" w:ascii="仿宋" w:hAnsi="仿宋" w:eastAsia="仿宋" w:cs="仿宋"/>
          <w:szCs w:val="40"/>
          <w:lang w:val="en-US" w:eastAsia="zh-CN"/>
        </w:rPr>
        <w:fldChar w:fldCharType="separate"/>
      </w:r>
      <w:r>
        <w:rPr>
          <w:rFonts w:hint="eastAsia" w:ascii="Times New Roman" w:hAnsi="Times New Roman" w:eastAsia="楷体_GB2312" w:cs="楷体_GB2312"/>
          <w:lang w:val="en-US" w:eastAsia="zh-CN"/>
        </w:rPr>
        <w:t>第二节  强化科技</w:t>
      </w:r>
      <w:r>
        <w:rPr>
          <w:rFonts w:hint="eastAsia" w:ascii="Times New Roman" w:hAnsi="Times New Roman" w:cs="楷体_GB2312"/>
          <w:lang w:val="en-US" w:eastAsia="zh-CN"/>
        </w:rPr>
        <w:t>农业</w:t>
      </w:r>
      <w:r>
        <w:rPr>
          <w:rFonts w:hint="eastAsia" w:ascii="Times New Roman" w:hAnsi="Times New Roman" w:eastAsia="楷体_GB2312" w:cs="楷体_GB2312"/>
          <w:lang w:val="en-US" w:eastAsia="zh-CN"/>
        </w:rPr>
        <w:t>，打造“新质农业”创新样板</w:t>
      </w:r>
      <w:r>
        <w:tab/>
      </w:r>
      <w:r>
        <w:fldChar w:fldCharType="begin"/>
      </w:r>
      <w:r>
        <w:instrText xml:space="preserve"> PAGEREF _Toc14782 \h </w:instrText>
      </w:r>
      <w:r>
        <w:fldChar w:fldCharType="separate"/>
      </w:r>
      <w:r>
        <w:t>33</w:t>
      </w:r>
      <w:r>
        <w:fldChar w:fldCharType="end"/>
      </w:r>
      <w:r>
        <w:rPr>
          <w:rFonts w:hint="eastAsia" w:ascii="仿宋" w:hAnsi="仿宋" w:eastAsia="仿宋" w:cs="仿宋"/>
          <w:szCs w:val="40"/>
          <w:lang w:val="en-US" w:eastAsia="zh-CN"/>
        </w:rPr>
        <w:fldChar w:fldCharType="end"/>
      </w:r>
    </w:p>
    <w:p w14:paraId="54FA0176">
      <w:pPr>
        <w:pStyle w:val="14"/>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_Toc12151 </w:instrText>
      </w:r>
      <w:r>
        <w:rPr>
          <w:rFonts w:hint="eastAsia" w:ascii="仿宋" w:hAnsi="仿宋" w:eastAsia="仿宋" w:cs="仿宋"/>
          <w:szCs w:val="40"/>
          <w:lang w:val="en-US" w:eastAsia="zh-CN"/>
        </w:rPr>
        <w:fldChar w:fldCharType="separate"/>
      </w:r>
      <w:r>
        <w:rPr>
          <w:rFonts w:hint="eastAsia" w:ascii="Times New Roman" w:hAnsi="Times New Roman" w:eastAsia="楷体_GB2312" w:cs="楷体_GB2312"/>
          <w:lang w:val="en-US" w:eastAsia="zh-CN"/>
        </w:rPr>
        <w:t>第三节  发展绿色农业，构建“生态循环”示范体系</w:t>
      </w:r>
      <w:r>
        <w:tab/>
      </w:r>
      <w:r>
        <w:fldChar w:fldCharType="begin"/>
      </w:r>
      <w:r>
        <w:instrText xml:space="preserve"> PAGEREF _Toc12151 \h </w:instrText>
      </w:r>
      <w:r>
        <w:fldChar w:fldCharType="separate"/>
      </w:r>
      <w:r>
        <w:t>37</w:t>
      </w:r>
      <w:r>
        <w:fldChar w:fldCharType="end"/>
      </w:r>
      <w:r>
        <w:rPr>
          <w:rFonts w:hint="eastAsia" w:ascii="仿宋" w:hAnsi="仿宋" w:eastAsia="仿宋" w:cs="仿宋"/>
          <w:szCs w:val="40"/>
          <w:lang w:val="en-US" w:eastAsia="zh-CN"/>
        </w:rPr>
        <w:fldChar w:fldCharType="end"/>
      </w:r>
    </w:p>
    <w:p w14:paraId="73DCB048">
      <w:pPr>
        <w:pStyle w:val="14"/>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_Toc10910 </w:instrText>
      </w:r>
      <w:r>
        <w:rPr>
          <w:rFonts w:hint="eastAsia" w:ascii="仿宋" w:hAnsi="仿宋" w:eastAsia="仿宋" w:cs="仿宋"/>
          <w:szCs w:val="40"/>
          <w:lang w:val="en-US" w:eastAsia="zh-CN"/>
        </w:rPr>
        <w:fldChar w:fldCharType="separate"/>
      </w:r>
      <w:r>
        <w:rPr>
          <w:rFonts w:hint="eastAsia" w:ascii="Times New Roman" w:hAnsi="Times New Roman" w:eastAsia="楷体_GB2312" w:cs="楷体_GB2312"/>
          <w:lang w:val="en-US" w:eastAsia="zh-CN"/>
        </w:rPr>
        <w:t>第四节  建设品牌农业，塑造“黑土优品”价值高地</w:t>
      </w:r>
      <w:r>
        <w:tab/>
      </w:r>
      <w:r>
        <w:fldChar w:fldCharType="begin"/>
      </w:r>
      <w:r>
        <w:instrText xml:space="preserve"> PAGEREF _Toc10910 \h </w:instrText>
      </w:r>
      <w:r>
        <w:fldChar w:fldCharType="separate"/>
      </w:r>
      <w:r>
        <w:t>40</w:t>
      </w:r>
      <w:r>
        <w:fldChar w:fldCharType="end"/>
      </w:r>
      <w:r>
        <w:rPr>
          <w:rFonts w:hint="eastAsia" w:ascii="仿宋" w:hAnsi="仿宋" w:eastAsia="仿宋" w:cs="仿宋"/>
          <w:szCs w:val="40"/>
          <w:lang w:val="en-US" w:eastAsia="zh-CN"/>
        </w:rPr>
        <w:fldChar w:fldCharType="end"/>
      </w:r>
    </w:p>
    <w:p w14:paraId="7CB50A98">
      <w:pPr>
        <w:pStyle w:val="14"/>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_Toc3621 </w:instrText>
      </w:r>
      <w:r>
        <w:rPr>
          <w:rFonts w:hint="eastAsia" w:ascii="仿宋" w:hAnsi="仿宋" w:eastAsia="仿宋" w:cs="仿宋"/>
          <w:szCs w:val="40"/>
          <w:lang w:val="en-US" w:eastAsia="zh-CN"/>
        </w:rPr>
        <w:fldChar w:fldCharType="separate"/>
      </w:r>
      <w:r>
        <w:rPr>
          <w:rFonts w:hint="eastAsia" w:ascii="Times New Roman" w:hAnsi="Times New Roman" w:eastAsia="楷体_GB2312" w:cs="楷体_GB2312"/>
          <w:lang w:val="en-US" w:eastAsia="zh-CN"/>
        </w:rPr>
        <w:t>第五节  延伸产业链条，激活“接二连三”增值动能</w:t>
      </w:r>
      <w:r>
        <w:tab/>
      </w:r>
      <w:r>
        <w:fldChar w:fldCharType="begin"/>
      </w:r>
      <w:r>
        <w:instrText xml:space="preserve"> PAGEREF _Toc3621 \h </w:instrText>
      </w:r>
      <w:r>
        <w:fldChar w:fldCharType="separate"/>
      </w:r>
      <w:r>
        <w:t>42</w:t>
      </w:r>
      <w:r>
        <w:fldChar w:fldCharType="end"/>
      </w:r>
      <w:r>
        <w:rPr>
          <w:rFonts w:hint="eastAsia" w:ascii="仿宋" w:hAnsi="仿宋" w:eastAsia="仿宋" w:cs="仿宋"/>
          <w:szCs w:val="40"/>
          <w:lang w:val="en-US" w:eastAsia="zh-CN"/>
        </w:rPr>
        <w:fldChar w:fldCharType="end"/>
      </w:r>
    </w:p>
    <w:p w14:paraId="65E0D590">
      <w:pPr>
        <w:pStyle w:val="14"/>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_Toc26319 </w:instrText>
      </w:r>
      <w:r>
        <w:rPr>
          <w:rFonts w:hint="eastAsia" w:ascii="仿宋" w:hAnsi="仿宋" w:eastAsia="仿宋" w:cs="仿宋"/>
          <w:szCs w:val="40"/>
          <w:lang w:val="en-US" w:eastAsia="zh-CN"/>
        </w:rPr>
        <w:fldChar w:fldCharType="separate"/>
      </w:r>
      <w:r>
        <w:rPr>
          <w:rFonts w:hint="eastAsia" w:ascii="Times New Roman" w:hAnsi="Times New Roman" w:eastAsia="楷体_GB2312" w:cs="楷体_GB2312"/>
          <w:lang w:val="en-US" w:eastAsia="zh-CN"/>
        </w:rPr>
        <w:t>第六节  培育新型主体，健全“规模集约”经营体系</w:t>
      </w:r>
      <w:r>
        <w:tab/>
      </w:r>
      <w:r>
        <w:fldChar w:fldCharType="begin"/>
      </w:r>
      <w:r>
        <w:instrText xml:space="preserve"> PAGEREF _Toc26319 \h </w:instrText>
      </w:r>
      <w:r>
        <w:fldChar w:fldCharType="separate"/>
      </w:r>
      <w:r>
        <w:t>44</w:t>
      </w:r>
      <w:r>
        <w:fldChar w:fldCharType="end"/>
      </w:r>
      <w:r>
        <w:rPr>
          <w:rFonts w:hint="eastAsia" w:ascii="仿宋" w:hAnsi="仿宋" w:eastAsia="仿宋" w:cs="仿宋"/>
          <w:szCs w:val="40"/>
          <w:lang w:val="en-US" w:eastAsia="zh-CN"/>
        </w:rPr>
        <w:fldChar w:fldCharType="end"/>
      </w:r>
    </w:p>
    <w:p w14:paraId="652E0CCE">
      <w:pPr>
        <w:pStyle w:val="14"/>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_Toc3202 </w:instrText>
      </w:r>
      <w:r>
        <w:rPr>
          <w:rFonts w:hint="eastAsia" w:ascii="仿宋" w:hAnsi="仿宋" w:eastAsia="仿宋" w:cs="仿宋"/>
          <w:szCs w:val="40"/>
          <w:lang w:val="en-US" w:eastAsia="zh-CN"/>
        </w:rPr>
        <w:fldChar w:fldCharType="separate"/>
      </w:r>
      <w:r>
        <w:rPr>
          <w:rFonts w:hint="eastAsia" w:ascii="Times New Roman" w:hAnsi="Times New Roman" w:eastAsia="楷体_GB2312" w:cs="楷体_GB2312"/>
        </w:rPr>
        <w:t>第</w:t>
      </w:r>
      <w:r>
        <w:rPr>
          <w:rFonts w:hint="eastAsia" w:ascii="Times New Roman" w:hAnsi="Times New Roman" w:cs="楷体_GB2312"/>
          <w:lang w:val="en-US" w:eastAsia="zh-CN"/>
        </w:rPr>
        <w:t>七</w:t>
      </w:r>
      <w:r>
        <w:rPr>
          <w:rFonts w:hint="eastAsia" w:ascii="Times New Roman" w:hAnsi="Times New Roman" w:eastAsia="楷体_GB2312" w:cs="楷体_GB2312"/>
        </w:rPr>
        <w:t xml:space="preserve">节  </w:t>
      </w:r>
      <w:r>
        <w:rPr>
          <w:rFonts w:hint="eastAsia" w:ascii="Times New Roman" w:hAnsi="Times New Roman" w:eastAsia="楷体_GB2312" w:cs="楷体_GB2312"/>
          <w:lang w:val="en-US" w:eastAsia="zh-CN"/>
        </w:rPr>
        <w:t>高质量推进宜居宜业和美乡村建设</w:t>
      </w:r>
      <w:r>
        <w:tab/>
      </w:r>
      <w:r>
        <w:fldChar w:fldCharType="begin"/>
      </w:r>
      <w:r>
        <w:instrText xml:space="preserve"> PAGEREF _Toc3202 \h </w:instrText>
      </w:r>
      <w:r>
        <w:fldChar w:fldCharType="separate"/>
      </w:r>
      <w:r>
        <w:t>46</w:t>
      </w:r>
      <w:r>
        <w:fldChar w:fldCharType="end"/>
      </w:r>
      <w:r>
        <w:rPr>
          <w:rFonts w:hint="eastAsia" w:ascii="仿宋" w:hAnsi="仿宋" w:eastAsia="仿宋" w:cs="仿宋"/>
          <w:szCs w:val="40"/>
          <w:lang w:val="en-US" w:eastAsia="zh-CN"/>
        </w:rPr>
        <w:fldChar w:fldCharType="end"/>
      </w:r>
    </w:p>
    <w:p w14:paraId="306FD52D">
      <w:pPr>
        <w:pStyle w:val="14"/>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_Toc8197 </w:instrText>
      </w:r>
      <w:r>
        <w:rPr>
          <w:rFonts w:hint="eastAsia" w:ascii="仿宋" w:hAnsi="仿宋" w:eastAsia="仿宋" w:cs="仿宋"/>
          <w:szCs w:val="40"/>
          <w:lang w:val="en-US" w:eastAsia="zh-CN"/>
        </w:rPr>
        <w:fldChar w:fldCharType="separate"/>
      </w:r>
      <w:r>
        <w:rPr>
          <w:rFonts w:hint="eastAsia"/>
        </w:rPr>
        <w:t>第</w:t>
      </w:r>
      <w:r>
        <w:rPr>
          <w:rFonts w:hint="eastAsia"/>
          <w:lang w:val="en-US" w:eastAsia="zh-CN"/>
        </w:rPr>
        <w:t>八</w:t>
      </w:r>
      <w:r>
        <w:rPr>
          <w:rFonts w:hint="eastAsia"/>
        </w:rPr>
        <w:t xml:space="preserve">节  </w:t>
      </w:r>
      <w:r>
        <w:rPr>
          <w:rFonts w:hint="eastAsia"/>
          <w:lang w:val="en-US" w:eastAsia="zh-CN"/>
        </w:rPr>
        <w:t>提高强农惠农富农政策效能</w:t>
      </w:r>
      <w:r>
        <w:tab/>
      </w:r>
      <w:r>
        <w:fldChar w:fldCharType="begin"/>
      </w:r>
      <w:r>
        <w:instrText xml:space="preserve"> PAGEREF _Toc8197 \h </w:instrText>
      </w:r>
      <w:r>
        <w:fldChar w:fldCharType="separate"/>
      </w:r>
      <w:r>
        <w:t>50</w:t>
      </w:r>
      <w:r>
        <w:fldChar w:fldCharType="end"/>
      </w:r>
      <w:r>
        <w:rPr>
          <w:rFonts w:hint="eastAsia" w:ascii="仿宋" w:hAnsi="仿宋" w:eastAsia="仿宋" w:cs="仿宋"/>
          <w:szCs w:val="40"/>
          <w:lang w:val="en-US" w:eastAsia="zh-CN"/>
        </w:rPr>
        <w:fldChar w:fldCharType="end"/>
      </w:r>
    </w:p>
    <w:p w14:paraId="71228835">
      <w:pPr>
        <w:pStyle w:val="12"/>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_Toc23702 </w:instrText>
      </w:r>
      <w:r>
        <w:rPr>
          <w:rFonts w:hint="eastAsia" w:ascii="仿宋" w:hAnsi="仿宋" w:eastAsia="仿宋" w:cs="仿宋"/>
          <w:szCs w:val="40"/>
          <w:lang w:val="en-US" w:eastAsia="zh-CN"/>
        </w:rPr>
        <w:fldChar w:fldCharType="separate"/>
      </w:r>
      <w:r>
        <w:rPr>
          <w:rFonts w:hint="eastAsia" w:ascii="黑体" w:hAnsi="黑体" w:eastAsia="黑体" w:cs="黑体"/>
          <w:szCs w:val="48"/>
          <w:lang w:val="en-US" w:eastAsia="zh-CN"/>
        </w:rPr>
        <w:t>第四章  巩固壮大实体经济根基，构建富锦特色现代化产业体系</w:t>
      </w:r>
      <w:r>
        <w:tab/>
      </w:r>
      <w:r>
        <w:fldChar w:fldCharType="begin"/>
      </w:r>
      <w:r>
        <w:instrText xml:space="preserve"> PAGEREF _Toc23702 \h </w:instrText>
      </w:r>
      <w:r>
        <w:fldChar w:fldCharType="separate"/>
      </w:r>
      <w:r>
        <w:t>53</w:t>
      </w:r>
      <w:r>
        <w:fldChar w:fldCharType="end"/>
      </w:r>
      <w:r>
        <w:rPr>
          <w:rFonts w:hint="eastAsia" w:ascii="仿宋" w:hAnsi="仿宋" w:eastAsia="仿宋" w:cs="仿宋"/>
          <w:szCs w:val="40"/>
          <w:lang w:val="en-US" w:eastAsia="zh-CN"/>
        </w:rPr>
        <w:fldChar w:fldCharType="end"/>
      </w:r>
    </w:p>
    <w:p w14:paraId="736E081F">
      <w:pPr>
        <w:pStyle w:val="14"/>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_Toc29379 </w:instrText>
      </w:r>
      <w:r>
        <w:rPr>
          <w:rFonts w:hint="eastAsia" w:ascii="仿宋" w:hAnsi="仿宋" w:eastAsia="仿宋" w:cs="仿宋"/>
          <w:szCs w:val="40"/>
          <w:lang w:val="en-US" w:eastAsia="zh-CN"/>
        </w:rPr>
        <w:fldChar w:fldCharType="separate"/>
      </w:r>
      <w:r>
        <w:rPr>
          <w:rFonts w:hint="eastAsia" w:ascii="楷体_GB2312" w:hAnsi="楷体_GB2312" w:eastAsia="楷体_GB2312" w:cs="楷体_GB2312"/>
          <w:shd w:val="clear" w:fill="auto"/>
        </w:rPr>
        <w:t>第一节  构建“3+3+3”现代化产业体系</w:t>
      </w:r>
      <w:r>
        <w:tab/>
      </w:r>
      <w:r>
        <w:fldChar w:fldCharType="begin"/>
      </w:r>
      <w:r>
        <w:instrText xml:space="preserve"> PAGEREF _Toc29379 \h </w:instrText>
      </w:r>
      <w:r>
        <w:fldChar w:fldCharType="separate"/>
      </w:r>
      <w:r>
        <w:t>53</w:t>
      </w:r>
      <w:r>
        <w:fldChar w:fldCharType="end"/>
      </w:r>
      <w:r>
        <w:rPr>
          <w:rFonts w:hint="eastAsia" w:ascii="仿宋" w:hAnsi="仿宋" w:eastAsia="仿宋" w:cs="仿宋"/>
          <w:szCs w:val="40"/>
          <w:lang w:val="en-US" w:eastAsia="zh-CN"/>
        </w:rPr>
        <w:fldChar w:fldCharType="end"/>
      </w:r>
    </w:p>
    <w:p w14:paraId="71A33E97">
      <w:pPr>
        <w:pStyle w:val="14"/>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_Toc30989 </w:instrText>
      </w:r>
      <w:r>
        <w:rPr>
          <w:rFonts w:hint="eastAsia" w:ascii="仿宋" w:hAnsi="仿宋" w:eastAsia="仿宋" w:cs="仿宋"/>
          <w:szCs w:val="40"/>
          <w:lang w:val="en-US" w:eastAsia="zh-CN"/>
        </w:rPr>
        <w:fldChar w:fldCharType="separate"/>
      </w:r>
      <w:r>
        <w:rPr>
          <w:rFonts w:hint="eastAsia" w:ascii="Times New Roman" w:hAnsi="Times New Roman" w:eastAsia="楷体_GB2312" w:cs="楷体_GB2312"/>
          <w:shd w:val="clear" w:fill="auto"/>
        </w:rPr>
        <w:t>第二节  聚力主导产业强链，打造“三大百亿级</w:t>
      </w:r>
      <w:r>
        <w:rPr>
          <w:rFonts w:hint="eastAsia" w:ascii="Times New Roman" w:hAnsi="Times New Roman" w:eastAsia="楷体_GB2312" w:cs="楷体_GB2312"/>
          <w:shd w:val="clear" w:fill="auto"/>
          <w:lang w:val="en-US" w:eastAsia="zh-CN"/>
        </w:rPr>
        <w:t>集群</w:t>
      </w:r>
      <w:r>
        <w:rPr>
          <w:rFonts w:hint="eastAsia" w:ascii="Times New Roman" w:hAnsi="Times New Roman" w:eastAsia="楷体_GB2312" w:cs="楷体_GB2312"/>
          <w:shd w:val="clear" w:fill="auto"/>
        </w:rPr>
        <w:t>”</w:t>
      </w:r>
      <w:r>
        <w:tab/>
      </w:r>
      <w:r>
        <w:fldChar w:fldCharType="begin"/>
      </w:r>
      <w:r>
        <w:instrText xml:space="preserve"> PAGEREF _Toc30989 \h </w:instrText>
      </w:r>
      <w:r>
        <w:fldChar w:fldCharType="separate"/>
      </w:r>
      <w:r>
        <w:t>55</w:t>
      </w:r>
      <w:r>
        <w:fldChar w:fldCharType="end"/>
      </w:r>
      <w:r>
        <w:rPr>
          <w:rFonts w:hint="eastAsia" w:ascii="仿宋" w:hAnsi="仿宋" w:eastAsia="仿宋" w:cs="仿宋"/>
          <w:szCs w:val="40"/>
          <w:lang w:val="en-US" w:eastAsia="zh-CN"/>
        </w:rPr>
        <w:fldChar w:fldCharType="end"/>
      </w:r>
    </w:p>
    <w:p w14:paraId="2E84F165">
      <w:pPr>
        <w:pStyle w:val="14"/>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_Toc18033 </w:instrText>
      </w:r>
      <w:r>
        <w:rPr>
          <w:rFonts w:hint="eastAsia" w:ascii="仿宋" w:hAnsi="仿宋" w:eastAsia="仿宋" w:cs="仿宋"/>
          <w:szCs w:val="40"/>
          <w:lang w:val="en-US" w:eastAsia="zh-CN"/>
        </w:rPr>
        <w:fldChar w:fldCharType="separate"/>
      </w:r>
      <w:r>
        <w:rPr>
          <w:rFonts w:hint="eastAsia" w:ascii="Times New Roman" w:hAnsi="Times New Roman" w:eastAsia="楷体_GB2312" w:cs="楷体_GB2312"/>
          <w:lang w:val="en-US" w:eastAsia="zh-CN"/>
        </w:rPr>
        <w:t>第三节  引导产业拓维赋能，培育“三大</w:t>
      </w:r>
      <w:r>
        <w:rPr>
          <w:rFonts w:hint="eastAsia" w:ascii="Times New Roman" w:hAnsi="Times New Roman" w:cs="楷体_GB2312"/>
          <w:lang w:val="en-US" w:eastAsia="zh-CN"/>
        </w:rPr>
        <w:t>战略性新兴产业</w:t>
      </w:r>
      <w:r>
        <w:rPr>
          <w:rFonts w:hint="eastAsia" w:ascii="Times New Roman" w:hAnsi="Times New Roman" w:eastAsia="楷体_GB2312" w:cs="楷体_GB2312"/>
          <w:lang w:val="en-US" w:eastAsia="zh-CN"/>
        </w:rPr>
        <w:t>”</w:t>
      </w:r>
      <w:r>
        <w:tab/>
      </w:r>
      <w:r>
        <w:fldChar w:fldCharType="begin"/>
      </w:r>
      <w:r>
        <w:instrText xml:space="preserve"> PAGEREF _Toc18033 \h </w:instrText>
      </w:r>
      <w:r>
        <w:fldChar w:fldCharType="separate"/>
      </w:r>
      <w:r>
        <w:t>64</w:t>
      </w:r>
      <w:r>
        <w:fldChar w:fldCharType="end"/>
      </w:r>
      <w:r>
        <w:rPr>
          <w:rFonts w:hint="eastAsia" w:ascii="仿宋" w:hAnsi="仿宋" w:eastAsia="仿宋" w:cs="仿宋"/>
          <w:szCs w:val="40"/>
          <w:lang w:val="en-US" w:eastAsia="zh-CN"/>
        </w:rPr>
        <w:fldChar w:fldCharType="end"/>
      </w:r>
    </w:p>
    <w:p w14:paraId="74CBB5ED">
      <w:pPr>
        <w:pStyle w:val="14"/>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_Toc19819 </w:instrText>
      </w:r>
      <w:r>
        <w:rPr>
          <w:rFonts w:hint="eastAsia" w:ascii="仿宋" w:hAnsi="仿宋" w:eastAsia="仿宋" w:cs="仿宋"/>
          <w:szCs w:val="40"/>
          <w:lang w:val="en-US" w:eastAsia="zh-CN"/>
        </w:rPr>
        <w:fldChar w:fldCharType="separate"/>
      </w:r>
      <w:r>
        <w:rPr>
          <w:rFonts w:hint="eastAsia" w:ascii="Times New Roman" w:hAnsi="Times New Roman" w:eastAsia="楷体_GB2312" w:cs="楷体_GB2312"/>
          <w:shd w:val="clear" w:fill="auto"/>
        </w:rPr>
        <w:t xml:space="preserve">第四节  </w:t>
      </w:r>
      <w:r>
        <w:rPr>
          <w:rFonts w:hint="eastAsia" w:ascii="Times New Roman" w:hAnsi="Times New Roman" w:eastAsia="楷体_GB2312" w:cs="楷体_GB2312"/>
          <w:shd w:val="clear" w:fill="auto"/>
          <w:lang w:val="en-US" w:eastAsia="zh-CN"/>
        </w:rPr>
        <w:t>强化产业协同联动</w:t>
      </w:r>
      <w:r>
        <w:rPr>
          <w:rFonts w:hint="eastAsia" w:ascii="Times New Roman" w:hAnsi="Times New Roman" w:eastAsia="楷体_GB2312" w:cs="楷体_GB2312"/>
          <w:shd w:val="clear" w:fill="auto"/>
        </w:rPr>
        <w:t>，</w:t>
      </w:r>
      <w:r>
        <w:rPr>
          <w:rFonts w:hint="eastAsia" w:ascii="Times New Roman" w:hAnsi="Times New Roman" w:eastAsia="楷体_GB2312" w:cs="楷体_GB2312"/>
          <w:shd w:val="clear" w:fill="auto"/>
          <w:lang w:val="en-US" w:eastAsia="zh-CN"/>
        </w:rPr>
        <w:t>升级</w:t>
      </w:r>
      <w:r>
        <w:rPr>
          <w:rFonts w:hint="eastAsia" w:ascii="Times New Roman" w:hAnsi="Times New Roman" w:eastAsia="楷体_GB2312" w:cs="楷体_GB2312"/>
          <w:shd w:val="clear" w:fill="auto"/>
        </w:rPr>
        <w:t>“</w:t>
      </w:r>
      <w:r>
        <w:rPr>
          <w:rFonts w:hint="eastAsia" w:ascii="Times New Roman" w:hAnsi="Times New Roman" w:eastAsia="楷体_GB2312" w:cs="楷体_GB2312"/>
          <w:shd w:val="clear" w:fill="auto"/>
          <w:lang w:val="en-US" w:eastAsia="zh-CN"/>
        </w:rPr>
        <w:t>三大现代服务业</w:t>
      </w:r>
      <w:r>
        <w:rPr>
          <w:rFonts w:hint="eastAsia" w:ascii="Times New Roman" w:hAnsi="Times New Roman" w:eastAsia="楷体_GB2312" w:cs="楷体_GB2312"/>
          <w:shd w:val="clear" w:fill="auto"/>
        </w:rPr>
        <w:t>”</w:t>
      </w:r>
      <w:r>
        <w:tab/>
      </w:r>
      <w:r>
        <w:fldChar w:fldCharType="begin"/>
      </w:r>
      <w:r>
        <w:instrText xml:space="preserve"> PAGEREF _Toc19819 \h </w:instrText>
      </w:r>
      <w:r>
        <w:fldChar w:fldCharType="separate"/>
      </w:r>
      <w:r>
        <w:t>71</w:t>
      </w:r>
      <w:r>
        <w:fldChar w:fldCharType="end"/>
      </w:r>
      <w:r>
        <w:rPr>
          <w:rFonts w:hint="eastAsia" w:ascii="仿宋" w:hAnsi="仿宋" w:eastAsia="仿宋" w:cs="仿宋"/>
          <w:szCs w:val="40"/>
          <w:lang w:val="en-US" w:eastAsia="zh-CN"/>
        </w:rPr>
        <w:fldChar w:fldCharType="end"/>
      </w:r>
    </w:p>
    <w:p w14:paraId="38616C5D">
      <w:pPr>
        <w:pStyle w:val="14"/>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_Toc31546 </w:instrText>
      </w:r>
      <w:r>
        <w:rPr>
          <w:rFonts w:hint="eastAsia" w:ascii="仿宋" w:hAnsi="仿宋" w:eastAsia="仿宋" w:cs="仿宋"/>
          <w:szCs w:val="40"/>
          <w:lang w:val="en-US" w:eastAsia="zh-CN"/>
        </w:rPr>
        <w:fldChar w:fldCharType="separate"/>
      </w:r>
      <w:r>
        <w:rPr>
          <w:rFonts w:hint="eastAsia" w:ascii="Times New Roman" w:hAnsi="Times New Roman" w:eastAsia="楷体_GB2312" w:cs="楷体_GB2312"/>
        </w:rPr>
        <w:t>第</w:t>
      </w:r>
      <w:r>
        <w:rPr>
          <w:rFonts w:hint="eastAsia" w:ascii="Times New Roman" w:hAnsi="Times New Roman" w:cs="楷体_GB2312"/>
          <w:lang w:val="en-US" w:eastAsia="zh-CN"/>
        </w:rPr>
        <w:t>五</w:t>
      </w:r>
      <w:r>
        <w:rPr>
          <w:rFonts w:hint="eastAsia" w:ascii="Times New Roman" w:hAnsi="Times New Roman" w:eastAsia="楷体_GB2312" w:cs="楷体_GB2312"/>
        </w:rPr>
        <w:t xml:space="preserve">节  </w:t>
      </w:r>
      <w:r>
        <w:rPr>
          <w:rFonts w:hint="eastAsia" w:ascii="Times New Roman" w:hAnsi="Times New Roman" w:eastAsia="楷体_GB2312" w:cs="楷体_GB2312"/>
          <w:lang w:val="en-US" w:eastAsia="zh-CN"/>
        </w:rPr>
        <w:t>推动园区</w:t>
      </w:r>
      <w:r>
        <w:rPr>
          <w:rFonts w:hint="eastAsia" w:ascii="Times New Roman" w:hAnsi="Times New Roman" w:cs="楷体_GB2312"/>
          <w:lang w:val="en-US" w:eastAsia="zh-CN"/>
        </w:rPr>
        <w:t>提档升级，带动产业扩容增效发展</w:t>
      </w:r>
      <w:r>
        <w:tab/>
      </w:r>
      <w:r>
        <w:fldChar w:fldCharType="begin"/>
      </w:r>
      <w:r>
        <w:instrText xml:space="preserve"> PAGEREF _Toc31546 \h </w:instrText>
      </w:r>
      <w:r>
        <w:fldChar w:fldCharType="separate"/>
      </w:r>
      <w:r>
        <w:t>82</w:t>
      </w:r>
      <w:r>
        <w:fldChar w:fldCharType="end"/>
      </w:r>
      <w:r>
        <w:rPr>
          <w:rFonts w:hint="eastAsia" w:ascii="仿宋" w:hAnsi="仿宋" w:eastAsia="仿宋" w:cs="仿宋"/>
          <w:szCs w:val="40"/>
          <w:lang w:val="en-US" w:eastAsia="zh-CN"/>
        </w:rPr>
        <w:fldChar w:fldCharType="end"/>
      </w:r>
    </w:p>
    <w:p w14:paraId="32BA944A">
      <w:pPr>
        <w:pStyle w:val="12"/>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_Toc14597 </w:instrText>
      </w:r>
      <w:r>
        <w:rPr>
          <w:rFonts w:hint="eastAsia" w:ascii="仿宋" w:hAnsi="仿宋" w:eastAsia="仿宋" w:cs="仿宋"/>
          <w:szCs w:val="40"/>
          <w:lang w:val="en-US" w:eastAsia="zh-CN"/>
        </w:rPr>
        <w:fldChar w:fldCharType="separate"/>
      </w:r>
      <w:r>
        <w:rPr>
          <w:rFonts w:hint="eastAsia" w:ascii="黑体" w:hAnsi="黑体" w:eastAsia="黑体" w:cs="黑体"/>
          <w:szCs w:val="48"/>
          <w:lang w:val="en-US" w:eastAsia="zh-CN"/>
        </w:rPr>
        <w:t>第五章  深入实施创新驱动发展战略，培育富锦高质量发展新动能</w:t>
      </w:r>
      <w:r>
        <w:tab/>
      </w:r>
      <w:r>
        <w:fldChar w:fldCharType="begin"/>
      </w:r>
      <w:r>
        <w:instrText xml:space="preserve"> PAGEREF _Toc14597 \h </w:instrText>
      </w:r>
      <w:r>
        <w:fldChar w:fldCharType="separate"/>
      </w:r>
      <w:r>
        <w:t>86</w:t>
      </w:r>
      <w:r>
        <w:fldChar w:fldCharType="end"/>
      </w:r>
      <w:r>
        <w:rPr>
          <w:rFonts w:hint="eastAsia" w:ascii="仿宋" w:hAnsi="仿宋" w:eastAsia="仿宋" w:cs="仿宋"/>
          <w:szCs w:val="40"/>
          <w:lang w:val="en-US" w:eastAsia="zh-CN"/>
        </w:rPr>
        <w:fldChar w:fldCharType="end"/>
      </w:r>
    </w:p>
    <w:p w14:paraId="73737BF6">
      <w:pPr>
        <w:pStyle w:val="14"/>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_Toc15274 </w:instrText>
      </w:r>
      <w:r>
        <w:rPr>
          <w:rFonts w:hint="eastAsia" w:ascii="仿宋" w:hAnsi="仿宋" w:eastAsia="仿宋" w:cs="仿宋"/>
          <w:szCs w:val="40"/>
          <w:lang w:val="en-US" w:eastAsia="zh-CN"/>
        </w:rPr>
        <w:fldChar w:fldCharType="separate"/>
      </w:r>
      <w:r>
        <w:rPr>
          <w:rFonts w:hint="eastAsia"/>
          <w:lang w:val="en-US" w:eastAsia="zh-CN"/>
        </w:rPr>
        <w:t>第一节  紧扣富锦产业需求推进关键领域核心技术攻关</w:t>
      </w:r>
      <w:r>
        <w:tab/>
      </w:r>
      <w:r>
        <w:fldChar w:fldCharType="begin"/>
      </w:r>
      <w:r>
        <w:instrText xml:space="preserve"> PAGEREF _Toc15274 \h </w:instrText>
      </w:r>
      <w:r>
        <w:fldChar w:fldCharType="separate"/>
      </w:r>
      <w:r>
        <w:t>86</w:t>
      </w:r>
      <w:r>
        <w:fldChar w:fldCharType="end"/>
      </w:r>
      <w:r>
        <w:rPr>
          <w:rFonts w:hint="eastAsia" w:ascii="仿宋" w:hAnsi="仿宋" w:eastAsia="仿宋" w:cs="仿宋"/>
          <w:szCs w:val="40"/>
          <w:lang w:val="en-US" w:eastAsia="zh-CN"/>
        </w:rPr>
        <w:fldChar w:fldCharType="end"/>
      </w:r>
    </w:p>
    <w:p w14:paraId="6FBDB233">
      <w:pPr>
        <w:pStyle w:val="14"/>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_Toc2713 </w:instrText>
      </w:r>
      <w:r>
        <w:rPr>
          <w:rFonts w:hint="eastAsia" w:ascii="仿宋" w:hAnsi="仿宋" w:eastAsia="仿宋" w:cs="仿宋"/>
          <w:szCs w:val="40"/>
          <w:lang w:val="en-US" w:eastAsia="zh-CN"/>
        </w:rPr>
        <w:fldChar w:fldCharType="separate"/>
      </w:r>
      <w:r>
        <w:rPr>
          <w:rFonts w:hint="eastAsia"/>
          <w:lang w:val="en-US" w:eastAsia="zh-CN"/>
        </w:rPr>
        <w:t>第二节  深化协同联动推进科创平台提质增效</w:t>
      </w:r>
      <w:r>
        <w:tab/>
      </w:r>
      <w:r>
        <w:fldChar w:fldCharType="begin"/>
      </w:r>
      <w:r>
        <w:instrText xml:space="preserve"> PAGEREF _Toc2713 \h </w:instrText>
      </w:r>
      <w:r>
        <w:fldChar w:fldCharType="separate"/>
      </w:r>
      <w:r>
        <w:t>87</w:t>
      </w:r>
      <w:r>
        <w:fldChar w:fldCharType="end"/>
      </w:r>
      <w:r>
        <w:rPr>
          <w:rFonts w:hint="eastAsia" w:ascii="仿宋" w:hAnsi="仿宋" w:eastAsia="仿宋" w:cs="仿宋"/>
          <w:szCs w:val="40"/>
          <w:lang w:val="en-US" w:eastAsia="zh-CN"/>
        </w:rPr>
        <w:fldChar w:fldCharType="end"/>
      </w:r>
    </w:p>
    <w:p w14:paraId="3B061A26">
      <w:pPr>
        <w:pStyle w:val="14"/>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_Toc14435 </w:instrText>
      </w:r>
      <w:r>
        <w:rPr>
          <w:rFonts w:hint="eastAsia" w:ascii="仿宋" w:hAnsi="仿宋" w:eastAsia="仿宋" w:cs="仿宋"/>
          <w:szCs w:val="40"/>
          <w:lang w:val="en-US" w:eastAsia="zh-CN"/>
        </w:rPr>
        <w:fldChar w:fldCharType="separate"/>
      </w:r>
      <w:r>
        <w:rPr>
          <w:rFonts w:hint="eastAsia"/>
          <w:lang w:val="en-US" w:eastAsia="zh-CN"/>
        </w:rPr>
        <w:t>第三节  推动科技创新和产业创新深度融合</w:t>
      </w:r>
      <w:r>
        <w:tab/>
      </w:r>
      <w:r>
        <w:fldChar w:fldCharType="begin"/>
      </w:r>
      <w:r>
        <w:instrText xml:space="preserve"> PAGEREF _Toc14435 \h </w:instrText>
      </w:r>
      <w:r>
        <w:fldChar w:fldCharType="separate"/>
      </w:r>
      <w:r>
        <w:t>88</w:t>
      </w:r>
      <w:r>
        <w:fldChar w:fldCharType="end"/>
      </w:r>
      <w:r>
        <w:rPr>
          <w:rFonts w:hint="eastAsia" w:ascii="仿宋" w:hAnsi="仿宋" w:eastAsia="仿宋" w:cs="仿宋"/>
          <w:szCs w:val="40"/>
          <w:lang w:val="en-US" w:eastAsia="zh-CN"/>
        </w:rPr>
        <w:fldChar w:fldCharType="end"/>
      </w:r>
    </w:p>
    <w:p w14:paraId="3380CF74">
      <w:pPr>
        <w:pStyle w:val="14"/>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_Toc16819 </w:instrText>
      </w:r>
      <w:r>
        <w:rPr>
          <w:rFonts w:hint="eastAsia" w:ascii="仿宋" w:hAnsi="仿宋" w:eastAsia="仿宋" w:cs="仿宋"/>
          <w:szCs w:val="40"/>
          <w:lang w:val="en-US" w:eastAsia="zh-CN"/>
        </w:rPr>
        <w:fldChar w:fldCharType="separate"/>
      </w:r>
      <w:r>
        <w:rPr>
          <w:rFonts w:hint="eastAsia"/>
          <w:lang w:val="en-US" w:eastAsia="zh-CN"/>
        </w:rPr>
        <w:t>第四节  建立健全教育科技人才一体发展机制</w:t>
      </w:r>
      <w:r>
        <w:tab/>
      </w:r>
      <w:r>
        <w:fldChar w:fldCharType="begin"/>
      </w:r>
      <w:r>
        <w:instrText xml:space="preserve"> PAGEREF _Toc16819 \h </w:instrText>
      </w:r>
      <w:r>
        <w:fldChar w:fldCharType="separate"/>
      </w:r>
      <w:r>
        <w:t>89</w:t>
      </w:r>
      <w:r>
        <w:fldChar w:fldCharType="end"/>
      </w:r>
      <w:r>
        <w:rPr>
          <w:rFonts w:hint="eastAsia" w:ascii="仿宋" w:hAnsi="仿宋" w:eastAsia="仿宋" w:cs="仿宋"/>
          <w:szCs w:val="40"/>
          <w:lang w:val="en-US" w:eastAsia="zh-CN"/>
        </w:rPr>
        <w:fldChar w:fldCharType="end"/>
      </w:r>
    </w:p>
    <w:p w14:paraId="6BF4B965">
      <w:pPr>
        <w:pStyle w:val="12"/>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_Toc1640 </w:instrText>
      </w:r>
      <w:r>
        <w:rPr>
          <w:rFonts w:hint="eastAsia" w:ascii="仿宋" w:hAnsi="仿宋" w:eastAsia="仿宋" w:cs="仿宋"/>
          <w:szCs w:val="40"/>
          <w:lang w:val="en-US" w:eastAsia="zh-CN"/>
        </w:rPr>
        <w:fldChar w:fldCharType="separate"/>
      </w:r>
      <w:r>
        <w:rPr>
          <w:rFonts w:hint="eastAsia" w:ascii="黑体" w:hAnsi="黑体" w:eastAsia="黑体" w:cs="黑体"/>
          <w:szCs w:val="48"/>
          <w:lang w:val="en-US" w:eastAsia="zh-CN"/>
        </w:rPr>
        <w:t>第六章  主动服务强大国内市场，全面融入区域振兴新发展格局</w:t>
      </w:r>
      <w:r>
        <w:tab/>
      </w:r>
      <w:r>
        <w:fldChar w:fldCharType="begin"/>
      </w:r>
      <w:r>
        <w:instrText xml:space="preserve"> PAGEREF _Toc1640 \h </w:instrText>
      </w:r>
      <w:r>
        <w:fldChar w:fldCharType="separate"/>
      </w:r>
      <w:r>
        <w:t>91</w:t>
      </w:r>
      <w:r>
        <w:fldChar w:fldCharType="end"/>
      </w:r>
      <w:r>
        <w:rPr>
          <w:rFonts w:hint="eastAsia" w:ascii="仿宋" w:hAnsi="仿宋" w:eastAsia="仿宋" w:cs="仿宋"/>
          <w:szCs w:val="40"/>
          <w:lang w:val="en-US" w:eastAsia="zh-CN"/>
        </w:rPr>
        <w:fldChar w:fldCharType="end"/>
      </w:r>
    </w:p>
    <w:p w14:paraId="1109C781">
      <w:pPr>
        <w:pStyle w:val="14"/>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_Toc3148 </w:instrText>
      </w:r>
      <w:r>
        <w:rPr>
          <w:rFonts w:hint="eastAsia" w:ascii="仿宋" w:hAnsi="仿宋" w:eastAsia="仿宋" w:cs="仿宋"/>
          <w:szCs w:val="40"/>
          <w:lang w:val="en-US" w:eastAsia="zh-CN"/>
        </w:rPr>
        <w:fldChar w:fldCharType="separate"/>
      </w:r>
      <w:r>
        <w:rPr>
          <w:rFonts w:hint="eastAsia"/>
          <w:lang w:val="en-US" w:eastAsia="zh-CN"/>
        </w:rPr>
        <w:t>第一节  打造三江平原消费中心城市</w:t>
      </w:r>
      <w:r>
        <w:tab/>
      </w:r>
      <w:r>
        <w:fldChar w:fldCharType="begin"/>
      </w:r>
      <w:r>
        <w:instrText xml:space="preserve"> PAGEREF _Toc3148 \h </w:instrText>
      </w:r>
      <w:r>
        <w:fldChar w:fldCharType="separate"/>
      </w:r>
      <w:r>
        <w:t>91</w:t>
      </w:r>
      <w:r>
        <w:fldChar w:fldCharType="end"/>
      </w:r>
      <w:r>
        <w:rPr>
          <w:rFonts w:hint="eastAsia" w:ascii="仿宋" w:hAnsi="仿宋" w:eastAsia="仿宋" w:cs="仿宋"/>
          <w:szCs w:val="40"/>
          <w:lang w:val="en-US" w:eastAsia="zh-CN"/>
        </w:rPr>
        <w:fldChar w:fldCharType="end"/>
      </w:r>
    </w:p>
    <w:p w14:paraId="0976D1D7">
      <w:pPr>
        <w:pStyle w:val="14"/>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_Toc23755 </w:instrText>
      </w:r>
      <w:r>
        <w:rPr>
          <w:rFonts w:hint="eastAsia" w:ascii="仿宋" w:hAnsi="仿宋" w:eastAsia="仿宋" w:cs="仿宋"/>
          <w:szCs w:val="40"/>
          <w:lang w:val="en-US" w:eastAsia="zh-CN"/>
        </w:rPr>
        <w:fldChar w:fldCharType="separate"/>
      </w:r>
      <w:r>
        <w:rPr>
          <w:rFonts w:hint="eastAsia"/>
          <w:lang w:val="en-US" w:eastAsia="zh-CN"/>
        </w:rPr>
        <w:t>第二节  精准发力提升全市投资规模和效益</w:t>
      </w:r>
      <w:r>
        <w:tab/>
      </w:r>
      <w:r>
        <w:fldChar w:fldCharType="begin"/>
      </w:r>
      <w:r>
        <w:instrText xml:space="preserve"> PAGEREF _Toc23755 \h </w:instrText>
      </w:r>
      <w:r>
        <w:fldChar w:fldCharType="separate"/>
      </w:r>
      <w:r>
        <w:t>94</w:t>
      </w:r>
      <w:r>
        <w:fldChar w:fldCharType="end"/>
      </w:r>
      <w:r>
        <w:rPr>
          <w:rFonts w:hint="eastAsia" w:ascii="仿宋" w:hAnsi="仿宋" w:eastAsia="仿宋" w:cs="仿宋"/>
          <w:szCs w:val="40"/>
          <w:lang w:val="en-US" w:eastAsia="zh-CN"/>
        </w:rPr>
        <w:fldChar w:fldCharType="end"/>
      </w:r>
    </w:p>
    <w:p w14:paraId="78B9B399">
      <w:pPr>
        <w:pStyle w:val="14"/>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_Toc27198 </w:instrText>
      </w:r>
      <w:r>
        <w:rPr>
          <w:rFonts w:hint="eastAsia" w:ascii="仿宋" w:hAnsi="仿宋" w:eastAsia="仿宋" w:cs="仿宋"/>
          <w:szCs w:val="40"/>
          <w:lang w:val="en-US" w:eastAsia="zh-CN"/>
        </w:rPr>
        <w:fldChar w:fldCharType="separate"/>
      </w:r>
      <w:r>
        <w:rPr>
          <w:rFonts w:hint="eastAsia"/>
          <w:lang w:val="en-US" w:eastAsia="zh-CN"/>
        </w:rPr>
        <w:t>第三节  疏堵点破卡点深度融入全国统一大市场</w:t>
      </w:r>
      <w:r>
        <w:tab/>
      </w:r>
      <w:r>
        <w:fldChar w:fldCharType="begin"/>
      </w:r>
      <w:r>
        <w:instrText xml:space="preserve"> PAGEREF _Toc27198 \h </w:instrText>
      </w:r>
      <w:r>
        <w:fldChar w:fldCharType="separate"/>
      </w:r>
      <w:r>
        <w:t>95</w:t>
      </w:r>
      <w:r>
        <w:fldChar w:fldCharType="end"/>
      </w:r>
      <w:r>
        <w:rPr>
          <w:rFonts w:hint="eastAsia" w:ascii="仿宋" w:hAnsi="仿宋" w:eastAsia="仿宋" w:cs="仿宋"/>
          <w:szCs w:val="40"/>
          <w:lang w:val="en-US" w:eastAsia="zh-CN"/>
        </w:rPr>
        <w:fldChar w:fldCharType="end"/>
      </w:r>
    </w:p>
    <w:p w14:paraId="3BDE5CEE">
      <w:pPr>
        <w:pStyle w:val="14"/>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_Toc5314 </w:instrText>
      </w:r>
      <w:r>
        <w:rPr>
          <w:rFonts w:hint="eastAsia" w:ascii="仿宋" w:hAnsi="仿宋" w:eastAsia="仿宋" w:cs="仿宋"/>
          <w:szCs w:val="40"/>
          <w:lang w:val="en-US" w:eastAsia="zh-CN"/>
        </w:rPr>
        <w:fldChar w:fldCharType="separate"/>
      </w:r>
      <w:r>
        <w:rPr>
          <w:rFonts w:hint="eastAsia"/>
          <w:lang w:val="en-US" w:eastAsia="zh-CN"/>
        </w:rPr>
        <w:t xml:space="preserve">第四节  </w:t>
      </w:r>
      <w:r>
        <w:rPr>
          <w:rFonts w:hint="default"/>
          <w:lang w:val="en-US" w:eastAsia="zh-CN"/>
        </w:rPr>
        <w:t>增强陆港型国家物流枢纽辅助功能区功能</w:t>
      </w:r>
      <w:r>
        <w:tab/>
      </w:r>
      <w:r>
        <w:fldChar w:fldCharType="begin"/>
      </w:r>
      <w:r>
        <w:instrText xml:space="preserve"> PAGEREF _Toc5314 \h </w:instrText>
      </w:r>
      <w:r>
        <w:fldChar w:fldCharType="separate"/>
      </w:r>
      <w:r>
        <w:t>96</w:t>
      </w:r>
      <w:r>
        <w:fldChar w:fldCharType="end"/>
      </w:r>
      <w:r>
        <w:rPr>
          <w:rFonts w:hint="eastAsia" w:ascii="仿宋" w:hAnsi="仿宋" w:eastAsia="仿宋" w:cs="仿宋"/>
          <w:szCs w:val="40"/>
          <w:lang w:val="en-US" w:eastAsia="zh-CN"/>
        </w:rPr>
        <w:fldChar w:fldCharType="end"/>
      </w:r>
    </w:p>
    <w:p w14:paraId="7C33D134">
      <w:pPr>
        <w:pStyle w:val="12"/>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_Toc28040 </w:instrText>
      </w:r>
      <w:r>
        <w:rPr>
          <w:rFonts w:hint="eastAsia" w:ascii="仿宋" w:hAnsi="仿宋" w:eastAsia="仿宋" w:cs="仿宋"/>
          <w:szCs w:val="40"/>
          <w:lang w:val="en-US" w:eastAsia="zh-CN"/>
        </w:rPr>
        <w:fldChar w:fldCharType="separate"/>
      </w:r>
      <w:r>
        <w:rPr>
          <w:rFonts w:hint="eastAsia" w:ascii="黑体" w:hAnsi="黑体" w:eastAsia="黑体" w:cs="黑体"/>
          <w:szCs w:val="48"/>
          <w:lang w:val="en-US" w:eastAsia="zh-CN"/>
        </w:rPr>
        <w:t>第七章  推进关键领域改革攻坚，筑牢富锦高质量发展内生基础</w:t>
      </w:r>
      <w:r>
        <w:tab/>
      </w:r>
      <w:r>
        <w:fldChar w:fldCharType="begin"/>
      </w:r>
      <w:r>
        <w:instrText xml:space="preserve"> PAGEREF _Toc28040 \h </w:instrText>
      </w:r>
      <w:r>
        <w:fldChar w:fldCharType="separate"/>
      </w:r>
      <w:r>
        <w:t>98</w:t>
      </w:r>
      <w:r>
        <w:fldChar w:fldCharType="end"/>
      </w:r>
      <w:r>
        <w:rPr>
          <w:rFonts w:hint="eastAsia" w:ascii="仿宋" w:hAnsi="仿宋" w:eastAsia="仿宋" w:cs="仿宋"/>
          <w:szCs w:val="40"/>
          <w:lang w:val="en-US" w:eastAsia="zh-CN"/>
        </w:rPr>
        <w:fldChar w:fldCharType="end"/>
      </w:r>
    </w:p>
    <w:p w14:paraId="7D564DD5">
      <w:pPr>
        <w:pStyle w:val="14"/>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_Toc10098 </w:instrText>
      </w:r>
      <w:r>
        <w:rPr>
          <w:rFonts w:hint="eastAsia" w:ascii="仿宋" w:hAnsi="仿宋" w:eastAsia="仿宋" w:cs="仿宋"/>
          <w:szCs w:val="40"/>
          <w:lang w:val="en-US" w:eastAsia="zh-CN"/>
        </w:rPr>
        <w:fldChar w:fldCharType="separate"/>
      </w:r>
      <w:r>
        <w:rPr>
          <w:rFonts w:hint="eastAsia"/>
          <w:lang w:val="en-US" w:eastAsia="zh-CN"/>
        </w:rPr>
        <w:t>第一节  打造“极简服务”营商环境新标杆</w:t>
      </w:r>
      <w:r>
        <w:tab/>
      </w:r>
      <w:r>
        <w:fldChar w:fldCharType="begin"/>
      </w:r>
      <w:r>
        <w:instrText xml:space="preserve"> PAGEREF _Toc10098 \h </w:instrText>
      </w:r>
      <w:r>
        <w:fldChar w:fldCharType="separate"/>
      </w:r>
      <w:r>
        <w:t>98</w:t>
      </w:r>
      <w:r>
        <w:fldChar w:fldCharType="end"/>
      </w:r>
      <w:r>
        <w:rPr>
          <w:rFonts w:hint="eastAsia" w:ascii="仿宋" w:hAnsi="仿宋" w:eastAsia="仿宋" w:cs="仿宋"/>
          <w:szCs w:val="40"/>
          <w:lang w:val="en-US" w:eastAsia="zh-CN"/>
        </w:rPr>
        <w:fldChar w:fldCharType="end"/>
      </w:r>
    </w:p>
    <w:p w14:paraId="011C930F">
      <w:pPr>
        <w:pStyle w:val="14"/>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_Toc1394 </w:instrText>
      </w:r>
      <w:r>
        <w:rPr>
          <w:rFonts w:hint="eastAsia" w:ascii="仿宋" w:hAnsi="仿宋" w:eastAsia="仿宋" w:cs="仿宋"/>
          <w:szCs w:val="40"/>
          <w:lang w:val="en-US" w:eastAsia="zh-CN"/>
        </w:rPr>
        <w:fldChar w:fldCharType="separate"/>
      </w:r>
      <w:r>
        <w:rPr>
          <w:rFonts w:hint="eastAsia"/>
          <w:lang w:val="en-US" w:eastAsia="zh-CN"/>
        </w:rPr>
        <w:t>第二节  深化国资国企改革重塑市场竞争力</w:t>
      </w:r>
      <w:r>
        <w:tab/>
      </w:r>
      <w:r>
        <w:fldChar w:fldCharType="begin"/>
      </w:r>
      <w:r>
        <w:instrText xml:space="preserve"> PAGEREF _Toc1394 \h </w:instrText>
      </w:r>
      <w:r>
        <w:fldChar w:fldCharType="separate"/>
      </w:r>
      <w:r>
        <w:t>99</w:t>
      </w:r>
      <w:r>
        <w:fldChar w:fldCharType="end"/>
      </w:r>
      <w:r>
        <w:rPr>
          <w:rFonts w:hint="eastAsia" w:ascii="仿宋" w:hAnsi="仿宋" w:eastAsia="仿宋" w:cs="仿宋"/>
          <w:szCs w:val="40"/>
          <w:lang w:val="en-US" w:eastAsia="zh-CN"/>
        </w:rPr>
        <w:fldChar w:fldCharType="end"/>
      </w:r>
    </w:p>
    <w:p w14:paraId="0FA7C710">
      <w:pPr>
        <w:pStyle w:val="14"/>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_Toc32489 </w:instrText>
      </w:r>
      <w:r>
        <w:rPr>
          <w:rFonts w:hint="eastAsia" w:ascii="仿宋" w:hAnsi="仿宋" w:eastAsia="仿宋" w:cs="仿宋"/>
          <w:szCs w:val="40"/>
          <w:lang w:val="en-US" w:eastAsia="zh-CN"/>
        </w:rPr>
        <w:fldChar w:fldCharType="separate"/>
      </w:r>
      <w:r>
        <w:rPr>
          <w:rFonts w:hint="eastAsia"/>
          <w:lang w:val="en-US" w:eastAsia="zh-CN"/>
        </w:rPr>
        <w:t>第三节  健全政策机制促进民营经济发展壮大</w:t>
      </w:r>
      <w:r>
        <w:tab/>
      </w:r>
      <w:r>
        <w:fldChar w:fldCharType="begin"/>
      </w:r>
      <w:r>
        <w:instrText xml:space="preserve"> PAGEREF _Toc32489 \h </w:instrText>
      </w:r>
      <w:r>
        <w:fldChar w:fldCharType="separate"/>
      </w:r>
      <w:r>
        <w:t>100</w:t>
      </w:r>
      <w:r>
        <w:fldChar w:fldCharType="end"/>
      </w:r>
      <w:r>
        <w:rPr>
          <w:rFonts w:hint="eastAsia" w:ascii="仿宋" w:hAnsi="仿宋" w:eastAsia="仿宋" w:cs="仿宋"/>
          <w:szCs w:val="40"/>
          <w:lang w:val="en-US" w:eastAsia="zh-CN"/>
        </w:rPr>
        <w:fldChar w:fldCharType="end"/>
      </w:r>
    </w:p>
    <w:p w14:paraId="40F574C7">
      <w:pPr>
        <w:pStyle w:val="14"/>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_Toc29712 </w:instrText>
      </w:r>
      <w:r>
        <w:rPr>
          <w:rFonts w:hint="eastAsia" w:ascii="仿宋" w:hAnsi="仿宋" w:eastAsia="仿宋" w:cs="仿宋"/>
          <w:szCs w:val="40"/>
          <w:lang w:val="en-US" w:eastAsia="zh-CN"/>
        </w:rPr>
        <w:fldChar w:fldCharType="separate"/>
      </w:r>
      <w:r>
        <w:rPr>
          <w:rFonts w:hint="eastAsia"/>
          <w:lang w:val="en-US" w:eastAsia="zh-CN"/>
        </w:rPr>
        <w:t>第四节  加速全域要素市场化配置改革</w:t>
      </w:r>
      <w:r>
        <w:tab/>
      </w:r>
      <w:r>
        <w:fldChar w:fldCharType="begin"/>
      </w:r>
      <w:r>
        <w:instrText xml:space="preserve"> PAGEREF _Toc29712 \h </w:instrText>
      </w:r>
      <w:r>
        <w:fldChar w:fldCharType="separate"/>
      </w:r>
      <w:r>
        <w:t>102</w:t>
      </w:r>
      <w:r>
        <w:fldChar w:fldCharType="end"/>
      </w:r>
      <w:r>
        <w:rPr>
          <w:rFonts w:hint="eastAsia" w:ascii="仿宋" w:hAnsi="仿宋" w:eastAsia="仿宋" w:cs="仿宋"/>
          <w:szCs w:val="40"/>
          <w:lang w:val="en-US" w:eastAsia="zh-CN"/>
        </w:rPr>
        <w:fldChar w:fldCharType="end"/>
      </w:r>
    </w:p>
    <w:p w14:paraId="61B0CC90">
      <w:pPr>
        <w:pStyle w:val="14"/>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_Toc23588 </w:instrText>
      </w:r>
      <w:r>
        <w:rPr>
          <w:rFonts w:hint="eastAsia" w:ascii="仿宋" w:hAnsi="仿宋" w:eastAsia="仿宋" w:cs="仿宋"/>
          <w:szCs w:val="40"/>
          <w:lang w:val="en-US" w:eastAsia="zh-CN"/>
        </w:rPr>
        <w:fldChar w:fldCharType="separate"/>
      </w:r>
      <w:r>
        <w:rPr>
          <w:rFonts w:hint="eastAsia"/>
          <w:lang w:val="en-US" w:eastAsia="zh-CN"/>
        </w:rPr>
        <w:t>第五节  全面提升富锦经济治理现代化水平</w:t>
      </w:r>
      <w:r>
        <w:tab/>
      </w:r>
      <w:r>
        <w:fldChar w:fldCharType="begin"/>
      </w:r>
      <w:r>
        <w:instrText xml:space="preserve"> PAGEREF _Toc23588 \h </w:instrText>
      </w:r>
      <w:r>
        <w:fldChar w:fldCharType="separate"/>
      </w:r>
      <w:r>
        <w:t>103</w:t>
      </w:r>
      <w:r>
        <w:fldChar w:fldCharType="end"/>
      </w:r>
      <w:r>
        <w:rPr>
          <w:rFonts w:hint="eastAsia" w:ascii="仿宋" w:hAnsi="仿宋" w:eastAsia="仿宋" w:cs="仿宋"/>
          <w:szCs w:val="40"/>
          <w:lang w:val="en-US" w:eastAsia="zh-CN"/>
        </w:rPr>
        <w:fldChar w:fldCharType="end"/>
      </w:r>
    </w:p>
    <w:p w14:paraId="0D96EA66">
      <w:pPr>
        <w:pStyle w:val="12"/>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_Toc18623 </w:instrText>
      </w:r>
      <w:r>
        <w:rPr>
          <w:rFonts w:hint="eastAsia" w:ascii="仿宋" w:hAnsi="仿宋" w:eastAsia="仿宋" w:cs="仿宋"/>
          <w:szCs w:val="40"/>
          <w:lang w:val="en-US" w:eastAsia="zh-CN"/>
        </w:rPr>
        <w:fldChar w:fldCharType="separate"/>
      </w:r>
      <w:r>
        <w:rPr>
          <w:rFonts w:hint="eastAsia" w:ascii="黑体" w:hAnsi="黑体" w:eastAsia="黑体" w:cs="黑体"/>
          <w:szCs w:val="48"/>
          <w:lang w:val="en-US" w:eastAsia="zh-CN"/>
        </w:rPr>
        <w:t>第八章  扩大高水平对外开放，打造服务向北开放的陆港枢纽支点</w:t>
      </w:r>
      <w:r>
        <w:tab/>
      </w:r>
      <w:r>
        <w:fldChar w:fldCharType="begin"/>
      </w:r>
      <w:r>
        <w:instrText xml:space="preserve"> PAGEREF _Toc18623 \h </w:instrText>
      </w:r>
      <w:r>
        <w:fldChar w:fldCharType="separate"/>
      </w:r>
      <w:r>
        <w:t>105</w:t>
      </w:r>
      <w:r>
        <w:fldChar w:fldCharType="end"/>
      </w:r>
      <w:r>
        <w:rPr>
          <w:rFonts w:hint="eastAsia" w:ascii="仿宋" w:hAnsi="仿宋" w:eastAsia="仿宋" w:cs="仿宋"/>
          <w:szCs w:val="40"/>
          <w:lang w:val="en-US" w:eastAsia="zh-CN"/>
        </w:rPr>
        <w:fldChar w:fldCharType="end"/>
      </w:r>
    </w:p>
    <w:p w14:paraId="67B890F2">
      <w:pPr>
        <w:pStyle w:val="14"/>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_Toc25110 </w:instrText>
      </w:r>
      <w:r>
        <w:rPr>
          <w:rFonts w:hint="eastAsia" w:ascii="仿宋" w:hAnsi="仿宋" w:eastAsia="仿宋" w:cs="仿宋"/>
          <w:szCs w:val="40"/>
          <w:lang w:val="en-US" w:eastAsia="zh-CN"/>
        </w:rPr>
        <w:fldChar w:fldCharType="separate"/>
      </w:r>
      <w:r>
        <w:rPr>
          <w:rFonts w:hint="eastAsia"/>
          <w:lang w:val="en-US" w:eastAsia="zh-CN"/>
        </w:rPr>
        <w:t>第一节  全力打造对俄开放合作示范平台</w:t>
      </w:r>
      <w:r>
        <w:tab/>
      </w:r>
      <w:r>
        <w:fldChar w:fldCharType="begin"/>
      </w:r>
      <w:r>
        <w:instrText xml:space="preserve"> PAGEREF _Toc25110 \h </w:instrText>
      </w:r>
      <w:r>
        <w:fldChar w:fldCharType="separate"/>
      </w:r>
      <w:r>
        <w:t>105</w:t>
      </w:r>
      <w:r>
        <w:fldChar w:fldCharType="end"/>
      </w:r>
      <w:r>
        <w:rPr>
          <w:rFonts w:hint="eastAsia" w:ascii="仿宋" w:hAnsi="仿宋" w:eastAsia="仿宋" w:cs="仿宋"/>
          <w:szCs w:val="40"/>
          <w:lang w:val="en-US" w:eastAsia="zh-CN"/>
        </w:rPr>
        <w:fldChar w:fldCharType="end"/>
      </w:r>
    </w:p>
    <w:p w14:paraId="3736DC1C">
      <w:pPr>
        <w:pStyle w:val="14"/>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_Toc20359 </w:instrText>
      </w:r>
      <w:r>
        <w:rPr>
          <w:rFonts w:hint="eastAsia" w:ascii="仿宋" w:hAnsi="仿宋" w:eastAsia="仿宋" w:cs="仿宋"/>
          <w:szCs w:val="40"/>
          <w:lang w:val="en-US" w:eastAsia="zh-CN"/>
        </w:rPr>
        <w:fldChar w:fldCharType="separate"/>
      </w:r>
      <w:r>
        <w:rPr>
          <w:rFonts w:hint="eastAsia"/>
          <w:lang w:val="en-US" w:eastAsia="zh-CN"/>
        </w:rPr>
        <w:t>第二节  畅通“港产联动”的立体互联互通网络</w:t>
      </w:r>
      <w:r>
        <w:tab/>
      </w:r>
      <w:r>
        <w:fldChar w:fldCharType="begin"/>
      </w:r>
      <w:r>
        <w:instrText xml:space="preserve"> PAGEREF _Toc20359 \h </w:instrText>
      </w:r>
      <w:r>
        <w:fldChar w:fldCharType="separate"/>
      </w:r>
      <w:r>
        <w:t>106</w:t>
      </w:r>
      <w:r>
        <w:fldChar w:fldCharType="end"/>
      </w:r>
      <w:r>
        <w:rPr>
          <w:rFonts w:hint="eastAsia" w:ascii="仿宋" w:hAnsi="仿宋" w:eastAsia="仿宋" w:cs="仿宋"/>
          <w:szCs w:val="40"/>
          <w:lang w:val="en-US" w:eastAsia="zh-CN"/>
        </w:rPr>
        <w:fldChar w:fldCharType="end"/>
      </w:r>
    </w:p>
    <w:p w14:paraId="6E5E4167">
      <w:pPr>
        <w:pStyle w:val="14"/>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_Toc5638 </w:instrText>
      </w:r>
      <w:r>
        <w:rPr>
          <w:rFonts w:hint="eastAsia" w:ascii="仿宋" w:hAnsi="仿宋" w:eastAsia="仿宋" w:cs="仿宋"/>
          <w:szCs w:val="40"/>
          <w:lang w:val="en-US" w:eastAsia="zh-CN"/>
        </w:rPr>
        <w:fldChar w:fldCharType="separate"/>
      </w:r>
      <w:r>
        <w:rPr>
          <w:rFonts w:hint="eastAsia"/>
          <w:lang w:val="en-US" w:eastAsia="zh-CN"/>
        </w:rPr>
        <w:t>第三节  高质量发展“江海联运”的口岸经济</w:t>
      </w:r>
      <w:r>
        <w:tab/>
      </w:r>
      <w:r>
        <w:fldChar w:fldCharType="begin"/>
      </w:r>
      <w:r>
        <w:instrText xml:space="preserve"> PAGEREF _Toc5638 \h </w:instrText>
      </w:r>
      <w:r>
        <w:fldChar w:fldCharType="separate"/>
      </w:r>
      <w:r>
        <w:t>107</w:t>
      </w:r>
      <w:r>
        <w:fldChar w:fldCharType="end"/>
      </w:r>
      <w:r>
        <w:rPr>
          <w:rFonts w:hint="eastAsia" w:ascii="仿宋" w:hAnsi="仿宋" w:eastAsia="仿宋" w:cs="仿宋"/>
          <w:szCs w:val="40"/>
          <w:lang w:val="en-US" w:eastAsia="zh-CN"/>
        </w:rPr>
        <w:fldChar w:fldCharType="end"/>
      </w:r>
    </w:p>
    <w:p w14:paraId="3E4F194C">
      <w:pPr>
        <w:pStyle w:val="14"/>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_Toc9349 </w:instrText>
      </w:r>
      <w:r>
        <w:rPr>
          <w:rFonts w:hint="eastAsia" w:ascii="仿宋" w:hAnsi="仿宋" w:eastAsia="仿宋" w:cs="仿宋"/>
          <w:szCs w:val="40"/>
          <w:lang w:val="en-US" w:eastAsia="zh-CN"/>
        </w:rPr>
        <w:fldChar w:fldCharType="separate"/>
      </w:r>
      <w:r>
        <w:rPr>
          <w:rFonts w:hint="eastAsia"/>
          <w:lang w:val="en-US" w:eastAsia="zh-CN"/>
        </w:rPr>
        <w:t>第四节  全面提升富锦对外经贸合作水平</w:t>
      </w:r>
      <w:r>
        <w:tab/>
      </w:r>
      <w:r>
        <w:fldChar w:fldCharType="begin"/>
      </w:r>
      <w:r>
        <w:instrText xml:space="preserve"> PAGEREF _Toc9349 \h </w:instrText>
      </w:r>
      <w:r>
        <w:fldChar w:fldCharType="separate"/>
      </w:r>
      <w:r>
        <w:t>108</w:t>
      </w:r>
      <w:r>
        <w:fldChar w:fldCharType="end"/>
      </w:r>
      <w:r>
        <w:rPr>
          <w:rFonts w:hint="eastAsia" w:ascii="仿宋" w:hAnsi="仿宋" w:eastAsia="仿宋" w:cs="仿宋"/>
          <w:szCs w:val="40"/>
          <w:lang w:val="en-US" w:eastAsia="zh-CN"/>
        </w:rPr>
        <w:fldChar w:fldCharType="end"/>
      </w:r>
    </w:p>
    <w:p w14:paraId="611C3BA0">
      <w:pPr>
        <w:pStyle w:val="14"/>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_Toc26561 </w:instrText>
      </w:r>
      <w:r>
        <w:rPr>
          <w:rFonts w:hint="eastAsia" w:ascii="仿宋" w:hAnsi="仿宋" w:eastAsia="仿宋" w:cs="仿宋"/>
          <w:szCs w:val="40"/>
          <w:lang w:val="en-US" w:eastAsia="zh-CN"/>
        </w:rPr>
        <w:fldChar w:fldCharType="separate"/>
      </w:r>
      <w:r>
        <w:rPr>
          <w:rFonts w:hint="eastAsia"/>
          <w:lang w:val="en-US" w:eastAsia="zh-CN"/>
        </w:rPr>
        <w:t>第五节  探索中俄跨境制度创新</w:t>
      </w:r>
      <w:r>
        <w:tab/>
      </w:r>
      <w:r>
        <w:fldChar w:fldCharType="begin"/>
      </w:r>
      <w:r>
        <w:instrText xml:space="preserve"> PAGEREF _Toc26561 \h </w:instrText>
      </w:r>
      <w:r>
        <w:fldChar w:fldCharType="separate"/>
      </w:r>
      <w:r>
        <w:t>109</w:t>
      </w:r>
      <w:r>
        <w:fldChar w:fldCharType="end"/>
      </w:r>
      <w:r>
        <w:rPr>
          <w:rFonts w:hint="eastAsia" w:ascii="仿宋" w:hAnsi="仿宋" w:eastAsia="仿宋" w:cs="仿宋"/>
          <w:szCs w:val="40"/>
          <w:lang w:val="en-US" w:eastAsia="zh-CN"/>
        </w:rPr>
        <w:fldChar w:fldCharType="end"/>
      </w:r>
    </w:p>
    <w:p w14:paraId="2E5E6C9C">
      <w:pPr>
        <w:pStyle w:val="12"/>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_Toc21461 </w:instrText>
      </w:r>
      <w:r>
        <w:rPr>
          <w:rFonts w:hint="eastAsia" w:ascii="仿宋" w:hAnsi="仿宋" w:eastAsia="仿宋" w:cs="仿宋"/>
          <w:szCs w:val="40"/>
          <w:lang w:val="en-US" w:eastAsia="zh-CN"/>
        </w:rPr>
        <w:fldChar w:fldCharType="separate"/>
      </w:r>
      <w:r>
        <w:rPr>
          <w:rFonts w:hint="eastAsia" w:ascii="黑体" w:hAnsi="黑体" w:eastAsia="黑体" w:cs="黑体"/>
          <w:szCs w:val="48"/>
          <w:lang w:val="en-US" w:eastAsia="zh-CN"/>
        </w:rPr>
        <w:t>第九章  构建现代化基础设施体系，提升全域发展综合承载能力</w:t>
      </w:r>
      <w:r>
        <w:tab/>
      </w:r>
      <w:r>
        <w:fldChar w:fldCharType="begin"/>
      </w:r>
      <w:r>
        <w:instrText xml:space="preserve"> PAGEREF _Toc21461 \h </w:instrText>
      </w:r>
      <w:r>
        <w:fldChar w:fldCharType="separate"/>
      </w:r>
      <w:r>
        <w:t>111</w:t>
      </w:r>
      <w:r>
        <w:fldChar w:fldCharType="end"/>
      </w:r>
      <w:r>
        <w:rPr>
          <w:rFonts w:hint="eastAsia" w:ascii="仿宋" w:hAnsi="仿宋" w:eastAsia="仿宋" w:cs="仿宋"/>
          <w:szCs w:val="40"/>
          <w:lang w:val="en-US" w:eastAsia="zh-CN"/>
        </w:rPr>
        <w:fldChar w:fldCharType="end"/>
      </w:r>
    </w:p>
    <w:p w14:paraId="369266E6">
      <w:pPr>
        <w:pStyle w:val="14"/>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_Toc10352 </w:instrText>
      </w:r>
      <w:r>
        <w:rPr>
          <w:rFonts w:hint="eastAsia" w:ascii="仿宋" w:hAnsi="仿宋" w:eastAsia="仿宋" w:cs="仿宋"/>
          <w:szCs w:val="40"/>
          <w:lang w:val="en-US" w:eastAsia="zh-CN"/>
        </w:rPr>
        <w:fldChar w:fldCharType="separate"/>
      </w:r>
      <w:r>
        <w:rPr>
          <w:rFonts w:hint="eastAsia"/>
          <w:lang w:val="en-US" w:eastAsia="zh-CN"/>
        </w:rPr>
        <w:t>第一节  完善“多维立体”现代化综合交通运输体系</w:t>
      </w:r>
      <w:r>
        <w:tab/>
      </w:r>
      <w:r>
        <w:fldChar w:fldCharType="begin"/>
      </w:r>
      <w:r>
        <w:instrText xml:space="preserve"> PAGEREF _Toc10352 \h </w:instrText>
      </w:r>
      <w:r>
        <w:fldChar w:fldCharType="separate"/>
      </w:r>
      <w:r>
        <w:t>111</w:t>
      </w:r>
      <w:r>
        <w:fldChar w:fldCharType="end"/>
      </w:r>
      <w:r>
        <w:rPr>
          <w:rFonts w:hint="eastAsia" w:ascii="仿宋" w:hAnsi="仿宋" w:eastAsia="仿宋" w:cs="仿宋"/>
          <w:szCs w:val="40"/>
          <w:lang w:val="en-US" w:eastAsia="zh-CN"/>
        </w:rPr>
        <w:fldChar w:fldCharType="end"/>
      </w:r>
    </w:p>
    <w:p w14:paraId="0A9AD010">
      <w:pPr>
        <w:pStyle w:val="14"/>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_Toc29071 </w:instrText>
      </w:r>
      <w:r>
        <w:rPr>
          <w:rFonts w:hint="eastAsia" w:ascii="仿宋" w:hAnsi="仿宋" w:eastAsia="仿宋" w:cs="仿宋"/>
          <w:szCs w:val="40"/>
          <w:lang w:val="en-US" w:eastAsia="zh-CN"/>
        </w:rPr>
        <w:fldChar w:fldCharType="separate"/>
      </w:r>
      <w:r>
        <w:rPr>
          <w:rFonts w:hint="eastAsia"/>
          <w:lang w:val="en-US" w:eastAsia="zh-CN"/>
        </w:rPr>
        <w:t>第二节  筑牢“安全韧性”水利基础设施网络</w:t>
      </w:r>
      <w:r>
        <w:tab/>
      </w:r>
      <w:r>
        <w:fldChar w:fldCharType="begin"/>
      </w:r>
      <w:r>
        <w:instrText xml:space="preserve"> PAGEREF _Toc29071 \h </w:instrText>
      </w:r>
      <w:r>
        <w:fldChar w:fldCharType="separate"/>
      </w:r>
      <w:r>
        <w:t>113</w:t>
      </w:r>
      <w:r>
        <w:fldChar w:fldCharType="end"/>
      </w:r>
      <w:r>
        <w:rPr>
          <w:rFonts w:hint="eastAsia" w:ascii="仿宋" w:hAnsi="仿宋" w:eastAsia="仿宋" w:cs="仿宋"/>
          <w:szCs w:val="40"/>
          <w:lang w:val="en-US" w:eastAsia="zh-CN"/>
        </w:rPr>
        <w:fldChar w:fldCharType="end"/>
      </w:r>
    </w:p>
    <w:p w14:paraId="1A3D852D">
      <w:pPr>
        <w:pStyle w:val="14"/>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_Toc19732 </w:instrText>
      </w:r>
      <w:r>
        <w:rPr>
          <w:rFonts w:hint="eastAsia" w:ascii="仿宋" w:hAnsi="仿宋" w:eastAsia="仿宋" w:cs="仿宋"/>
          <w:szCs w:val="40"/>
          <w:lang w:val="en-US" w:eastAsia="zh-CN"/>
        </w:rPr>
        <w:fldChar w:fldCharType="separate"/>
      </w:r>
      <w:r>
        <w:rPr>
          <w:rFonts w:hint="eastAsia"/>
          <w:lang w:val="en-US" w:eastAsia="zh-CN"/>
        </w:rPr>
        <w:t>第三节  构建“绿色高效”能源基础设施体系</w:t>
      </w:r>
      <w:r>
        <w:tab/>
      </w:r>
      <w:r>
        <w:fldChar w:fldCharType="begin"/>
      </w:r>
      <w:r>
        <w:instrText xml:space="preserve"> PAGEREF _Toc19732 \h </w:instrText>
      </w:r>
      <w:r>
        <w:fldChar w:fldCharType="separate"/>
      </w:r>
      <w:r>
        <w:t>115</w:t>
      </w:r>
      <w:r>
        <w:fldChar w:fldCharType="end"/>
      </w:r>
      <w:r>
        <w:rPr>
          <w:rFonts w:hint="eastAsia" w:ascii="仿宋" w:hAnsi="仿宋" w:eastAsia="仿宋" w:cs="仿宋"/>
          <w:szCs w:val="40"/>
          <w:lang w:val="en-US" w:eastAsia="zh-CN"/>
        </w:rPr>
        <w:fldChar w:fldCharType="end"/>
      </w:r>
    </w:p>
    <w:p w14:paraId="2AAF417D">
      <w:pPr>
        <w:pStyle w:val="14"/>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_Toc13004 </w:instrText>
      </w:r>
      <w:r>
        <w:rPr>
          <w:rFonts w:hint="eastAsia" w:ascii="仿宋" w:hAnsi="仿宋" w:eastAsia="仿宋" w:cs="仿宋"/>
          <w:szCs w:val="40"/>
          <w:lang w:val="en-US" w:eastAsia="zh-CN"/>
        </w:rPr>
        <w:fldChar w:fldCharType="separate"/>
      </w:r>
      <w:r>
        <w:rPr>
          <w:rFonts w:hint="eastAsia"/>
          <w:lang w:val="en-US" w:eastAsia="zh-CN"/>
        </w:rPr>
        <w:t>第四节  建设“智融赋能”数据基础设施体系</w:t>
      </w:r>
      <w:r>
        <w:tab/>
      </w:r>
      <w:r>
        <w:fldChar w:fldCharType="begin"/>
      </w:r>
      <w:r>
        <w:instrText xml:space="preserve"> PAGEREF _Toc13004 \h </w:instrText>
      </w:r>
      <w:r>
        <w:fldChar w:fldCharType="separate"/>
      </w:r>
      <w:r>
        <w:t>117</w:t>
      </w:r>
      <w:r>
        <w:fldChar w:fldCharType="end"/>
      </w:r>
      <w:r>
        <w:rPr>
          <w:rFonts w:hint="eastAsia" w:ascii="仿宋" w:hAnsi="仿宋" w:eastAsia="仿宋" w:cs="仿宋"/>
          <w:szCs w:val="40"/>
          <w:lang w:val="en-US" w:eastAsia="zh-CN"/>
        </w:rPr>
        <w:fldChar w:fldCharType="end"/>
      </w:r>
    </w:p>
    <w:p w14:paraId="4645D055">
      <w:pPr>
        <w:pStyle w:val="14"/>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_Toc506 </w:instrText>
      </w:r>
      <w:r>
        <w:rPr>
          <w:rFonts w:hint="eastAsia" w:ascii="仿宋" w:hAnsi="仿宋" w:eastAsia="仿宋" w:cs="仿宋"/>
          <w:szCs w:val="40"/>
          <w:lang w:val="en-US" w:eastAsia="zh-CN"/>
        </w:rPr>
        <w:fldChar w:fldCharType="separate"/>
      </w:r>
      <w:r>
        <w:rPr>
          <w:rFonts w:hint="eastAsia" w:ascii="Times New Roman" w:hAnsi="Times New Roman" w:eastAsia="楷体_GB2312" w:cs="楷体_GB2312"/>
        </w:rPr>
        <w:t>第</w:t>
      </w:r>
      <w:r>
        <w:rPr>
          <w:rFonts w:hint="eastAsia" w:ascii="Times New Roman" w:hAnsi="Times New Roman" w:cs="楷体_GB2312"/>
          <w:lang w:val="en-US" w:eastAsia="zh-CN"/>
        </w:rPr>
        <w:t>五</w:t>
      </w:r>
      <w:r>
        <w:rPr>
          <w:rFonts w:hint="eastAsia" w:ascii="Times New Roman" w:hAnsi="Times New Roman" w:eastAsia="楷体_GB2312" w:cs="楷体_GB2312"/>
        </w:rPr>
        <w:t xml:space="preserve">节  </w:t>
      </w:r>
      <w:r>
        <w:rPr>
          <w:rFonts w:hint="eastAsia" w:ascii="Times New Roman" w:hAnsi="Times New Roman" w:cs="楷体_GB2312"/>
          <w:lang w:val="en-US" w:eastAsia="zh-CN"/>
        </w:rPr>
        <w:t>完善</w:t>
      </w:r>
      <w:r>
        <w:rPr>
          <w:rFonts w:hint="eastAsia" w:ascii="Times New Roman" w:hAnsi="Times New Roman" w:eastAsia="楷体_GB2312" w:cs="楷体_GB2312"/>
          <w:lang w:val="en-US" w:eastAsia="zh-CN"/>
        </w:rPr>
        <w:t>城市</w:t>
      </w:r>
      <w:r>
        <w:rPr>
          <w:rFonts w:hint="eastAsia" w:ascii="Times New Roman" w:hAnsi="Times New Roman" w:eastAsia="楷体_GB2312" w:cs="楷体_GB2312"/>
        </w:rPr>
        <w:t>生命线</w:t>
      </w:r>
      <w:r>
        <w:rPr>
          <w:rFonts w:hint="eastAsia" w:ascii="Times New Roman" w:hAnsi="Times New Roman" w:cs="楷体_GB2312"/>
          <w:lang w:val="en-US" w:eastAsia="zh-CN"/>
        </w:rPr>
        <w:t>基础设施</w:t>
      </w:r>
      <w:r>
        <w:tab/>
      </w:r>
      <w:r>
        <w:fldChar w:fldCharType="begin"/>
      </w:r>
      <w:r>
        <w:instrText xml:space="preserve"> PAGEREF _Toc506 \h </w:instrText>
      </w:r>
      <w:r>
        <w:fldChar w:fldCharType="separate"/>
      </w:r>
      <w:r>
        <w:t>118</w:t>
      </w:r>
      <w:r>
        <w:fldChar w:fldCharType="end"/>
      </w:r>
      <w:r>
        <w:rPr>
          <w:rFonts w:hint="eastAsia" w:ascii="仿宋" w:hAnsi="仿宋" w:eastAsia="仿宋" w:cs="仿宋"/>
          <w:szCs w:val="40"/>
          <w:lang w:val="en-US" w:eastAsia="zh-CN"/>
        </w:rPr>
        <w:fldChar w:fldCharType="end"/>
      </w:r>
    </w:p>
    <w:p w14:paraId="26176ABC">
      <w:pPr>
        <w:pStyle w:val="12"/>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_Toc6109 </w:instrText>
      </w:r>
      <w:r>
        <w:rPr>
          <w:rFonts w:hint="eastAsia" w:ascii="仿宋" w:hAnsi="仿宋" w:eastAsia="仿宋" w:cs="仿宋"/>
          <w:szCs w:val="40"/>
          <w:lang w:val="en-US" w:eastAsia="zh-CN"/>
        </w:rPr>
        <w:fldChar w:fldCharType="separate"/>
      </w:r>
      <w:r>
        <w:rPr>
          <w:rFonts w:hint="eastAsia" w:ascii="黑体" w:hAnsi="黑体" w:eastAsia="黑体" w:cs="黑体"/>
          <w:szCs w:val="48"/>
          <w:lang w:val="en-US" w:eastAsia="zh-CN"/>
        </w:rPr>
        <w:t>第十章  优化区域协调发展布局，谱写富锦城乡融合发展新篇章</w:t>
      </w:r>
      <w:r>
        <w:tab/>
      </w:r>
      <w:r>
        <w:fldChar w:fldCharType="begin"/>
      </w:r>
      <w:r>
        <w:instrText xml:space="preserve"> PAGEREF _Toc6109 \h </w:instrText>
      </w:r>
      <w:r>
        <w:fldChar w:fldCharType="separate"/>
      </w:r>
      <w:r>
        <w:t>121</w:t>
      </w:r>
      <w:r>
        <w:fldChar w:fldCharType="end"/>
      </w:r>
      <w:r>
        <w:rPr>
          <w:rFonts w:hint="eastAsia" w:ascii="仿宋" w:hAnsi="仿宋" w:eastAsia="仿宋" w:cs="仿宋"/>
          <w:szCs w:val="40"/>
          <w:lang w:val="en-US" w:eastAsia="zh-CN"/>
        </w:rPr>
        <w:fldChar w:fldCharType="end"/>
      </w:r>
    </w:p>
    <w:p w14:paraId="73AB12F6">
      <w:pPr>
        <w:pStyle w:val="14"/>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_Toc32415 </w:instrText>
      </w:r>
      <w:r>
        <w:rPr>
          <w:rFonts w:hint="eastAsia" w:ascii="仿宋" w:hAnsi="仿宋" w:eastAsia="仿宋" w:cs="仿宋"/>
          <w:szCs w:val="40"/>
          <w:lang w:val="en-US" w:eastAsia="zh-CN"/>
        </w:rPr>
        <w:fldChar w:fldCharType="separate"/>
      </w:r>
      <w:r>
        <w:rPr>
          <w:rFonts w:hint="eastAsia"/>
          <w:lang w:val="en-US" w:eastAsia="zh-CN"/>
        </w:rPr>
        <w:t>第一节  深入落实国省区域发展战略</w:t>
      </w:r>
      <w:r>
        <w:tab/>
      </w:r>
      <w:r>
        <w:fldChar w:fldCharType="begin"/>
      </w:r>
      <w:r>
        <w:instrText xml:space="preserve"> PAGEREF _Toc32415 \h </w:instrText>
      </w:r>
      <w:r>
        <w:fldChar w:fldCharType="separate"/>
      </w:r>
      <w:r>
        <w:t>121</w:t>
      </w:r>
      <w:r>
        <w:fldChar w:fldCharType="end"/>
      </w:r>
      <w:r>
        <w:rPr>
          <w:rFonts w:hint="eastAsia" w:ascii="仿宋" w:hAnsi="仿宋" w:eastAsia="仿宋" w:cs="仿宋"/>
          <w:szCs w:val="40"/>
          <w:lang w:val="en-US" w:eastAsia="zh-CN"/>
        </w:rPr>
        <w:fldChar w:fldCharType="end"/>
      </w:r>
    </w:p>
    <w:p w14:paraId="787C625B">
      <w:pPr>
        <w:pStyle w:val="14"/>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_Toc30988 </w:instrText>
      </w:r>
      <w:r>
        <w:rPr>
          <w:rFonts w:hint="eastAsia" w:ascii="仿宋" w:hAnsi="仿宋" w:eastAsia="仿宋" w:cs="仿宋"/>
          <w:szCs w:val="40"/>
          <w:lang w:val="en-US" w:eastAsia="zh-CN"/>
        </w:rPr>
        <w:fldChar w:fldCharType="separate"/>
      </w:r>
      <w:r>
        <w:rPr>
          <w:rFonts w:hint="eastAsia"/>
          <w:lang w:val="en-US" w:eastAsia="zh-CN"/>
        </w:rPr>
        <w:t>第二节  优化区域一体化协同发展格局</w:t>
      </w:r>
      <w:r>
        <w:tab/>
      </w:r>
      <w:r>
        <w:fldChar w:fldCharType="begin"/>
      </w:r>
      <w:r>
        <w:instrText xml:space="preserve"> PAGEREF _Toc30988 \h </w:instrText>
      </w:r>
      <w:r>
        <w:fldChar w:fldCharType="separate"/>
      </w:r>
      <w:r>
        <w:t>122</w:t>
      </w:r>
      <w:r>
        <w:fldChar w:fldCharType="end"/>
      </w:r>
      <w:r>
        <w:rPr>
          <w:rFonts w:hint="eastAsia" w:ascii="仿宋" w:hAnsi="仿宋" w:eastAsia="仿宋" w:cs="仿宋"/>
          <w:szCs w:val="40"/>
          <w:lang w:val="en-US" w:eastAsia="zh-CN"/>
        </w:rPr>
        <w:fldChar w:fldCharType="end"/>
      </w:r>
    </w:p>
    <w:p w14:paraId="1774C293">
      <w:pPr>
        <w:pStyle w:val="14"/>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_Toc17882 </w:instrText>
      </w:r>
      <w:r>
        <w:rPr>
          <w:rFonts w:hint="eastAsia" w:ascii="仿宋" w:hAnsi="仿宋" w:eastAsia="仿宋" w:cs="仿宋"/>
          <w:szCs w:val="40"/>
          <w:lang w:val="en-US" w:eastAsia="zh-CN"/>
        </w:rPr>
        <w:fldChar w:fldCharType="separate"/>
      </w:r>
      <w:r>
        <w:rPr>
          <w:rFonts w:hint="eastAsia"/>
          <w:lang w:val="en-US" w:eastAsia="zh-CN"/>
        </w:rPr>
        <w:t>第三节  以高品质城市更新引领新型城镇化发展</w:t>
      </w:r>
      <w:r>
        <w:tab/>
      </w:r>
      <w:r>
        <w:fldChar w:fldCharType="begin"/>
      </w:r>
      <w:r>
        <w:instrText xml:space="preserve"> PAGEREF _Toc17882 \h </w:instrText>
      </w:r>
      <w:r>
        <w:fldChar w:fldCharType="separate"/>
      </w:r>
      <w:r>
        <w:t>123</w:t>
      </w:r>
      <w:r>
        <w:fldChar w:fldCharType="end"/>
      </w:r>
      <w:r>
        <w:rPr>
          <w:rFonts w:hint="eastAsia" w:ascii="仿宋" w:hAnsi="仿宋" w:eastAsia="仿宋" w:cs="仿宋"/>
          <w:szCs w:val="40"/>
          <w:lang w:val="en-US" w:eastAsia="zh-CN"/>
        </w:rPr>
        <w:fldChar w:fldCharType="end"/>
      </w:r>
    </w:p>
    <w:p w14:paraId="78D7F299">
      <w:pPr>
        <w:pStyle w:val="14"/>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_Toc4774 </w:instrText>
      </w:r>
      <w:r>
        <w:rPr>
          <w:rFonts w:hint="eastAsia" w:ascii="仿宋" w:hAnsi="仿宋" w:eastAsia="仿宋" w:cs="仿宋"/>
          <w:szCs w:val="40"/>
          <w:lang w:val="en-US" w:eastAsia="zh-CN"/>
        </w:rPr>
        <w:fldChar w:fldCharType="separate"/>
      </w:r>
      <w:r>
        <w:rPr>
          <w:rFonts w:hint="eastAsia"/>
          <w:lang w:val="en-US" w:eastAsia="zh-CN"/>
        </w:rPr>
        <w:t>第四节  以振兴县域经济为牵引驱动城乡深度融合发展</w:t>
      </w:r>
      <w:r>
        <w:tab/>
      </w:r>
      <w:r>
        <w:fldChar w:fldCharType="begin"/>
      </w:r>
      <w:r>
        <w:instrText xml:space="preserve"> PAGEREF _Toc4774 \h </w:instrText>
      </w:r>
      <w:r>
        <w:fldChar w:fldCharType="separate"/>
      </w:r>
      <w:r>
        <w:t>130</w:t>
      </w:r>
      <w:r>
        <w:fldChar w:fldCharType="end"/>
      </w:r>
      <w:r>
        <w:rPr>
          <w:rFonts w:hint="eastAsia" w:ascii="仿宋" w:hAnsi="仿宋" w:eastAsia="仿宋" w:cs="仿宋"/>
          <w:szCs w:val="40"/>
          <w:lang w:val="en-US" w:eastAsia="zh-CN"/>
        </w:rPr>
        <w:fldChar w:fldCharType="end"/>
      </w:r>
    </w:p>
    <w:p w14:paraId="265B1DD3">
      <w:pPr>
        <w:pStyle w:val="12"/>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_Toc7245 </w:instrText>
      </w:r>
      <w:r>
        <w:rPr>
          <w:rFonts w:hint="eastAsia" w:ascii="仿宋" w:hAnsi="仿宋" w:eastAsia="仿宋" w:cs="仿宋"/>
          <w:szCs w:val="40"/>
          <w:lang w:val="en-US" w:eastAsia="zh-CN"/>
        </w:rPr>
        <w:fldChar w:fldCharType="separate"/>
      </w:r>
      <w:r>
        <w:rPr>
          <w:rFonts w:hint="eastAsia" w:ascii="黑体" w:hAnsi="黑体" w:eastAsia="黑体" w:cs="黑体"/>
          <w:szCs w:val="48"/>
          <w:lang w:val="en-US" w:eastAsia="zh-CN"/>
        </w:rPr>
        <w:t>第十一章  激发文化创新创造活力，引领三江平原文旅深度融合发展</w:t>
      </w:r>
      <w:r>
        <w:tab/>
      </w:r>
      <w:r>
        <w:fldChar w:fldCharType="begin"/>
      </w:r>
      <w:r>
        <w:instrText xml:space="preserve"> PAGEREF _Toc7245 \h </w:instrText>
      </w:r>
      <w:r>
        <w:fldChar w:fldCharType="separate"/>
      </w:r>
      <w:r>
        <w:t>133</w:t>
      </w:r>
      <w:r>
        <w:fldChar w:fldCharType="end"/>
      </w:r>
      <w:r>
        <w:rPr>
          <w:rFonts w:hint="eastAsia" w:ascii="仿宋" w:hAnsi="仿宋" w:eastAsia="仿宋" w:cs="仿宋"/>
          <w:szCs w:val="40"/>
          <w:lang w:val="en-US" w:eastAsia="zh-CN"/>
        </w:rPr>
        <w:fldChar w:fldCharType="end"/>
      </w:r>
    </w:p>
    <w:p w14:paraId="7CAF8890">
      <w:pPr>
        <w:pStyle w:val="14"/>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_Toc21027 </w:instrText>
      </w:r>
      <w:r>
        <w:rPr>
          <w:rFonts w:hint="eastAsia" w:ascii="仿宋" w:hAnsi="仿宋" w:eastAsia="仿宋" w:cs="仿宋"/>
          <w:szCs w:val="40"/>
          <w:lang w:val="en-US" w:eastAsia="zh-CN"/>
        </w:rPr>
        <w:fldChar w:fldCharType="separate"/>
      </w:r>
      <w:r>
        <w:rPr>
          <w:rFonts w:hint="eastAsia"/>
          <w:lang w:val="en-US" w:eastAsia="zh-CN"/>
        </w:rPr>
        <w:t>第一节  大力弘扬和践行社会主义核心价值观</w:t>
      </w:r>
      <w:r>
        <w:tab/>
      </w:r>
      <w:r>
        <w:fldChar w:fldCharType="begin"/>
      </w:r>
      <w:r>
        <w:instrText xml:space="preserve"> PAGEREF _Toc21027 \h </w:instrText>
      </w:r>
      <w:r>
        <w:fldChar w:fldCharType="separate"/>
      </w:r>
      <w:r>
        <w:t>133</w:t>
      </w:r>
      <w:r>
        <w:fldChar w:fldCharType="end"/>
      </w:r>
      <w:r>
        <w:rPr>
          <w:rFonts w:hint="eastAsia" w:ascii="仿宋" w:hAnsi="仿宋" w:eastAsia="仿宋" w:cs="仿宋"/>
          <w:szCs w:val="40"/>
          <w:lang w:val="en-US" w:eastAsia="zh-CN"/>
        </w:rPr>
        <w:fldChar w:fldCharType="end"/>
      </w:r>
    </w:p>
    <w:p w14:paraId="1406E675">
      <w:pPr>
        <w:pStyle w:val="14"/>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_Toc3949 </w:instrText>
      </w:r>
      <w:r>
        <w:rPr>
          <w:rFonts w:hint="eastAsia" w:ascii="仿宋" w:hAnsi="仿宋" w:eastAsia="仿宋" w:cs="仿宋"/>
          <w:szCs w:val="40"/>
          <w:lang w:val="en-US" w:eastAsia="zh-CN"/>
        </w:rPr>
        <w:fldChar w:fldCharType="separate"/>
      </w:r>
      <w:r>
        <w:rPr>
          <w:rFonts w:hint="eastAsia"/>
          <w:lang w:val="en-US" w:eastAsia="zh-CN"/>
        </w:rPr>
        <w:t>第二节  推动文化体育事业高质量发展</w:t>
      </w:r>
      <w:r>
        <w:tab/>
      </w:r>
      <w:r>
        <w:fldChar w:fldCharType="begin"/>
      </w:r>
      <w:r>
        <w:instrText xml:space="preserve"> PAGEREF _Toc3949 \h </w:instrText>
      </w:r>
      <w:r>
        <w:fldChar w:fldCharType="separate"/>
      </w:r>
      <w:r>
        <w:t>134</w:t>
      </w:r>
      <w:r>
        <w:fldChar w:fldCharType="end"/>
      </w:r>
      <w:r>
        <w:rPr>
          <w:rFonts w:hint="eastAsia" w:ascii="仿宋" w:hAnsi="仿宋" w:eastAsia="仿宋" w:cs="仿宋"/>
          <w:szCs w:val="40"/>
          <w:lang w:val="en-US" w:eastAsia="zh-CN"/>
        </w:rPr>
        <w:fldChar w:fldCharType="end"/>
      </w:r>
    </w:p>
    <w:p w14:paraId="7FA34224">
      <w:pPr>
        <w:pStyle w:val="14"/>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_Toc30109 </w:instrText>
      </w:r>
      <w:r>
        <w:rPr>
          <w:rFonts w:hint="eastAsia" w:ascii="仿宋" w:hAnsi="仿宋" w:eastAsia="仿宋" w:cs="仿宋"/>
          <w:szCs w:val="40"/>
          <w:lang w:val="en-US" w:eastAsia="zh-CN"/>
        </w:rPr>
        <w:fldChar w:fldCharType="separate"/>
      </w:r>
      <w:r>
        <w:rPr>
          <w:rFonts w:hint="eastAsia"/>
          <w:lang w:val="en-US" w:eastAsia="zh-CN"/>
        </w:rPr>
        <w:t>第三节  培育壮大富锦特色文化产业</w:t>
      </w:r>
      <w:r>
        <w:tab/>
      </w:r>
      <w:r>
        <w:fldChar w:fldCharType="begin"/>
      </w:r>
      <w:r>
        <w:instrText xml:space="preserve"> PAGEREF _Toc30109 \h </w:instrText>
      </w:r>
      <w:r>
        <w:fldChar w:fldCharType="separate"/>
      </w:r>
      <w:r>
        <w:t>137</w:t>
      </w:r>
      <w:r>
        <w:fldChar w:fldCharType="end"/>
      </w:r>
      <w:r>
        <w:rPr>
          <w:rFonts w:hint="eastAsia" w:ascii="仿宋" w:hAnsi="仿宋" w:eastAsia="仿宋" w:cs="仿宋"/>
          <w:szCs w:val="40"/>
          <w:lang w:val="en-US" w:eastAsia="zh-CN"/>
        </w:rPr>
        <w:fldChar w:fldCharType="end"/>
      </w:r>
    </w:p>
    <w:p w14:paraId="4C3D77E8">
      <w:pPr>
        <w:pStyle w:val="14"/>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_Toc31127 </w:instrText>
      </w:r>
      <w:r>
        <w:rPr>
          <w:rFonts w:hint="eastAsia" w:ascii="仿宋" w:hAnsi="仿宋" w:eastAsia="仿宋" w:cs="仿宋"/>
          <w:szCs w:val="40"/>
          <w:lang w:val="en-US" w:eastAsia="zh-CN"/>
        </w:rPr>
        <w:fldChar w:fldCharType="separate"/>
      </w:r>
      <w:r>
        <w:rPr>
          <w:rFonts w:hint="eastAsia"/>
          <w:lang w:val="en-US" w:eastAsia="zh-CN"/>
        </w:rPr>
        <w:t>第四节  推动富锦旅游业提质增效发展</w:t>
      </w:r>
      <w:r>
        <w:tab/>
      </w:r>
      <w:r>
        <w:fldChar w:fldCharType="begin"/>
      </w:r>
      <w:r>
        <w:instrText xml:space="preserve"> PAGEREF _Toc31127 \h </w:instrText>
      </w:r>
      <w:r>
        <w:fldChar w:fldCharType="separate"/>
      </w:r>
      <w:r>
        <w:t>138</w:t>
      </w:r>
      <w:r>
        <w:fldChar w:fldCharType="end"/>
      </w:r>
      <w:r>
        <w:rPr>
          <w:rFonts w:hint="eastAsia" w:ascii="仿宋" w:hAnsi="仿宋" w:eastAsia="仿宋" w:cs="仿宋"/>
          <w:szCs w:val="40"/>
          <w:lang w:val="en-US" w:eastAsia="zh-CN"/>
        </w:rPr>
        <w:fldChar w:fldCharType="end"/>
      </w:r>
    </w:p>
    <w:p w14:paraId="055F13ED">
      <w:pPr>
        <w:pStyle w:val="12"/>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_Toc22521 </w:instrText>
      </w:r>
      <w:r>
        <w:rPr>
          <w:rFonts w:hint="eastAsia" w:ascii="仿宋" w:hAnsi="仿宋" w:eastAsia="仿宋" w:cs="仿宋"/>
          <w:szCs w:val="40"/>
          <w:lang w:val="en-US" w:eastAsia="zh-CN"/>
        </w:rPr>
        <w:fldChar w:fldCharType="separate"/>
      </w:r>
      <w:r>
        <w:rPr>
          <w:rFonts w:hint="eastAsia"/>
          <w:lang w:val="en-US" w:eastAsia="zh-CN"/>
        </w:rPr>
        <w:t>第十二章  持续提升民生保障水平，加快建设人民幸福美好富锦</w:t>
      </w:r>
      <w:r>
        <w:tab/>
      </w:r>
      <w:r>
        <w:fldChar w:fldCharType="begin"/>
      </w:r>
      <w:r>
        <w:instrText xml:space="preserve"> PAGEREF _Toc22521 \h </w:instrText>
      </w:r>
      <w:r>
        <w:fldChar w:fldCharType="separate"/>
      </w:r>
      <w:r>
        <w:t>140</w:t>
      </w:r>
      <w:r>
        <w:fldChar w:fldCharType="end"/>
      </w:r>
      <w:r>
        <w:rPr>
          <w:rFonts w:hint="eastAsia" w:ascii="仿宋" w:hAnsi="仿宋" w:eastAsia="仿宋" w:cs="仿宋"/>
          <w:szCs w:val="40"/>
          <w:lang w:val="en-US" w:eastAsia="zh-CN"/>
        </w:rPr>
        <w:fldChar w:fldCharType="end"/>
      </w:r>
    </w:p>
    <w:p w14:paraId="59EB90FA">
      <w:pPr>
        <w:pStyle w:val="14"/>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_Toc5139 </w:instrText>
      </w:r>
      <w:r>
        <w:rPr>
          <w:rFonts w:hint="eastAsia" w:ascii="仿宋" w:hAnsi="仿宋" w:eastAsia="仿宋" w:cs="仿宋"/>
          <w:szCs w:val="40"/>
          <w:lang w:val="en-US" w:eastAsia="zh-CN"/>
        </w:rPr>
        <w:fldChar w:fldCharType="separate"/>
      </w:r>
      <w:r>
        <w:rPr>
          <w:rFonts w:hint="eastAsia"/>
          <w:lang w:val="en-US" w:eastAsia="zh-CN"/>
        </w:rPr>
        <w:t>第一节  构建高质量就业服务体系</w:t>
      </w:r>
      <w:r>
        <w:tab/>
      </w:r>
      <w:r>
        <w:fldChar w:fldCharType="begin"/>
      </w:r>
      <w:r>
        <w:instrText xml:space="preserve"> PAGEREF _Toc5139 \h </w:instrText>
      </w:r>
      <w:r>
        <w:fldChar w:fldCharType="separate"/>
      </w:r>
      <w:r>
        <w:t>140</w:t>
      </w:r>
      <w:r>
        <w:fldChar w:fldCharType="end"/>
      </w:r>
      <w:r>
        <w:rPr>
          <w:rFonts w:hint="eastAsia" w:ascii="仿宋" w:hAnsi="仿宋" w:eastAsia="仿宋" w:cs="仿宋"/>
          <w:szCs w:val="40"/>
          <w:lang w:val="en-US" w:eastAsia="zh-CN"/>
        </w:rPr>
        <w:fldChar w:fldCharType="end"/>
      </w:r>
    </w:p>
    <w:p w14:paraId="1ABF1BBF">
      <w:pPr>
        <w:pStyle w:val="14"/>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_Toc22388 </w:instrText>
      </w:r>
      <w:r>
        <w:rPr>
          <w:rFonts w:hint="eastAsia" w:ascii="仿宋" w:hAnsi="仿宋" w:eastAsia="仿宋" w:cs="仿宋"/>
          <w:szCs w:val="40"/>
          <w:lang w:val="en-US" w:eastAsia="zh-CN"/>
        </w:rPr>
        <w:fldChar w:fldCharType="separate"/>
      </w:r>
      <w:r>
        <w:rPr>
          <w:rFonts w:hint="eastAsia"/>
          <w:lang w:val="en-US" w:eastAsia="zh-CN"/>
        </w:rPr>
        <w:t>第二节  以分配改革驱动群众增收致富</w:t>
      </w:r>
      <w:r>
        <w:tab/>
      </w:r>
      <w:r>
        <w:fldChar w:fldCharType="begin"/>
      </w:r>
      <w:r>
        <w:instrText xml:space="preserve"> PAGEREF _Toc22388 \h </w:instrText>
      </w:r>
      <w:r>
        <w:fldChar w:fldCharType="separate"/>
      </w:r>
      <w:r>
        <w:t>143</w:t>
      </w:r>
      <w:r>
        <w:fldChar w:fldCharType="end"/>
      </w:r>
      <w:r>
        <w:rPr>
          <w:rFonts w:hint="eastAsia" w:ascii="仿宋" w:hAnsi="仿宋" w:eastAsia="仿宋" w:cs="仿宋"/>
          <w:szCs w:val="40"/>
          <w:lang w:val="en-US" w:eastAsia="zh-CN"/>
        </w:rPr>
        <w:fldChar w:fldCharType="end"/>
      </w:r>
    </w:p>
    <w:p w14:paraId="357A3E01">
      <w:pPr>
        <w:pStyle w:val="14"/>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_Toc28151 </w:instrText>
      </w:r>
      <w:r>
        <w:rPr>
          <w:rFonts w:hint="eastAsia" w:ascii="仿宋" w:hAnsi="仿宋" w:eastAsia="仿宋" w:cs="仿宋"/>
          <w:szCs w:val="40"/>
          <w:lang w:val="en-US" w:eastAsia="zh-CN"/>
        </w:rPr>
        <w:fldChar w:fldCharType="separate"/>
      </w:r>
      <w:r>
        <w:rPr>
          <w:rFonts w:hint="eastAsia"/>
          <w:highlight w:val="none"/>
          <w:lang w:val="en-US" w:eastAsia="zh-CN"/>
        </w:rPr>
        <w:t>第三节  全力办好人民满意教育</w:t>
      </w:r>
      <w:r>
        <w:tab/>
      </w:r>
      <w:r>
        <w:fldChar w:fldCharType="begin"/>
      </w:r>
      <w:r>
        <w:instrText xml:space="preserve"> PAGEREF _Toc28151 \h </w:instrText>
      </w:r>
      <w:r>
        <w:fldChar w:fldCharType="separate"/>
      </w:r>
      <w:r>
        <w:t>144</w:t>
      </w:r>
      <w:r>
        <w:fldChar w:fldCharType="end"/>
      </w:r>
      <w:r>
        <w:rPr>
          <w:rFonts w:hint="eastAsia" w:ascii="仿宋" w:hAnsi="仿宋" w:eastAsia="仿宋" w:cs="仿宋"/>
          <w:szCs w:val="40"/>
          <w:lang w:val="en-US" w:eastAsia="zh-CN"/>
        </w:rPr>
        <w:fldChar w:fldCharType="end"/>
      </w:r>
    </w:p>
    <w:p w14:paraId="0188D966">
      <w:pPr>
        <w:pStyle w:val="14"/>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_Toc29036 </w:instrText>
      </w:r>
      <w:r>
        <w:rPr>
          <w:rFonts w:hint="eastAsia" w:ascii="仿宋" w:hAnsi="仿宋" w:eastAsia="仿宋" w:cs="仿宋"/>
          <w:szCs w:val="40"/>
          <w:lang w:val="en-US" w:eastAsia="zh-CN"/>
        </w:rPr>
        <w:fldChar w:fldCharType="separate"/>
      </w:r>
      <w:r>
        <w:rPr>
          <w:rFonts w:hint="eastAsia"/>
          <w:lang w:val="en-US" w:eastAsia="zh-CN"/>
        </w:rPr>
        <w:t>第四节  健全多层次社会保障体系</w:t>
      </w:r>
      <w:r>
        <w:tab/>
      </w:r>
      <w:r>
        <w:fldChar w:fldCharType="begin"/>
      </w:r>
      <w:r>
        <w:instrText xml:space="preserve"> PAGEREF _Toc29036 \h </w:instrText>
      </w:r>
      <w:r>
        <w:fldChar w:fldCharType="separate"/>
      </w:r>
      <w:r>
        <w:t>149</w:t>
      </w:r>
      <w:r>
        <w:fldChar w:fldCharType="end"/>
      </w:r>
      <w:r>
        <w:rPr>
          <w:rFonts w:hint="eastAsia" w:ascii="仿宋" w:hAnsi="仿宋" w:eastAsia="仿宋" w:cs="仿宋"/>
          <w:szCs w:val="40"/>
          <w:lang w:val="en-US" w:eastAsia="zh-CN"/>
        </w:rPr>
        <w:fldChar w:fldCharType="end"/>
      </w:r>
    </w:p>
    <w:p w14:paraId="34996020">
      <w:pPr>
        <w:pStyle w:val="14"/>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_Toc5952 </w:instrText>
      </w:r>
      <w:r>
        <w:rPr>
          <w:rFonts w:hint="eastAsia" w:ascii="仿宋" w:hAnsi="仿宋" w:eastAsia="仿宋" w:cs="仿宋"/>
          <w:szCs w:val="40"/>
          <w:lang w:val="en-US" w:eastAsia="zh-CN"/>
        </w:rPr>
        <w:fldChar w:fldCharType="separate"/>
      </w:r>
      <w:r>
        <w:rPr>
          <w:rFonts w:hint="eastAsia"/>
          <w:lang w:val="en-US" w:eastAsia="zh-CN"/>
        </w:rPr>
        <w:t>第五节  加快推进健康富锦建设</w:t>
      </w:r>
      <w:r>
        <w:tab/>
      </w:r>
      <w:r>
        <w:fldChar w:fldCharType="begin"/>
      </w:r>
      <w:r>
        <w:instrText xml:space="preserve"> PAGEREF _Toc5952 \h </w:instrText>
      </w:r>
      <w:r>
        <w:fldChar w:fldCharType="separate"/>
      </w:r>
      <w:r>
        <w:t>151</w:t>
      </w:r>
      <w:r>
        <w:fldChar w:fldCharType="end"/>
      </w:r>
      <w:r>
        <w:rPr>
          <w:rFonts w:hint="eastAsia" w:ascii="仿宋" w:hAnsi="仿宋" w:eastAsia="仿宋" w:cs="仿宋"/>
          <w:szCs w:val="40"/>
          <w:lang w:val="en-US" w:eastAsia="zh-CN"/>
        </w:rPr>
        <w:fldChar w:fldCharType="end"/>
      </w:r>
    </w:p>
    <w:p w14:paraId="24E862CB">
      <w:pPr>
        <w:pStyle w:val="14"/>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_Toc17822 </w:instrText>
      </w:r>
      <w:r>
        <w:rPr>
          <w:rFonts w:hint="eastAsia" w:ascii="仿宋" w:hAnsi="仿宋" w:eastAsia="仿宋" w:cs="仿宋"/>
          <w:szCs w:val="40"/>
          <w:lang w:val="en-US" w:eastAsia="zh-CN"/>
        </w:rPr>
        <w:fldChar w:fldCharType="separate"/>
      </w:r>
      <w:r>
        <w:rPr>
          <w:rFonts w:hint="eastAsia"/>
          <w:lang w:val="en-US" w:eastAsia="zh-CN"/>
        </w:rPr>
        <w:t>第六节  促进人口高质量发展</w:t>
      </w:r>
      <w:r>
        <w:tab/>
      </w:r>
      <w:r>
        <w:fldChar w:fldCharType="begin"/>
      </w:r>
      <w:r>
        <w:instrText xml:space="preserve"> PAGEREF _Toc17822 \h </w:instrText>
      </w:r>
      <w:r>
        <w:fldChar w:fldCharType="separate"/>
      </w:r>
      <w:r>
        <w:t>156</w:t>
      </w:r>
      <w:r>
        <w:fldChar w:fldCharType="end"/>
      </w:r>
      <w:r>
        <w:rPr>
          <w:rFonts w:hint="eastAsia" w:ascii="仿宋" w:hAnsi="仿宋" w:eastAsia="仿宋" w:cs="仿宋"/>
          <w:szCs w:val="40"/>
          <w:lang w:val="en-US" w:eastAsia="zh-CN"/>
        </w:rPr>
        <w:fldChar w:fldCharType="end"/>
      </w:r>
    </w:p>
    <w:p w14:paraId="2D266840">
      <w:pPr>
        <w:pStyle w:val="14"/>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_Toc2464 </w:instrText>
      </w:r>
      <w:r>
        <w:rPr>
          <w:rFonts w:hint="eastAsia" w:ascii="仿宋" w:hAnsi="仿宋" w:eastAsia="仿宋" w:cs="仿宋"/>
          <w:szCs w:val="40"/>
          <w:lang w:val="en-US" w:eastAsia="zh-CN"/>
        </w:rPr>
        <w:fldChar w:fldCharType="separate"/>
      </w:r>
      <w:r>
        <w:rPr>
          <w:rFonts w:hint="eastAsia"/>
          <w:lang w:val="en-US" w:eastAsia="zh-CN"/>
        </w:rPr>
        <w:t>第七节  稳步推进基本公共服务均等化</w:t>
      </w:r>
      <w:r>
        <w:tab/>
      </w:r>
      <w:r>
        <w:fldChar w:fldCharType="begin"/>
      </w:r>
      <w:r>
        <w:instrText xml:space="preserve"> PAGEREF _Toc2464 \h </w:instrText>
      </w:r>
      <w:r>
        <w:fldChar w:fldCharType="separate"/>
      </w:r>
      <w:r>
        <w:t>157</w:t>
      </w:r>
      <w:r>
        <w:fldChar w:fldCharType="end"/>
      </w:r>
      <w:r>
        <w:rPr>
          <w:rFonts w:hint="eastAsia" w:ascii="仿宋" w:hAnsi="仿宋" w:eastAsia="仿宋" w:cs="仿宋"/>
          <w:szCs w:val="40"/>
          <w:lang w:val="en-US" w:eastAsia="zh-CN"/>
        </w:rPr>
        <w:fldChar w:fldCharType="end"/>
      </w:r>
    </w:p>
    <w:p w14:paraId="50BB0ECE">
      <w:pPr>
        <w:pStyle w:val="12"/>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_Toc1079 </w:instrText>
      </w:r>
      <w:r>
        <w:rPr>
          <w:rFonts w:hint="eastAsia" w:ascii="仿宋" w:hAnsi="仿宋" w:eastAsia="仿宋" w:cs="仿宋"/>
          <w:szCs w:val="40"/>
          <w:lang w:val="en-US" w:eastAsia="zh-CN"/>
        </w:rPr>
        <w:fldChar w:fldCharType="separate"/>
      </w:r>
      <w:r>
        <w:rPr>
          <w:rFonts w:hint="eastAsia"/>
          <w:lang w:val="en-US" w:eastAsia="zh-CN"/>
        </w:rPr>
        <w:t>第十三章  深入践行“两山”理念</w:t>
      </w:r>
      <w:r>
        <w:rPr>
          <w:rFonts w:hint="default"/>
          <w:lang w:val="en-US" w:eastAsia="zh-CN"/>
        </w:rPr>
        <w:t>，建设美丽生态宜居美好富锦</w:t>
      </w:r>
      <w:r>
        <w:tab/>
      </w:r>
      <w:r>
        <w:fldChar w:fldCharType="begin"/>
      </w:r>
      <w:r>
        <w:instrText xml:space="preserve"> PAGEREF _Toc1079 \h </w:instrText>
      </w:r>
      <w:r>
        <w:fldChar w:fldCharType="separate"/>
      </w:r>
      <w:r>
        <w:t>161</w:t>
      </w:r>
      <w:r>
        <w:fldChar w:fldCharType="end"/>
      </w:r>
      <w:r>
        <w:rPr>
          <w:rFonts w:hint="eastAsia" w:ascii="仿宋" w:hAnsi="仿宋" w:eastAsia="仿宋" w:cs="仿宋"/>
          <w:szCs w:val="40"/>
          <w:lang w:val="en-US" w:eastAsia="zh-CN"/>
        </w:rPr>
        <w:fldChar w:fldCharType="end"/>
      </w:r>
    </w:p>
    <w:p w14:paraId="3EE84F5B">
      <w:pPr>
        <w:pStyle w:val="14"/>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_Toc25808 </w:instrText>
      </w:r>
      <w:r>
        <w:rPr>
          <w:rFonts w:hint="eastAsia" w:ascii="仿宋" w:hAnsi="仿宋" w:eastAsia="仿宋" w:cs="仿宋"/>
          <w:szCs w:val="40"/>
          <w:lang w:val="en-US" w:eastAsia="zh-CN"/>
        </w:rPr>
        <w:fldChar w:fldCharType="separate"/>
      </w:r>
      <w:r>
        <w:rPr>
          <w:rFonts w:hint="eastAsia" w:ascii="Times New Roman" w:hAnsi="Times New Roman" w:eastAsia="楷体_GB2312" w:cs="楷体_GB2312"/>
          <w:shd w:val="clear" w:fill="auto"/>
        </w:rPr>
        <w:t xml:space="preserve">第一节  </w:t>
      </w:r>
      <w:r>
        <w:rPr>
          <w:rFonts w:hint="eastAsia" w:ascii="Times New Roman" w:hAnsi="Times New Roman" w:cs="楷体_GB2312"/>
          <w:shd w:val="clear" w:fill="auto"/>
          <w:lang w:val="en-US" w:eastAsia="zh-CN"/>
        </w:rPr>
        <w:t>打好污染防治攻坚战，</w:t>
      </w:r>
      <w:r>
        <w:rPr>
          <w:rFonts w:hint="eastAsia" w:ascii="Times New Roman" w:hAnsi="Times New Roman" w:eastAsia="楷体_GB2312" w:cs="楷体_GB2312"/>
          <w:shd w:val="clear" w:fill="auto"/>
        </w:rPr>
        <w:t>筑牢</w:t>
      </w:r>
      <w:r>
        <w:rPr>
          <w:rFonts w:hint="eastAsia" w:ascii="Times New Roman" w:hAnsi="Times New Roman" w:eastAsia="楷体_GB2312" w:cs="楷体_GB2312"/>
          <w:shd w:val="clear" w:fill="auto"/>
          <w:lang w:val="en-US" w:eastAsia="zh-CN"/>
        </w:rPr>
        <w:t>山水田园</w:t>
      </w:r>
      <w:r>
        <w:rPr>
          <w:rFonts w:hint="eastAsia" w:ascii="Times New Roman" w:hAnsi="Times New Roman" w:eastAsia="楷体_GB2312" w:cs="楷体_GB2312"/>
          <w:shd w:val="clear" w:fill="auto"/>
        </w:rPr>
        <w:t>生态基底</w:t>
      </w:r>
      <w:r>
        <w:tab/>
      </w:r>
      <w:r>
        <w:fldChar w:fldCharType="begin"/>
      </w:r>
      <w:r>
        <w:instrText xml:space="preserve"> PAGEREF _Toc25808 \h </w:instrText>
      </w:r>
      <w:r>
        <w:fldChar w:fldCharType="separate"/>
      </w:r>
      <w:r>
        <w:t>161</w:t>
      </w:r>
      <w:r>
        <w:fldChar w:fldCharType="end"/>
      </w:r>
      <w:r>
        <w:rPr>
          <w:rFonts w:hint="eastAsia" w:ascii="仿宋" w:hAnsi="仿宋" w:eastAsia="仿宋" w:cs="仿宋"/>
          <w:szCs w:val="40"/>
          <w:lang w:val="en-US" w:eastAsia="zh-CN"/>
        </w:rPr>
        <w:fldChar w:fldCharType="end"/>
      </w:r>
    </w:p>
    <w:p w14:paraId="12DB0704">
      <w:pPr>
        <w:pStyle w:val="14"/>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_Toc9562 </w:instrText>
      </w:r>
      <w:r>
        <w:rPr>
          <w:rFonts w:hint="eastAsia" w:ascii="仿宋" w:hAnsi="仿宋" w:eastAsia="仿宋" w:cs="仿宋"/>
          <w:szCs w:val="40"/>
          <w:lang w:val="en-US" w:eastAsia="zh-CN"/>
        </w:rPr>
        <w:fldChar w:fldCharType="separate"/>
      </w:r>
      <w:r>
        <w:rPr>
          <w:rFonts w:hint="eastAsia" w:ascii="Times New Roman" w:hAnsi="Times New Roman" w:eastAsia="楷体_GB2312" w:cs="楷体_GB2312"/>
          <w:shd w:val="clear" w:fill="auto"/>
        </w:rPr>
        <w:t xml:space="preserve">第二节  </w:t>
      </w:r>
      <w:r>
        <w:rPr>
          <w:rFonts w:hint="eastAsia" w:ascii="Times New Roman" w:hAnsi="Times New Roman" w:cs="楷体_GB2312"/>
          <w:shd w:val="clear" w:fill="auto"/>
          <w:lang w:val="en-US" w:eastAsia="zh-CN"/>
        </w:rPr>
        <w:t>加强生态系统保护修复，</w:t>
      </w:r>
      <w:r>
        <w:rPr>
          <w:rFonts w:hint="eastAsia" w:ascii="Times New Roman" w:hAnsi="Times New Roman" w:eastAsia="楷体_GB2312" w:cs="楷体_GB2312"/>
          <w:shd w:val="clear" w:fill="auto"/>
        </w:rPr>
        <w:t>创新</w:t>
      </w:r>
      <w:r>
        <w:rPr>
          <w:rFonts w:hint="eastAsia" w:ascii="Times New Roman" w:hAnsi="Times New Roman" w:eastAsia="楷体_GB2312" w:cs="楷体_GB2312"/>
          <w:shd w:val="clear" w:fill="auto"/>
          <w:lang w:val="en-US" w:eastAsia="zh-CN"/>
        </w:rPr>
        <w:t>生态价值转化机制</w:t>
      </w:r>
      <w:r>
        <w:tab/>
      </w:r>
      <w:r>
        <w:fldChar w:fldCharType="begin"/>
      </w:r>
      <w:r>
        <w:instrText xml:space="preserve"> PAGEREF _Toc9562 \h </w:instrText>
      </w:r>
      <w:r>
        <w:fldChar w:fldCharType="separate"/>
      </w:r>
      <w:r>
        <w:t>163</w:t>
      </w:r>
      <w:r>
        <w:fldChar w:fldCharType="end"/>
      </w:r>
      <w:r>
        <w:rPr>
          <w:rFonts w:hint="eastAsia" w:ascii="仿宋" w:hAnsi="仿宋" w:eastAsia="仿宋" w:cs="仿宋"/>
          <w:szCs w:val="40"/>
          <w:lang w:val="en-US" w:eastAsia="zh-CN"/>
        </w:rPr>
        <w:fldChar w:fldCharType="end"/>
      </w:r>
    </w:p>
    <w:p w14:paraId="3B7A85F6">
      <w:pPr>
        <w:pStyle w:val="14"/>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_Toc620 </w:instrText>
      </w:r>
      <w:r>
        <w:rPr>
          <w:rFonts w:hint="eastAsia" w:ascii="仿宋" w:hAnsi="仿宋" w:eastAsia="仿宋" w:cs="仿宋"/>
          <w:szCs w:val="40"/>
          <w:lang w:val="en-US" w:eastAsia="zh-CN"/>
        </w:rPr>
        <w:fldChar w:fldCharType="separate"/>
      </w:r>
      <w:r>
        <w:rPr>
          <w:rFonts w:hint="eastAsia" w:ascii="Times New Roman" w:hAnsi="Times New Roman" w:eastAsia="楷体_GB2312" w:cs="楷体_GB2312"/>
          <w:shd w:val="clear" w:fill="auto"/>
        </w:rPr>
        <w:t xml:space="preserve">第三节  </w:t>
      </w:r>
      <w:r>
        <w:rPr>
          <w:rFonts w:hint="eastAsia" w:ascii="Times New Roman" w:hAnsi="Times New Roman" w:cs="楷体_GB2312"/>
          <w:shd w:val="clear" w:fill="auto"/>
          <w:lang w:val="en-US" w:eastAsia="zh-CN"/>
        </w:rPr>
        <w:t>稳妥推进碳达峰碳中和，</w:t>
      </w:r>
      <w:r>
        <w:rPr>
          <w:rFonts w:hint="eastAsia" w:ascii="Times New Roman" w:hAnsi="Times New Roman" w:eastAsia="楷体_GB2312" w:cs="楷体_GB2312"/>
          <w:shd w:val="clear" w:fill="auto"/>
        </w:rPr>
        <w:t>培育零碳粮都</w:t>
      </w:r>
      <w:r>
        <w:rPr>
          <w:rFonts w:hint="eastAsia" w:ascii="Times New Roman" w:hAnsi="Times New Roman" w:eastAsia="楷体_GB2312" w:cs="楷体_GB2312"/>
          <w:shd w:val="clear" w:fill="auto"/>
          <w:lang w:val="en-US" w:eastAsia="zh-CN"/>
        </w:rPr>
        <w:t>绿色动能</w:t>
      </w:r>
      <w:r>
        <w:tab/>
      </w:r>
      <w:r>
        <w:fldChar w:fldCharType="begin"/>
      </w:r>
      <w:r>
        <w:instrText xml:space="preserve"> PAGEREF _Toc620 \h </w:instrText>
      </w:r>
      <w:r>
        <w:fldChar w:fldCharType="separate"/>
      </w:r>
      <w:r>
        <w:t>164</w:t>
      </w:r>
      <w:r>
        <w:fldChar w:fldCharType="end"/>
      </w:r>
      <w:r>
        <w:rPr>
          <w:rFonts w:hint="eastAsia" w:ascii="仿宋" w:hAnsi="仿宋" w:eastAsia="仿宋" w:cs="仿宋"/>
          <w:szCs w:val="40"/>
          <w:lang w:val="en-US" w:eastAsia="zh-CN"/>
        </w:rPr>
        <w:fldChar w:fldCharType="end"/>
      </w:r>
    </w:p>
    <w:p w14:paraId="49EB9CCF">
      <w:pPr>
        <w:pStyle w:val="14"/>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_Toc32280 </w:instrText>
      </w:r>
      <w:r>
        <w:rPr>
          <w:rFonts w:hint="eastAsia" w:ascii="仿宋" w:hAnsi="仿宋" w:eastAsia="仿宋" w:cs="仿宋"/>
          <w:szCs w:val="40"/>
          <w:lang w:val="en-US" w:eastAsia="zh-CN"/>
        </w:rPr>
        <w:fldChar w:fldCharType="separate"/>
      </w:r>
      <w:r>
        <w:rPr>
          <w:rFonts w:hint="eastAsia"/>
        </w:rPr>
        <w:t xml:space="preserve">第四节  </w:t>
      </w:r>
      <w:r>
        <w:rPr>
          <w:rFonts w:hint="eastAsia"/>
          <w:lang w:val="en-US" w:eastAsia="zh-CN"/>
        </w:rPr>
        <w:t>加强环境治理体系建设，塑造绿色共享新风尚</w:t>
      </w:r>
      <w:r>
        <w:tab/>
      </w:r>
      <w:r>
        <w:fldChar w:fldCharType="begin"/>
      </w:r>
      <w:r>
        <w:instrText xml:space="preserve"> PAGEREF _Toc32280 \h </w:instrText>
      </w:r>
      <w:r>
        <w:fldChar w:fldCharType="separate"/>
      </w:r>
      <w:r>
        <w:t>166</w:t>
      </w:r>
      <w:r>
        <w:fldChar w:fldCharType="end"/>
      </w:r>
      <w:r>
        <w:rPr>
          <w:rFonts w:hint="eastAsia" w:ascii="仿宋" w:hAnsi="仿宋" w:eastAsia="仿宋" w:cs="仿宋"/>
          <w:szCs w:val="40"/>
          <w:lang w:val="en-US" w:eastAsia="zh-CN"/>
        </w:rPr>
        <w:fldChar w:fldCharType="end"/>
      </w:r>
    </w:p>
    <w:p w14:paraId="33CB6D1D">
      <w:pPr>
        <w:pStyle w:val="12"/>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_Toc17819 </w:instrText>
      </w:r>
      <w:r>
        <w:rPr>
          <w:rFonts w:hint="eastAsia" w:ascii="仿宋" w:hAnsi="仿宋" w:eastAsia="仿宋" w:cs="仿宋"/>
          <w:szCs w:val="40"/>
          <w:lang w:val="en-US" w:eastAsia="zh-CN"/>
        </w:rPr>
        <w:fldChar w:fldCharType="separate"/>
      </w:r>
      <w:r>
        <w:rPr>
          <w:rFonts w:hint="eastAsia"/>
          <w:lang w:val="en-US" w:eastAsia="zh-CN"/>
        </w:rPr>
        <w:t>第十四章  全面筑牢安全发展屏障</w:t>
      </w:r>
      <w:r>
        <w:rPr>
          <w:rFonts w:hint="default"/>
          <w:lang w:val="en-US" w:eastAsia="zh-CN"/>
        </w:rPr>
        <w:t>，</w:t>
      </w:r>
      <w:r>
        <w:rPr>
          <w:rFonts w:hint="eastAsia"/>
          <w:lang w:val="en-US" w:eastAsia="zh-CN"/>
        </w:rPr>
        <w:t>释放美好富锦善治共治活力</w:t>
      </w:r>
      <w:r>
        <w:tab/>
      </w:r>
      <w:r>
        <w:fldChar w:fldCharType="begin"/>
      </w:r>
      <w:r>
        <w:instrText xml:space="preserve"> PAGEREF _Toc17819 \h </w:instrText>
      </w:r>
      <w:r>
        <w:fldChar w:fldCharType="separate"/>
      </w:r>
      <w:r>
        <w:t>169</w:t>
      </w:r>
      <w:r>
        <w:fldChar w:fldCharType="end"/>
      </w:r>
      <w:r>
        <w:rPr>
          <w:rFonts w:hint="eastAsia" w:ascii="仿宋" w:hAnsi="仿宋" w:eastAsia="仿宋" w:cs="仿宋"/>
          <w:szCs w:val="40"/>
          <w:lang w:val="en-US" w:eastAsia="zh-CN"/>
        </w:rPr>
        <w:fldChar w:fldCharType="end"/>
      </w:r>
    </w:p>
    <w:p w14:paraId="62E8268C">
      <w:pPr>
        <w:pStyle w:val="14"/>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_Toc9709 </w:instrText>
      </w:r>
      <w:r>
        <w:rPr>
          <w:rFonts w:hint="eastAsia" w:ascii="仿宋" w:hAnsi="仿宋" w:eastAsia="仿宋" w:cs="仿宋"/>
          <w:szCs w:val="40"/>
          <w:lang w:val="en-US" w:eastAsia="zh-CN"/>
        </w:rPr>
        <w:fldChar w:fldCharType="separate"/>
      </w:r>
      <w:r>
        <w:rPr>
          <w:rFonts w:hint="eastAsia"/>
          <w:lang w:val="en-US" w:eastAsia="zh-CN"/>
        </w:rPr>
        <w:t>第一节  增强维护国家安全能力</w:t>
      </w:r>
      <w:r>
        <w:tab/>
      </w:r>
      <w:r>
        <w:fldChar w:fldCharType="begin"/>
      </w:r>
      <w:r>
        <w:instrText xml:space="preserve"> PAGEREF _Toc9709 \h </w:instrText>
      </w:r>
      <w:r>
        <w:fldChar w:fldCharType="separate"/>
      </w:r>
      <w:r>
        <w:t>169</w:t>
      </w:r>
      <w:r>
        <w:fldChar w:fldCharType="end"/>
      </w:r>
      <w:r>
        <w:rPr>
          <w:rFonts w:hint="eastAsia" w:ascii="仿宋" w:hAnsi="仿宋" w:eastAsia="仿宋" w:cs="仿宋"/>
          <w:szCs w:val="40"/>
          <w:lang w:val="en-US" w:eastAsia="zh-CN"/>
        </w:rPr>
        <w:fldChar w:fldCharType="end"/>
      </w:r>
    </w:p>
    <w:p w14:paraId="62E9B60F">
      <w:pPr>
        <w:pStyle w:val="14"/>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_Toc27926 </w:instrText>
      </w:r>
      <w:r>
        <w:rPr>
          <w:rFonts w:hint="eastAsia" w:ascii="仿宋" w:hAnsi="仿宋" w:eastAsia="仿宋" w:cs="仿宋"/>
          <w:szCs w:val="40"/>
          <w:lang w:val="en-US" w:eastAsia="zh-CN"/>
        </w:rPr>
        <w:fldChar w:fldCharType="separate"/>
      </w:r>
      <w:r>
        <w:rPr>
          <w:rFonts w:hint="eastAsia"/>
          <w:lang w:val="en-US" w:eastAsia="zh-CN"/>
        </w:rPr>
        <w:t>第二节  完善国防动员体系建设</w:t>
      </w:r>
      <w:r>
        <w:tab/>
      </w:r>
      <w:r>
        <w:fldChar w:fldCharType="begin"/>
      </w:r>
      <w:r>
        <w:instrText xml:space="preserve"> PAGEREF _Toc27926 \h </w:instrText>
      </w:r>
      <w:r>
        <w:fldChar w:fldCharType="separate"/>
      </w:r>
      <w:r>
        <w:t>170</w:t>
      </w:r>
      <w:r>
        <w:fldChar w:fldCharType="end"/>
      </w:r>
      <w:r>
        <w:rPr>
          <w:rFonts w:hint="eastAsia" w:ascii="仿宋" w:hAnsi="仿宋" w:eastAsia="仿宋" w:cs="仿宋"/>
          <w:szCs w:val="40"/>
          <w:lang w:val="en-US" w:eastAsia="zh-CN"/>
        </w:rPr>
        <w:fldChar w:fldCharType="end"/>
      </w:r>
    </w:p>
    <w:p w14:paraId="1167D116">
      <w:pPr>
        <w:pStyle w:val="14"/>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_Toc31026 </w:instrText>
      </w:r>
      <w:r>
        <w:rPr>
          <w:rFonts w:hint="eastAsia" w:ascii="仿宋" w:hAnsi="仿宋" w:eastAsia="仿宋" w:cs="仿宋"/>
          <w:szCs w:val="40"/>
          <w:lang w:val="en-US" w:eastAsia="zh-CN"/>
        </w:rPr>
        <w:fldChar w:fldCharType="separate"/>
      </w:r>
      <w:r>
        <w:rPr>
          <w:rFonts w:hint="eastAsia"/>
          <w:lang w:val="en-US" w:eastAsia="zh-CN"/>
        </w:rPr>
        <w:t>第三节  筑牢重点领域安全治理防线</w:t>
      </w:r>
      <w:r>
        <w:tab/>
      </w:r>
      <w:r>
        <w:fldChar w:fldCharType="begin"/>
      </w:r>
      <w:r>
        <w:instrText xml:space="preserve"> PAGEREF _Toc31026 \h </w:instrText>
      </w:r>
      <w:r>
        <w:fldChar w:fldCharType="separate"/>
      </w:r>
      <w:r>
        <w:t>170</w:t>
      </w:r>
      <w:r>
        <w:fldChar w:fldCharType="end"/>
      </w:r>
      <w:r>
        <w:rPr>
          <w:rFonts w:hint="eastAsia" w:ascii="仿宋" w:hAnsi="仿宋" w:eastAsia="仿宋" w:cs="仿宋"/>
          <w:szCs w:val="40"/>
          <w:lang w:val="en-US" w:eastAsia="zh-CN"/>
        </w:rPr>
        <w:fldChar w:fldCharType="end"/>
      </w:r>
    </w:p>
    <w:p w14:paraId="64EA3546">
      <w:pPr>
        <w:pStyle w:val="14"/>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_Toc8778 </w:instrText>
      </w:r>
      <w:r>
        <w:rPr>
          <w:rFonts w:hint="eastAsia" w:ascii="仿宋" w:hAnsi="仿宋" w:eastAsia="仿宋" w:cs="仿宋"/>
          <w:szCs w:val="40"/>
          <w:lang w:val="en-US" w:eastAsia="zh-CN"/>
        </w:rPr>
        <w:fldChar w:fldCharType="separate"/>
      </w:r>
      <w:r>
        <w:rPr>
          <w:rFonts w:hint="eastAsia"/>
          <w:lang w:val="en-US" w:eastAsia="zh-CN"/>
        </w:rPr>
        <w:t>第四节  提升社会治理现代化水平</w:t>
      </w:r>
      <w:r>
        <w:tab/>
      </w:r>
      <w:r>
        <w:fldChar w:fldCharType="begin"/>
      </w:r>
      <w:r>
        <w:instrText xml:space="preserve"> PAGEREF _Toc8778 \h </w:instrText>
      </w:r>
      <w:r>
        <w:fldChar w:fldCharType="separate"/>
      </w:r>
      <w:r>
        <w:t>173</w:t>
      </w:r>
      <w:r>
        <w:fldChar w:fldCharType="end"/>
      </w:r>
      <w:r>
        <w:rPr>
          <w:rFonts w:hint="eastAsia" w:ascii="仿宋" w:hAnsi="仿宋" w:eastAsia="仿宋" w:cs="仿宋"/>
          <w:szCs w:val="40"/>
          <w:lang w:val="en-US" w:eastAsia="zh-CN"/>
        </w:rPr>
        <w:fldChar w:fldCharType="end"/>
      </w:r>
    </w:p>
    <w:p w14:paraId="64C0C131">
      <w:pPr>
        <w:pStyle w:val="14"/>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_Toc10286 </w:instrText>
      </w:r>
      <w:r>
        <w:rPr>
          <w:rFonts w:hint="eastAsia" w:ascii="仿宋" w:hAnsi="仿宋" w:eastAsia="仿宋" w:cs="仿宋"/>
          <w:szCs w:val="40"/>
          <w:lang w:val="en-US" w:eastAsia="zh-CN"/>
        </w:rPr>
        <w:fldChar w:fldCharType="separate"/>
      </w:r>
      <w:r>
        <w:rPr>
          <w:rFonts w:hint="eastAsia"/>
          <w:lang w:val="en-US" w:eastAsia="zh-CN"/>
        </w:rPr>
        <w:t>第五节  夯实长治久安的民主法治基石</w:t>
      </w:r>
      <w:r>
        <w:tab/>
      </w:r>
      <w:r>
        <w:fldChar w:fldCharType="begin"/>
      </w:r>
      <w:r>
        <w:instrText xml:space="preserve"> PAGEREF _Toc10286 \h </w:instrText>
      </w:r>
      <w:r>
        <w:fldChar w:fldCharType="separate"/>
      </w:r>
      <w:r>
        <w:t>175</w:t>
      </w:r>
      <w:r>
        <w:fldChar w:fldCharType="end"/>
      </w:r>
      <w:r>
        <w:rPr>
          <w:rFonts w:hint="eastAsia" w:ascii="仿宋" w:hAnsi="仿宋" w:eastAsia="仿宋" w:cs="仿宋"/>
          <w:szCs w:val="40"/>
          <w:lang w:val="en-US" w:eastAsia="zh-CN"/>
        </w:rPr>
        <w:fldChar w:fldCharType="end"/>
      </w:r>
    </w:p>
    <w:p w14:paraId="61E39DC8">
      <w:pPr>
        <w:pStyle w:val="12"/>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_Toc5801 </w:instrText>
      </w:r>
      <w:r>
        <w:rPr>
          <w:rFonts w:hint="eastAsia" w:ascii="仿宋" w:hAnsi="仿宋" w:eastAsia="仿宋" w:cs="仿宋"/>
          <w:szCs w:val="40"/>
          <w:lang w:val="en-US" w:eastAsia="zh-CN"/>
        </w:rPr>
        <w:fldChar w:fldCharType="separate"/>
      </w:r>
      <w:r>
        <w:rPr>
          <w:rFonts w:hint="eastAsia" w:ascii="黑体" w:hAnsi="黑体" w:eastAsia="黑体" w:cs="黑体"/>
          <w:szCs w:val="48"/>
          <w:lang w:val="en-US" w:eastAsia="zh-CN"/>
        </w:rPr>
        <w:t>第</w:t>
      </w:r>
      <w:r>
        <w:rPr>
          <w:rFonts w:hint="eastAsia" w:ascii="黑体" w:hAnsi="黑体" w:cs="黑体"/>
          <w:szCs w:val="48"/>
          <w:lang w:val="en-US" w:eastAsia="zh-CN"/>
        </w:rPr>
        <w:t>十五</w:t>
      </w:r>
      <w:r>
        <w:rPr>
          <w:rFonts w:hint="eastAsia" w:ascii="黑体" w:hAnsi="黑体" w:eastAsia="黑体" w:cs="黑体"/>
          <w:szCs w:val="48"/>
          <w:lang w:val="en-US" w:eastAsia="zh-CN"/>
        </w:rPr>
        <w:t xml:space="preserve">章  </w:t>
      </w:r>
      <w:r>
        <w:rPr>
          <w:rFonts w:hint="eastAsia" w:ascii="黑体" w:hAnsi="黑体" w:cs="黑体"/>
          <w:szCs w:val="48"/>
          <w:lang w:val="en-US" w:eastAsia="zh-CN"/>
        </w:rPr>
        <w:t>加强规划实施保障</w:t>
      </w:r>
      <w:r>
        <w:tab/>
      </w:r>
      <w:r>
        <w:fldChar w:fldCharType="begin"/>
      </w:r>
      <w:r>
        <w:instrText xml:space="preserve"> PAGEREF _Toc5801 \h </w:instrText>
      </w:r>
      <w:r>
        <w:fldChar w:fldCharType="separate"/>
      </w:r>
      <w:r>
        <w:t>179</w:t>
      </w:r>
      <w:r>
        <w:fldChar w:fldCharType="end"/>
      </w:r>
      <w:r>
        <w:rPr>
          <w:rFonts w:hint="eastAsia" w:ascii="仿宋" w:hAnsi="仿宋" w:eastAsia="仿宋" w:cs="仿宋"/>
          <w:szCs w:val="40"/>
          <w:lang w:val="en-US" w:eastAsia="zh-CN"/>
        </w:rPr>
        <w:fldChar w:fldCharType="end"/>
      </w:r>
    </w:p>
    <w:p w14:paraId="0627482B">
      <w:pPr>
        <w:pStyle w:val="14"/>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_Toc32688 </w:instrText>
      </w:r>
      <w:r>
        <w:rPr>
          <w:rFonts w:hint="eastAsia" w:ascii="仿宋" w:hAnsi="仿宋" w:eastAsia="仿宋" w:cs="仿宋"/>
          <w:szCs w:val="40"/>
          <w:lang w:val="en-US" w:eastAsia="zh-CN"/>
        </w:rPr>
        <w:fldChar w:fldCharType="separate"/>
      </w:r>
      <w:r>
        <w:rPr>
          <w:rFonts w:hint="eastAsia" w:ascii="Times New Roman" w:hAnsi="Times New Roman" w:eastAsia="楷体_GB2312" w:cs="楷体_GB2312"/>
          <w:bCs/>
          <w:kern w:val="0"/>
          <w:szCs w:val="32"/>
          <w:lang w:val="en-US" w:eastAsia="zh-CN" w:bidi="ar-SA"/>
        </w:rPr>
        <w:t>第一节</w:t>
      </w:r>
      <w:r>
        <w:rPr>
          <w:rFonts w:hint="eastAsia" w:ascii="Times New Roman" w:hAnsi="Times New Roman" w:cs="楷体_GB2312"/>
          <w:bCs/>
          <w:kern w:val="0"/>
          <w:szCs w:val="32"/>
          <w:lang w:val="en-US" w:eastAsia="zh-CN" w:bidi="ar-SA"/>
        </w:rPr>
        <w:t xml:space="preserve">  </w:t>
      </w:r>
      <w:r>
        <w:rPr>
          <w:rFonts w:hint="eastAsia" w:ascii="Times New Roman" w:hAnsi="Times New Roman" w:eastAsia="楷体_GB2312" w:cs="楷体_GB2312"/>
          <w:lang w:val="en-US" w:eastAsia="zh-CN"/>
        </w:rPr>
        <w:t>坚持和加强党的全面领导</w:t>
      </w:r>
      <w:r>
        <w:tab/>
      </w:r>
      <w:r>
        <w:fldChar w:fldCharType="begin"/>
      </w:r>
      <w:r>
        <w:instrText xml:space="preserve"> PAGEREF _Toc32688 \h </w:instrText>
      </w:r>
      <w:r>
        <w:fldChar w:fldCharType="separate"/>
      </w:r>
      <w:r>
        <w:t>179</w:t>
      </w:r>
      <w:r>
        <w:fldChar w:fldCharType="end"/>
      </w:r>
      <w:r>
        <w:rPr>
          <w:rFonts w:hint="eastAsia" w:ascii="仿宋" w:hAnsi="仿宋" w:eastAsia="仿宋" w:cs="仿宋"/>
          <w:szCs w:val="40"/>
          <w:lang w:val="en-US" w:eastAsia="zh-CN"/>
        </w:rPr>
        <w:fldChar w:fldCharType="end"/>
      </w:r>
    </w:p>
    <w:p w14:paraId="5FE06202">
      <w:pPr>
        <w:pStyle w:val="14"/>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_Toc18537 </w:instrText>
      </w:r>
      <w:r>
        <w:rPr>
          <w:rFonts w:hint="eastAsia" w:ascii="仿宋" w:hAnsi="仿宋" w:eastAsia="仿宋" w:cs="仿宋"/>
          <w:szCs w:val="40"/>
          <w:lang w:val="en-US" w:eastAsia="zh-CN"/>
        </w:rPr>
        <w:fldChar w:fldCharType="separate"/>
      </w:r>
      <w:r>
        <w:rPr>
          <w:rFonts w:hint="eastAsia" w:ascii="Times New Roman" w:hAnsi="Times New Roman" w:eastAsia="楷体_GB2312" w:cs="楷体_GB2312"/>
          <w:lang w:val="en-US" w:eastAsia="zh-CN"/>
        </w:rPr>
        <w:t>第二节  以制度创新激活要素潜能</w:t>
      </w:r>
      <w:r>
        <w:tab/>
      </w:r>
      <w:r>
        <w:fldChar w:fldCharType="begin"/>
      </w:r>
      <w:r>
        <w:instrText xml:space="preserve"> PAGEREF _Toc18537 \h </w:instrText>
      </w:r>
      <w:r>
        <w:fldChar w:fldCharType="separate"/>
      </w:r>
      <w:r>
        <w:t>180</w:t>
      </w:r>
      <w:r>
        <w:fldChar w:fldCharType="end"/>
      </w:r>
      <w:r>
        <w:rPr>
          <w:rFonts w:hint="eastAsia" w:ascii="仿宋" w:hAnsi="仿宋" w:eastAsia="仿宋" w:cs="仿宋"/>
          <w:szCs w:val="40"/>
          <w:lang w:val="en-US" w:eastAsia="zh-CN"/>
        </w:rPr>
        <w:fldChar w:fldCharType="end"/>
      </w:r>
    </w:p>
    <w:p w14:paraId="01DF197D">
      <w:pPr>
        <w:pStyle w:val="14"/>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_Toc16200 </w:instrText>
      </w:r>
      <w:r>
        <w:rPr>
          <w:rFonts w:hint="eastAsia" w:ascii="仿宋" w:hAnsi="仿宋" w:eastAsia="仿宋" w:cs="仿宋"/>
          <w:szCs w:val="40"/>
          <w:lang w:val="en-US" w:eastAsia="zh-CN"/>
        </w:rPr>
        <w:fldChar w:fldCharType="separate"/>
      </w:r>
      <w:r>
        <w:rPr>
          <w:rFonts w:hint="eastAsia" w:ascii="Times New Roman" w:hAnsi="Times New Roman" w:eastAsia="楷体_GB2312" w:cs="楷体_GB2312"/>
          <w:lang w:val="en-US" w:eastAsia="zh-CN"/>
        </w:rPr>
        <w:t>第三节  强化重大项目落地组织实施</w:t>
      </w:r>
      <w:r>
        <w:tab/>
      </w:r>
      <w:r>
        <w:fldChar w:fldCharType="begin"/>
      </w:r>
      <w:r>
        <w:instrText xml:space="preserve"> PAGEREF _Toc16200 \h </w:instrText>
      </w:r>
      <w:r>
        <w:fldChar w:fldCharType="separate"/>
      </w:r>
      <w:r>
        <w:t>182</w:t>
      </w:r>
      <w:r>
        <w:fldChar w:fldCharType="end"/>
      </w:r>
      <w:r>
        <w:rPr>
          <w:rFonts w:hint="eastAsia" w:ascii="仿宋" w:hAnsi="仿宋" w:eastAsia="仿宋" w:cs="仿宋"/>
          <w:szCs w:val="40"/>
          <w:lang w:val="en-US" w:eastAsia="zh-CN"/>
        </w:rPr>
        <w:fldChar w:fldCharType="end"/>
      </w:r>
    </w:p>
    <w:p w14:paraId="6575D94E">
      <w:pPr>
        <w:pStyle w:val="14"/>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_Toc4664 </w:instrText>
      </w:r>
      <w:r>
        <w:rPr>
          <w:rFonts w:hint="eastAsia" w:ascii="仿宋" w:hAnsi="仿宋" w:eastAsia="仿宋" w:cs="仿宋"/>
          <w:szCs w:val="40"/>
          <w:lang w:val="en-US" w:eastAsia="zh-CN"/>
        </w:rPr>
        <w:fldChar w:fldCharType="separate"/>
      </w:r>
      <w:r>
        <w:rPr>
          <w:rFonts w:hint="eastAsia" w:ascii="Times New Roman" w:hAnsi="Times New Roman" w:eastAsia="楷体_GB2312" w:cs="楷体_GB2312"/>
          <w:lang w:val="en-US" w:eastAsia="zh-CN"/>
        </w:rPr>
        <w:t>第四节  完善多元化资金保障体系</w:t>
      </w:r>
      <w:r>
        <w:tab/>
      </w:r>
      <w:r>
        <w:fldChar w:fldCharType="begin"/>
      </w:r>
      <w:r>
        <w:instrText xml:space="preserve"> PAGEREF _Toc4664 \h </w:instrText>
      </w:r>
      <w:r>
        <w:fldChar w:fldCharType="separate"/>
      </w:r>
      <w:r>
        <w:t>183</w:t>
      </w:r>
      <w:r>
        <w:fldChar w:fldCharType="end"/>
      </w:r>
      <w:r>
        <w:rPr>
          <w:rFonts w:hint="eastAsia" w:ascii="仿宋" w:hAnsi="仿宋" w:eastAsia="仿宋" w:cs="仿宋"/>
          <w:szCs w:val="40"/>
          <w:lang w:val="en-US" w:eastAsia="zh-CN"/>
        </w:rPr>
        <w:fldChar w:fldCharType="end"/>
      </w:r>
    </w:p>
    <w:p w14:paraId="5EEEBEC2">
      <w:pPr>
        <w:pStyle w:val="14"/>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_Toc12971 </w:instrText>
      </w:r>
      <w:r>
        <w:rPr>
          <w:rFonts w:hint="eastAsia" w:ascii="仿宋" w:hAnsi="仿宋" w:eastAsia="仿宋" w:cs="仿宋"/>
          <w:szCs w:val="40"/>
          <w:lang w:val="en-US" w:eastAsia="zh-CN"/>
        </w:rPr>
        <w:fldChar w:fldCharType="separate"/>
      </w:r>
      <w:r>
        <w:rPr>
          <w:rFonts w:hint="eastAsia" w:ascii="Times New Roman" w:hAnsi="Times New Roman" w:eastAsia="楷体_GB2312" w:cs="楷体_GB2312"/>
          <w:lang w:val="en-US" w:eastAsia="zh-CN"/>
        </w:rPr>
        <w:t>第五节  以数字治理穿透执行堵点</w:t>
      </w:r>
      <w:r>
        <w:tab/>
      </w:r>
      <w:r>
        <w:fldChar w:fldCharType="begin"/>
      </w:r>
      <w:r>
        <w:instrText xml:space="preserve"> PAGEREF _Toc12971 \h </w:instrText>
      </w:r>
      <w:r>
        <w:fldChar w:fldCharType="separate"/>
      </w:r>
      <w:r>
        <w:t>185</w:t>
      </w:r>
      <w:r>
        <w:fldChar w:fldCharType="end"/>
      </w:r>
      <w:r>
        <w:rPr>
          <w:rFonts w:hint="eastAsia" w:ascii="仿宋" w:hAnsi="仿宋" w:eastAsia="仿宋" w:cs="仿宋"/>
          <w:szCs w:val="40"/>
          <w:lang w:val="en-US" w:eastAsia="zh-CN"/>
        </w:rPr>
        <w:fldChar w:fldCharType="end"/>
      </w:r>
    </w:p>
    <w:p w14:paraId="13AD9C4E">
      <w:pPr>
        <w:pStyle w:val="14"/>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Cs w:val="40"/>
          <w:lang w:val="en-US" w:eastAsia="zh-CN"/>
        </w:rPr>
        <w:fldChar w:fldCharType="begin"/>
      </w:r>
      <w:r>
        <w:rPr>
          <w:rFonts w:hint="eastAsia" w:ascii="仿宋" w:hAnsi="仿宋" w:eastAsia="仿宋" w:cs="仿宋"/>
          <w:szCs w:val="40"/>
          <w:lang w:val="en-US" w:eastAsia="zh-CN"/>
        </w:rPr>
        <w:instrText xml:space="preserve"> HYPERLINK \l _Toc1469 </w:instrText>
      </w:r>
      <w:r>
        <w:rPr>
          <w:rFonts w:hint="eastAsia" w:ascii="仿宋" w:hAnsi="仿宋" w:eastAsia="仿宋" w:cs="仿宋"/>
          <w:szCs w:val="40"/>
          <w:lang w:val="en-US" w:eastAsia="zh-CN"/>
        </w:rPr>
        <w:fldChar w:fldCharType="separate"/>
      </w:r>
      <w:r>
        <w:rPr>
          <w:rFonts w:hint="eastAsia" w:ascii="Times New Roman" w:hAnsi="Times New Roman" w:eastAsia="楷体_GB2312" w:cs="楷体_GB2312"/>
          <w:lang w:val="en-US" w:eastAsia="zh-CN"/>
        </w:rPr>
        <w:t xml:space="preserve">第六节  </w:t>
      </w:r>
      <w:r>
        <w:rPr>
          <w:rFonts w:hint="eastAsia" w:ascii="Times New Roman" w:hAnsi="Times New Roman" w:cs="楷体_GB2312"/>
          <w:lang w:val="en-US" w:eastAsia="zh-CN"/>
        </w:rPr>
        <w:t>健全</w:t>
      </w:r>
      <w:r>
        <w:rPr>
          <w:rFonts w:hint="eastAsia" w:ascii="Times New Roman" w:hAnsi="Times New Roman" w:eastAsia="楷体_GB2312" w:cs="楷体_GB2312"/>
          <w:lang w:val="en-US" w:eastAsia="zh-CN"/>
        </w:rPr>
        <w:t>公众参与</w:t>
      </w:r>
      <w:r>
        <w:rPr>
          <w:rFonts w:hint="eastAsia" w:ascii="Times New Roman" w:hAnsi="Times New Roman" w:cs="楷体_GB2312"/>
          <w:lang w:val="en-US" w:eastAsia="zh-CN"/>
        </w:rPr>
        <w:t>和</w:t>
      </w:r>
      <w:r>
        <w:rPr>
          <w:rFonts w:hint="eastAsia" w:ascii="Times New Roman" w:hAnsi="Times New Roman" w:eastAsia="楷体_GB2312" w:cs="楷体_GB2312"/>
          <w:lang w:val="en-US" w:eastAsia="zh-CN"/>
        </w:rPr>
        <w:t>社会监督</w:t>
      </w:r>
      <w:r>
        <w:rPr>
          <w:rFonts w:hint="eastAsia" w:ascii="Times New Roman" w:hAnsi="Times New Roman" w:cs="楷体_GB2312"/>
          <w:lang w:val="en-US" w:eastAsia="zh-CN"/>
        </w:rPr>
        <w:t>机制</w:t>
      </w:r>
      <w:r>
        <w:tab/>
      </w:r>
      <w:r>
        <w:fldChar w:fldCharType="begin"/>
      </w:r>
      <w:r>
        <w:instrText xml:space="preserve"> PAGEREF _Toc1469 \h </w:instrText>
      </w:r>
      <w:r>
        <w:fldChar w:fldCharType="separate"/>
      </w:r>
      <w:r>
        <w:t>186</w:t>
      </w:r>
      <w:r>
        <w:fldChar w:fldCharType="end"/>
      </w:r>
      <w:r>
        <w:rPr>
          <w:rFonts w:hint="eastAsia" w:ascii="仿宋" w:hAnsi="仿宋" w:eastAsia="仿宋" w:cs="仿宋"/>
          <w:szCs w:val="40"/>
          <w:lang w:val="en-US" w:eastAsia="zh-CN"/>
        </w:rPr>
        <w:fldChar w:fldCharType="end"/>
      </w:r>
    </w:p>
    <w:p w14:paraId="41F17E6C">
      <w:pPr>
        <w:pStyle w:val="8"/>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仿宋" w:hAnsi="仿宋" w:eastAsia="仿宋" w:cs="仿宋"/>
          <w:sz w:val="40"/>
          <w:szCs w:val="40"/>
          <w:lang w:val="en-US" w:eastAsia="zh-CN"/>
        </w:rPr>
      </w:pPr>
      <w:r>
        <w:rPr>
          <w:rFonts w:hint="eastAsia" w:ascii="仿宋" w:hAnsi="仿宋" w:eastAsia="仿宋" w:cs="仿宋"/>
          <w:szCs w:val="40"/>
          <w:lang w:val="en-US" w:eastAsia="zh-CN"/>
        </w:rPr>
        <w:fldChar w:fldCharType="end"/>
      </w:r>
    </w:p>
    <w:p w14:paraId="04A6135B">
      <w:pPr>
        <w:pStyle w:val="8"/>
        <w:pageBreakBefore w:val="0"/>
        <w:kinsoku/>
        <w:wordWrap/>
        <w:overflowPunct/>
        <w:topLinePunct w:val="0"/>
        <w:autoSpaceDE/>
        <w:autoSpaceDN/>
        <w:bidi w:val="0"/>
        <w:adjustRightInd/>
        <w:snapToGrid/>
        <w:ind w:left="0" w:leftChars="0" w:firstLine="0" w:firstLineChars="0"/>
        <w:textAlignment w:val="auto"/>
        <w:rPr>
          <w:rFonts w:hint="eastAsia" w:ascii="仿宋" w:hAnsi="仿宋" w:eastAsia="仿宋" w:cs="仿宋"/>
          <w:sz w:val="30"/>
          <w:szCs w:val="30"/>
          <w:lang w:val="en-US" w:eastAsia="zh-CN"/>
        </w:rPr>
      </w:pPr>
    </w:p>
    <w:p w14:paraId="1CE4B815">
      <w:pPr>
        <w:pageBreakBefore w:val="0"/>
        <w:kinsoku/>
        <w:wordWrap/>
        <w:overflowPunct/>
        <w:topLinePunct w:val="0"/>
        <w:autoSpaceDE/>
        <w:autoSpaceDN/>
        <w:bidi w:val="0"/>
        <w:adjustRightInd/>
        <w:snapToGrid/>
        <w:spacing w:line="360" w:lineRule="auto"/>
        <w:jc w:val="both"/>
        <w:textAlignment w:val="auto"/>
        <w:rPr>
          <w:rFonts w:ascii="Times New Roman" w:hAnsi="Times New Roman" w:eastAsia="仿宋_GB2312" w:cs="Times New Roman"/>
          <w:sz w:val="32"/>
          <w:szCs w:val="32"/>
        </w:rPr>
        <w:sectPr>
          <w:footerReference r:id="rId7" w:type="default"/>
          <w:pgSz w:w="11906" w:h="16838"/>
          <w:pgMar w:top="1440" w:right="1800" w:bottom="1440" w:left="1800" w:header="851" w:footer="992" w:gutter="0"/>
          <w:pgBorders>
            <w:top w:val="none" w:sz="0" w:space="0"/>
            <w:left w:val="none" w:sz="0" w:space="0"/>
            <w:bottom w:val="none" w:sz="0" w:space="0"/>
            <w:right w:val="none" w:sz="0" w:space="0"/>
          </w:pgBorders>
          <w:pgNumType w:fmt="upperRoman" w:start="1"/>
          <w:cols w:space="425" w:num="1"/>
          <w:docGrid w:type="lines" w:linePitch="312" w:charSpace="0"/>
        </w:sectPr>
      </w:pPr>
    </w:p>
    <w:p w14:paraId="3C7A1277">
      <w:pPr>
        <w:pStyle w:val="2"/>
        <w:pageBreakBefore w:val="0"/>
        <w:kinsoku/>
        <w:wordWrap/>
        <w:overflowPunct/>
        <w:topLinePunct w:val="0"/>
        <w:autoSpaceDE/>
        <w:autoSpaceDN/>
        <w:bidi w:val="0"/>
        <w:adjustRightInd/>
        <w:snapToGrid/>
        <w:ind w:left="0" w:leftChars="0" w:firstLine="0" w:firstLineChars="0"/>
        <w:jc w:val="center"/>
        <w:textAlignment w:val="auto"/>
        <w:rPr>
          <w:rFonts w:hint="eastAsia" w:ascii="华文中宋" w:hAnsi="华文中宋" w:eastAsia="华文中宋" w:cs="华文中宋"/>
          <w:sz w:val="44"/>
          <w:szCs w:val="56"/>
        </w:rPr>
      </w:pPr>
      <w:bookmarkStart w:id="0" w:name="_Toc25704"/>
      <w:bookmarkStart w:id="1" w:name="_Toc201074124"/>
      <w:r>
        <w:rPr>
          <w:rFonts w:hint="eastAsia" w:ascii="华文中宋" w:hAnsi="华文中宋" w:eastAsia="华文中宋" w:cs="华文中宋"/>
          <w:sz w:val="44"/>
          <w:szCs w:val="56"/>
        </w:rPr>
        <w:t>前  言</w:t>
      </w:r>
      <w:bookmarkEnd w:id="0"/>
      <w:bookmarkEnd w:id="1"/>
    </w:p>
    <w:p w14:paraId="474062C7">
      <w:pPr>
        <w:bidi w:val="0"/>
        <w:rPr>
          <w:rFonts w:hint="eastAsia" w:ascii="仿宋_GB2312" w:hAnsi="仿宋_GB2312" w:eastAsia="仿宋_GB2312" w:cs="仿宋_GB2312"/>
        </w:rPr>
      </w:pPr>
      <w:r>
        <w:rPr>
          <w:rFonts w:hint="eastAsia" w:ascii="仿宋_GB2312" w:hAnsi="仿宋_GB2312" w:eastAsia="仿宋_GB2312" w:cs="仿宋_GB2312"/>
        </w:rPr>
        <w:t>“十五五”时期（2026</w:t>
      </w:r>
      <w:r>
        <w:rPr>
          <w:rFonts w:hint="eastAsia" w:ascii="仿宋_GB2312" w:hAnsi="仿宋_GB2312" w:cs="仿宋_GB2312"/>
          <w:lang w:eastAsia="zh-CN"/>
        </w:rPr>
        <w:t>—</w:t>
      </w:r>
      <w:r>
        <w:rPr>
          <w:rFonts w:hint="eastAsia" w:ascii="仿宋_GB2312" w:hAnsi="仿宋_GB2312" w:eastAsia="仿宋_GB2312" w:cs="仿宋_GB2312"/>
        </w:rPr>
        <w:t>2030年）是我国</w:t>
      </w:r>
      <w:r>
        <w:rPr>
          <w:rFonts w:hint="eastAsia" w:ascii="仿宋_GB2312" w:hAnsi="仿宋_GB2312" w:eastAsia="仿宋_GB2312" w:cs="仿宋_GB2312"/>
          <w:lang w:val="en-US" w:eastAsia="zh-CN"/>
        </w:rPr>
        <w:t>迈向</w:t>
      </w:r>
      <w:r>
        <w:rPr>
          <w:rFonts w:hint="eastAsia" w:ascii="仿宋_GB2312" w:hAnsi="仿宋_GB2312" w:eastAsia="仿宋_GB2312" w:cs="仿宋_GB2312"/>
        </w:rPr>
        <w:t>2035年基本实现</w:t>
      </w:r>
      <w:r>
        <w:rPr>
          <w:rFonts w:hint="eastAsia" w:ascii="仿宋_GB2312" w:hAnsi="仿宋_GB2312" w:cs="仿宋_GB2312"/>
          <w:lang w:val="en-US" w:eastAsia="zh-CN"/>
        </w:rPr>
        <w:t>社会主义</w:t>
      </w:r>
      <w:r>
        <w:rPr>
          <w:rFonts w:hint="eastAsia" w:ascii="仿宋_GB2312" w:hAnsi="仿宋_GB2312" w:eastAsia="仿宋_GB2312" w:cs="仿宋_GB2312"/>
        </w:rPr>
        <w:t>现代化承上启下的关键五年</w:t>
      </w:r>
      <w:r>
        <w:rPr>
          <w:rFonts w:hint="eastAsia" w:ascii="仿宋_GB2312" w:hAnsi="仿宋_GB2312" w:cs="仿宋_GB2312"/>
          <w:lang w:eastAsia="zh-CN"/>
        </w:rPr>
        <w:t>，</w:t>
      </w:r>
      <w:r>
        <w:rPr>
          <w:rFonts w:hint="eastAsia" w:ascii="仿宋_GB2312" w:hAnsi="仿宋_GB2312" w:cs="仿宋_GB2312"/>
          <w:lang w:val="en-US" w:eastAsia="zh-CN"/>
        </w:rPr>
        <w:t>也是全面建设社会主义现代化富锦的关键时期</w:t>
      </w:r>
      <w:r>
        <w:rPr>
          <w:rFonts w:hint="eastAsia" w:ascii="仿宋_GB2312" w:hAnsi="仿宋_GB2312" w:eastAsia="仿宋_GB2312" w:cs="仿宋_GB2312"/>
        </w:rPr>
        <w:t>。本纲要以习近平新时代中国特色社会主义思想为指导，深入贯彻习近平总书记视察黑龙江省期间重要讲话重要指示精神，科学编制并有效实施《</w:t>
      </w:r>
      <w:r>
        <w:rPr>
          <w:rFonts w:hint="eastAsia" w:ascii="仿宋_GB2312" w:hAnsi="仿宋_GB2312" w:eastAsia="仿宋_GB2312" w:cs="仿宋_GB2312"/>
          <w:lang w:val="en-US" w:eastAsia="zh-CN"/>
        </w:rPr>
        <w:t>富锦市</w:t>
      </w:r>
      <w:r>
        <w:rPr>
          <w:rFonts w:hint="eastAsia" w:ascii="仿宋_GB2312" w:hAnsi="仿宋_GB2312" w:eastAsia="仿宋_GB2312" w:cs="仿宋_GB2312"/>
        </w:rPr>
        <w:t>国民经济和社会发展第十五个五年规划纲要》，对于</w:t>
      </w:r>
      <w:r>
        <w:rPr>
          <w:rFonts w:hint="eastAsia" w:ascii="仿宋_GB2312" w:hAnsi="仿宋_GB2312" w:cs="仿宋_GB2312"/>
          <w:lang w:val="en-US" w:eastAsia="zh-CN"/>
        </w:rPr>
        <w:t>富锦市</w:t>
      </w:r>
      <w:r>
        <w:rPr>
          <w:rFonts w:hint="eastAsia" w:ascii="仿宋_GB2312" w:hAnsi="仿宋_GB2312" w:eastAsia="仿宋_GB2312" w:cs="仿宋_GB2312"/>
        </w:rPr>
        <w:t>准确把握新发展阶段、贯彻新发展理念、构建新发展格局，站稳第一方阵、勇夺第一位次</w:t>
      </w:r>
      <w:r>
        <w:rPr>
          <w:rFonts w:hint="eastAsia" w:ascii="仿宋_GB2312" w:hAnsi="仿宋_GB2312" w:eastAsia="仿宋_GB2312" w:cs="仿宋_GB2312"/>
          <w:lang w:eastAsia="zh-CN"/>
        </w:rPr>
        <w:t>，</w:t>
      </w:r>
      <w:r>
        <w:rPr>
          <w:rFonts w:hint="eastAsia" w:ascii="仿宋_GB2312" w:hAnsi="仿宋_GB2312" w:cs="仿宋_GB2312"/>
          <w:lang w:val="en-US" w:eastAsia="zh-CN"/>
        </w:rPr>
        <w:t>加快建设</w:t>
      </w:r>
      <w:r>
        <w:rPr>
          <w:rFonts w:hint="eastAsia" w:ascii="仿宋_GB2312" w:hAnsi="仿宋_GB2312" w:eastAsia="仿宋_GB2312" w:cs="仿宋_GB2312"/>
          <w:lang w:eastAsia="zh-CN"/>
        </w:rPr>
        <w:t>“六个美好富锦”，</w:t>
      </w:r>
      <w:r>
        <w:rPr>
          <w:rFonts w:hint="eastAsia" w:ascii="仿宋_GB2312" w:hAnsi="仿宋_GB2312" w:eastAsia="仿宋_GB2312" w:cs="仿宋_GB2312"/>
          <w:lang w:val="en-US" w:eastAsia="zh-CN"/>
        </w:rPr>
        <w:t>实现</w:t>
      </w:r>
      <w:r>
        <w:rPr>
          <w:rFonts w:hint="eastAsia" w:ascii="仿宋_GB2312" w:hAnsi="仿宋_GB2312" w:eastAsia="仿宋_GB2312" w:cs="仿宋_GB2312"/>
        </w:rPr>
        <w:t>经济社会高质量发展具有重要意义。</w:t>
      </w:r>
    </w:p>
    <w:p w14:paraId="0C1A392C">
      <w:pPr>
        <w:bidi w:val="0"/>
        <w:rPr>
          <w:rFonts w:hint="eastAsia" w:ascii="仿宋_GB2312" w:hAnsi="仿宋_GB2312" w:eastAsia="仿宋_GB2312" w:cs="仿宋_GB2312"/>
        </w:rPr>
      </w:pPr>
      <w:r>
        <w:rPr>
          <w:rFonts w:hint="eastAsia" w:ascii="仿宋_GB2312" w:hAnsi="仿宋_GB2312" w:eastAsia="仿宋_GB2312" w:cs="仿宋_GB2312"/>
          <w:lang w:val="en-US" w:eastAsia="zh-CN"/>
        </w:rPr>
        <w:t>富锦市</w:t>
      </w:r>
      <w:r>
        <w:rPr>
          <w:rFonts w:hint="eastAsia" w:ascii="仿宋_GB2312" w:hAnsi="仿宋_GB2312" w:eastAsia="仿宋_GB2312" w:cs="仿宋_GB2312"/>
        </w:rPr>
        <w:t>“十五五”规划</w:t>
      </w:r>
      <w:r>
        <w:rPr>
          <w:rFonts w:hint="eastAsia" w:ascii="仿宋_GB2312" w:hAnsi="仿宋_GB2312" w:cs="仿宋_GB2312"/>
          <w:lang w:val="en-US" w:eastAsia="zh-CN"/>
        </w:rPr>
        <w:t>纲要编制</w:t>
      </w:r>
      <w:r>
        <w:rPr>
          <w:rFonts w:hint="eastAsia" w:ascii="仿宋_GB2312" w:hAnsi="仿宋_GB2312" w:eastAsia="仿宋_GB2312" w:cs="仿宋_GB2312"/>
        </w:rPr>
        <w:t>关键在于</w:t>
      </w:r>
      <w:r>
        <w:rPr>
          <w:rFonts w:hint="eastAsia" w:ascii="仿宋_GB2312" w:hAnsi="仿宋_GB2312" w:cs="仿宋_GB2312"/>
          <w:lang w:val="en-US" w:eastAsia="zh-CN"/>
        </w:rPr>
        <w:t>全面</w:t>
      </w:r>
      <w:r>
        <w:rPr>
          <w:rFonts w:hint="eastAsia" w:ascii="仿宋_GB2312" w:hAnsi="仿宋_GB2312" w:eastAsia="仿宋_GB2312" w:cs="仿宋_GB2312"/>
        </w:rPr>
        <w:t>总结</w:t>
      </w:r>
      <w:r>
        <w:rPr>
          <w:rFonts w:hint="eastAsia" w:ascii="仿宋_GB2312" w:hAnsi="仿宋_GB2312" w:eastAsia="仿宋_GB2312" w:cs="仿宋_GB2312"/>
          <w:lang w:val="en-US" w:eastAsia="zh-CN"/>
        </w:rPr>
        <w:t>富锦市</w:t>
      </w:r>
      <w:r>
        <w:rPr>
          <w:rFonts w:hint="eastAsia" w:ascii="仿宋_GB2312" w:hAnsi="仿宋_GB2312" w:eastAsia="仿宋_GB2312" w:cs="仿宋_GB2312"/>
        </w:rPr>
        <w:t>“十四五”</w:t>
      </w:r>
      <w:r>
        <w:rPr>
          <w:rFonts w:hint="eastAsia" w:ascii="仿宋_GB2312" w:hAnsi="仿宋_GB2312" w:cs="仿宋_GB2312"/>
          <w:lang w:val="en-US" w:eastAsia="zh-CN"/>
        </w:rPr>
        <w:t>时期经济社会发展取得的重大成就</w:t>
      </w:r>
      <w:r>
        <w:rPr>
          <w:rFonts w:hint="eastAsia" w:ascii="仿宋_GB2312" w:hAnsi="仿宋_GB2312" w:eastAsia="仿宋_GB2312" w:cs="仿宋_GB2312"/>
        </w:rPr>
        <w:t>，</w:t>
      </w:r>
      <w:r>
        <w:rPr>
          <w:rFonts w:hint="eastAsia" w:ascii="仿宋_GB2312" w:hAnsi="仿宋_GB2312" w:cs="仿宋_GB2312"/>
          <w:lang w:val="en-US" w:eastAsia="zh-CN"/>
        </w:rPr>
        <w:t>客观分析“十五五”时期发展环境面临深刻复杂变化</w:t>
      </w:r>
      <w:r>
        <w:rPr>
          <w:rFonts w:hint="eastAsia" w:ascii="仿宋_GB2312" w:hAnsi="仿宋_GB2312" w:eastAsia="仿宋_GB2312" w:cs="仿宋_GB2312"/>
        </w:rPr>
        <w:t>，承载落实</w:t>
      </w:r>
      <w:r>
        <w:rPr>
          <w:rFonts w:hint="eastAsia" w:ascii="仿宋_GB2312" w:hAnsi="仿宋_GB2312" w:eastAsia="仿宋_GB2312" w:cs="仿宋_GB2312"/>
          <w:lang w:val="en-US" w:eastAsia="zh-CN"/>
        </w:rPr>
        <w:t>国家粮食安全、东北全面振兴等</w:t>
      </w:r>
      <w:r>
        <w:rPr>
          <w:rFonts w:hint="eastAsia" w:ascii="仿宋_GB2312" w:hAnsi="仿宋_GB2312" w:eastAsia="仿宋_GB2312" w:cs="仿宋_GB2312"/>
        </w:rPr>
        <w:t>重大战略要求，深入分析</w:t>
      </w:r>
      <w:r>
        <w:rPr>
          <w:rFonts w:hint="eastAsia" w:ascii="仿宋_GB2312" w:hAnsi="仿宋_GB2312" w:eastAsia="仿宋_GB2312" w:cs="仿宋_GB2312"/>
          <w:lang w:val="en-US" w:eastAsia="zh-CN"/>
        </w:rPr>
        <w:t>市情</w:t>
      </w:r>
      <w:r>
        <w:rPr>
          <w:rFonts w:hint="eastAsia" w:ascii="仿宋_GB2312" w:hAnsi="仿宋_GB2312" w:eastAsia="仿宋_GB2312" w:cs="仿宋_GB2312"/>
        </w:rPr>
        <w:t>特征变化，坚持稳中求进工作总基调，</w:t>
      </w:r>
      <w:r>
        <w:rPr>
          <w:rFonts w:hint="eastAsia" w:ascii="仿宋_GB2312" w:hAnsi="仿宋_GB2312" w:cs="仿宋_GB2312"/>
          <w:lang w:val="en-US" w:eastAsia="zh-CN"/>
        </w:rPr>
        <w:t>坚持以经济建设为中心，</w:t>
      </w:r>
      <w:r>
        <w:rPr>
          <w:rFonts w:hint="eastAsia" w:ascii="仿宋_GB2312" w:hAnsi="仿宋_GB2312" w:eastAsia="仿宋_GB2312" w:cs="仿宋_GB2312"/>
        </w:rPr>
        <w:t>以推动高质量发展为主题，以</w:t>
      </w:r>
      <w:r>
        <w:rPr>
          <w:rFonts w:hint="eastAsia" w:ascii="仿宋_GB2312" w:hAnsi="仿宋_GB2312" w:cs="仿宋_GB2312"/>
          <w:lang w:val="en-US" w:eastAsia="zh-CN"/>
        </w:rPr>
        <w:t>改革创新</w:t>
      </w:r>
      <w:r>
        <w:rPr>
          <w:rFonts w:hint="eastAsia" w:ascii="仿宋_GB2312" w:hAnsi="仿宋_GB2312" w:eastAsia="仿宋_GB2312" w:cs="仿宋_GB2312"/>
        </w:rPr>
        <w:t>为根本动力，</w:t>
      </w:r>
      <w:r>
        <w:rPr>
          <w:rFonts w:hint="eastAsia" w:ascii="仿宋_GB2312" w:hAnsi="仿宋_GB2312" w:cs="仿宋_GB2312"/>
          <w:lang w:val="en-US" w:eastAsia="zh-CN"/>
        </w:rPr>
        <w:t>系统</w:t>
      </w:r>
      <w:r>
        <w:rPr>
          <w:rFonts w:hint="eastAsia" w:ascii="仿宋_GB2312" w:hAnsi="仿宋_GB2312" w:eastAsia="仿宋_GB2312" w:cs="仿宋_GB2312"/>
        </w:rPr>
        <w:t>研究提出“十五五”时期</w:t>
      </w:r>
      <w:r>
        <w:rPr>
          <w:rFonts w:hint="eastAsia" w:ascii="仿宋_GB2312" w:hAnsi="仿宋_GB2312" w:eastAsia="仿宋_GB2312" w:cs="仿宋_GB2312"/>
          <w:lang w:val="en-US" w:eastAsia="zh-CN"/>
        </w:rPr>
        <w:t>富锦市</w:t>
      </w:r>
      <w:r>
        <w:rPr>
          <w:rFonts w:hint="eastAsia" w:ascii="仿宋_GB2312" w:hAnsi="仿宋_GB2312" w:eastAsia="仿宋_GB2312" w:cs="仿宋_GB2312"/>
        </w:rPr>
        <w:t>国民经济和社会发展的</w:t>
      </w:r>
      <w:r>
        <w:rPr>
          <w:rFonts w:hint="eastAsia" w:ascii="仿宋_GB2312" w:hAnsi="仿宋_GB2312" w:cs="仿宋_GB2312"/>
          <w:lang w:val="en-US" w:eastAsia="zh-CN"/>
        </w:rPr>
        <w:t>指导思想</w:t>
      </w:r>
      <w:r>
        <w:rPr>
          <w:rFonts w:hint="eastAsia" w:ascii="仿宋_GB2312" w:hAnsi="仿宋_GB2312" w:cs="仿宋_GB2312"/>
          <w:lang w:eastAsia="zh-CN"/>
        </w:rPr>
        <w:t>、</w:t>
      </w:r>
      <w:r>
        <w:rPr>
          <w:rFonts w:hint="eastAsia" w:ascii="仿宋_GB2312" w:hAnsi="仿宋_GB2312" w:cs="仿宋_GB2312"/>
          <w:lang w:val="en-US" w:eastAsia="zh-CN"/>
        </w:rPr>
        <w:t>遵循原则、</w:t>
      </w:r>
      <w:r>
        <w:rPr>
          <w:rFonts w:hint="eastAsia" w:ascii="仿宋_GB2312" w:hAnsi="仿宋_GB2312" w:eastAsia="仿宋_GB2312" w:cs="仿宋_GB2312"/>
        </w:rPr>
        <w:t>战略定位</w:t>
      </w:r>
      <w:r>
        <w:rPr>
          <w:rFonts w:hint="eastAsia" w:ascii="仿宋_GB2312" w:hAnsi="仿宋_GB2312" w:cs="仿宋_GB2312"/>
          <w:lang w:val="en-US" w:eastAsia="zh-CN"/>
        </w:rPr>
        <w:t>和</w:t>
      </w:r>
      <w:r>
        <w:rPr>
          <w:rFonts w:hint="eastAsia" w:ascii="仿宋_GB2312" w:hAnsi="仿宋_GB2312" w:eastAsia="仿宋_GB2312" w:cs="仿宋_GB2312"/>
        </w:rPr>
        <w:t>发展目标</w:t>
      </w:r>
      <w:r>
        <w:rPr>
          <w:rFonts w:hint="eastAsia" w:ascii="仿宋_GB2312" w:hAnsi="仿宋_GB2312" w:cs="仿宋_GB2312"/>
          <w:lang w:eastAsia="zh-CN"/>
        </w:rPr>
        <w:t>，</w:t>
      </w:r>
      <w:r>
        <w:rPr>
          <w:rFonts w:hint="eastAsia" w:ascii="仿宋_GB2312" w:hAnsi="仿宋_GB2312" w:cs="仿宋_GB2312"/>
          <w:lang w:val="en-US" w:eastAsia="zh-CN"/>
        </w:rPr>
        <w:t>围绕关键领域部署</w:t>
      </w:r>
      <w:r>
        <w:rPr>
          <w:rFonts w:hint="eastAsia" w:ascii="仿宋_GB2312" w:hAnsi="仿宋_GB2312" w:eastAsia="仿宋_GB2312" w:cs="仿宋_GB2312"/>
        </w:rPr>
        <w:t>重</w:t>
      </w:r>
      <w:r>
        <w:rPr>
          <w:rFonts w:hint="eastAsia" w:ascii="仿宋_GB2312" w:hAnsi="仿宋_GB2312" w:cs="仿宋_GB2312"/>
          <w:lang w:val="en-US" w:eastAsia="zh-CN"/>
        </w:rPr>
        <w:t>点任务</w:t>
      </w:r>
      <w:r>
        <w:rPr>
          <w:rFonts w:hint="eastAsia" w:ascii="仿宋_GB2312" w:hAnsi="仿宋_GB2312" w:cs="仿宋_GB2312"/>
          <w:lang w:eastAsia="zh-CN"/>
        </w:rPr>
        <w:t>，</w:t>
      </w:r>
      <w:r>
        <w:rPr>
          <w:rFonts w:hint="eastAsia" w:ascii="仿宋_GB2312" w:hAnsi="仿宋_GB2312" w:cs="仿宋_GB2312"/>
          <w:lang w:val="en-US" w:eastAsia="zh-CN"/>
        </w:rPr>
        <w:t>明确重大举措、</w:t>
      </w:r>
      <w:r>
        <w:rPr>
          <w:rFonts w:hint="eastAsia" w:ascii="仿宋_GB2312" w:hAnsi="仿宋_GB2312" w:eastAsia="仿宋_GB2312" w:cs="仿宋_GB2312"/>
        </w:rPr>
        <w:t>项目抓手和实施保障，将成为</w:t>
      </w:r>
      <w:r>
        <w:rPr>
          <w:rFonts w:hint="eastAsia" w:ascii="仿宋_GB2312" w:hAnsi="仿宋_GB2312" w:eastAsia="仿宋_GB2312" w:cs="仿宋_GB2312"/>
          <w:lang w:val="en-US" w:eastAsia="zh-CN"/>
        </w:rPr>
        <w:t>富锦市</w:t>
      </w:r>
      <w:r>
        <w:rPr>
          <w:rFonts w:hint="eastAsia" w:ascii="仿宋_GB2312" w:hAnsi="仿宋_GB2312" w:eastAsia="仿宋_GB2312" w:cs="仿宋_GB2312"/>
        </w:rPr>
        <w:t>未来五年经济社会发展的总纲领，是政府履行经济调节、市场监管、社会管理和公共服务职责的重要依据。</w:t>
      </w:r>
    </w:p>
    <w:p w14:paraId="1F299D2F">
      <w:pPr>
        <w:pStyle w:val="2"/>
        <w:bidi w:val="0"/>
        <w:ind w:left="0" w:leftChars="0" w:firstLine="0" w:firstLineChars="0"/>
        <w:jc w:val="center"/>
        <w:rPr>
          <w:rFonts w:hint="default" w:ascii="黑体" w:hAnsi="黑体" w:eastAsia="黑体" w:cs="黑体"/>
          <w:sz w:val="36"/>
          <w:szCs w:val="48"/>
          <w:lang w:val="en-US" w:eastAsia="zh-CN"/>
        </w:rPr>
      </w:pPr>
      <w:bookmarkStart w:id="2" w:name="_Toc27289"/>
      <w:r>
        <w:rPr>
          <w:rFonts w:hint="eastAsia" w:ascii="黑体" w:hAnsi="黑体" w:eastAsia="黑体" w:cs="黑体"/>
          <w:sz w:val="36"/>
          <w:szCs w:val="48"/>
          <w:lang w:val="en-US" w:eastAsia="zh-CN"/>
        </w:rPr>
        <w:t xml:space="preserve">第一章  </w:t>
      </w:r>
      <w:r>
        <w:rPr>
          <w:rFonts w:hint="eastAsia" w:ascii="黑体" w:hAnsi="黑体" w:cs="黑体"/>
          <w:sz w:val="36"/>
          <w:szCs w:val="48"/>
          <w:lang w:val="en-US" w:eastAsia="zh-CN"/>
        </w:rPr>
        <w:t>“十五五”时期是全面建设社会主义现代化富锦的关键时期</w:t>
      </w:r>
      <w:bookmarkEnd w:id="2"/>
    </w:p>
    <w:p w14:paraId="52786CD3">
      <w:pPr>
        <w:pStyle w:val="3"/>
        <w:bidi w:val="0"/>
        <w:rPr>
          <w:rFonts w:hint="default"/>
          <w:lang w:val="en-US" w:eastAsia="zh-CN"/>
        </w:rPr>
      </w:pPr>
      <w:bookmarkStart w:id="3" w:name="_Toc29727"/>
      <w:r>
        <w:rPr>
          <w:rFonts w:hint="eastAsia"/>
        </w:rPr>
        <w:t>第一节</w:t>
      </w:r>
      <w:r>
        <w:rPr>
          <w:rFonts w:hint="eastAsia"/>
          <w:lang w:val="en-US" w:eastAsia="zh-CN"/>
        </w:rPr>
        <w:t xml:space="preserve">  </w:t>
      </w:r>
      <w:r>
        <w:rPr>
          <w:rFonts w:hint="eastAsia"/>
        </w:rPr>
        <w:t>“十四五”时期</w:t>
      </w:r>
      <w:r>
        <w:rPr>
          <w:rFonts w:hint="eastAsia"/>
          <w:lang w:val="en-US" w:eastAsia="zh-CN"/>
        </w:rPr>
        <w:t>经济社会发展取得新成就</w:t>
      </w:r>
      <w:bookmarkEnd w:id="3"/>
    </w:p>
    <w:p w14:paraId="29B0F690">
      <w:pPr>
        <w:bidi w:val="0"/>
        <w:rPr>
          <w:rFonts w:hint="eastAsia" w:ascii="仿宋_GB2312" w:hAnsi="仿宋_GB2312" w:eastAsia="仿宋_GB2312" w:cs="仿宋_GB2312"/>
        </w:rPr>
      </w:pPr>
      <w:r>
        <w:rPr>
          <w:rFonts w:hint="eastAsia" w:ascii="仿宋_GB2312" w:hAnsi="仿宋_GB2312" w:eastAsia="仿宋_GB2312" w:cs="仿宋_GB2312"/>
        </w:rPr>
        <w:t>“十四五”时期我市发展历程极不寻常、极不平凡。面对艰巨繁重的改革发展稳定任务，市委坚持以习近平新时代中国特色社会主义思想为指导，全面贯彻落实习近平总书记重要讲话重要指示精神、党中央决策部署和省委</w:t>
      </w:r>
      <w:r>
        <w:rPr>
          <w:rFonts w:hint="eastAsia" w:ascii="仿宋_GB2312" w:hAnsi="仿宋_GB2312" w:eastAsia="仿宋_GB2312" w:cs="仿宋_GB2312"/>
          <w:lang w:eastAsia="zh-CN"/>
        </w:rPr>
        <w:t>、佳木斯市委</w:t>
      </w:r>
      <w:r>
        <w:rPr>
          <w:rFonts w:hint="eastAsia" w:ascii="仿宋_GB2312" w:hAnsi="仿宋_GB2312" w:eastAsia="仿宋_GB2312" w:cs="仿宋_GB2312"/>
        </w:rPr>
        <w:t>工作要求，团结带领全市广大干部群众牢记嘱托、感恩奋进，拼搏实干、担当作为，经受住世纪疫情严重冲击，有效应对各类风险挑战，全力建设“</w:t>
      </w:r>
      <w:r>
        <w:rPr>
          <w:rFonts w:hint="eastAsia" w:ascii="仿宋_GB2312" w:hAnsi="仿宋_GB2312" w:eastAsia="仿宋_GB2312" w:cs="仿宋_GB2312"/>
          <w:lang w:eastAsia="zh-CN"/>
        </w:rPr>
        <w:t>六个美好富锦</w:t>
      </w:r>
      <w:r>
        <w:rPr>
          <w:rFonts w:hint="eastAsia" w:ascii="仿宋_GB2312" w:hAnsi="仿宋_GB2312" w:eastAsia="仿宋_GB2312" w:cs="仿宋_GB2312"/>
        </w:rPr>
        <w:t>”，高质量振兴发展取得明显成效，中国式现代化</w:t>
      </w:r>
      <w:r>
        <w:rPr>
          <w:rFonts w:hint="eastAsia" w:ascii="仿宋_GB2312" w:hAnsi="仿宋_GB2312" w:eastAsia="仿宋_GB2312" w:cs="仿宋_GB2312"/>
          <w:lang w:eastAsia="zh-CN"/>
        </w:rPr>
        <w:t>富锦</w:t>
      </w:r>
      <w:r>
        <w:rPr>
          <w:rFonts w:hint="eastAsia" w:ascii="仿宋_GB2312" w:hAnsi="仿宋_GB2312" w:eastAsia="仿宋_GB2312" w:cs="仿宋_GB2312"/>
        </w:rPr>
        <w:t>实践迈出新的坚实步伐。</w:t>
      </w:r>
    </w:p>
    <w:p w14:paraId="51FB24F3">
      <w:pPr>
        <w:keepNext w:val="0"/>
        <w:keepLines w:val="0"/>
        <w:pageBreakBefore w:val="0"/>
        <w:widowControl w:val="0"/>
        <w:kinsoku/>
        <w:wordWrap/>
        <w:overflowPunct/>
        <w:topLinePunct w:val="0"/>
        <w:autoSpaceDE/>
        <w:autoSpaceDN/>
        <w:bidi w:val="0"/>
        <w:adjustRightInd/>
        <w:snapToGrid/>
        <w:textAlignment w:val="auto"/>
        <w:rPr>
          <w:rFonts w:hint="default" w:eastAsia="仿宋_GB2312"/>
          <w:b/>
          <w:bCs/>
          <w:lang w:val="en-US" w:eastAsia="zh-CN"/>
        </w:rPr>
      </w:pPr>
      <w:r>
        <w:rPr>
          <w:rFonts w:hint="eastAsia"/>
          <w:b/>
          <w:bCs/>
        </w:rPr>
        <w:t>一、综合经济实力</w:t>
      </w:r>
      <w:r>
        <w:rPr>
          <w:rFonts w:hint="eastAsia"/>
          <w:b/>
          <w:bCs/>
          <w:lang w:val="en-US" w:eastAsia="zh-CN"/>
        </w:rPr>
        <w:t>迈上新台阶</w:t>
      </w:r>
    </w:p>
    <w:p w14:paraId="2AC5703F">
      <w:pPr>
        <w:bidi w:val="0"/>
        <w:rPr>
          <w:rFonts w:hint="eastAsia" w:ascii="仿宋_GB2312" w:hAnsi="仿宋_GB2312" w:eastAsia="仿宋_GB2312" w:cs="仿宋_GB2312"/>
        </w:rPr>
      </w:pPr>
      <w:r>
        <w:rPr>
          <w:rFonts w:hint="eastAsia" w:ascii="仿宋_GB2312" w:hAnsi="仿宋_GB2312" w:eastAsia="仿宋_GB2312" w:cs="仿宋_GB2312"/>
        </w:rPr>
        <w:t>“十四五”期间，全市贯彻新发展理念，统筹新型城镇化和乡村全面振兴，着力构建特色优势现代化产业体系，积极培育经济发展新动能，综合经济实力达到新水平。</w:t>
      </w:r>
      <w:r>
        <w:rPr>
          <w:rFonts w:hint="eastAsia" w:ascii="仿宋_GB2312" w:hAnsi="仿宋_GB2312" w:eastAsia="仿宋_GB2312" w:cs="仿宋_GB2312"/>
          <w:lang w:val="en-US" w:eastAsia="zh-CN"/>
        </w:rPr>
        <w:t>截至202</w:t>
      </w:r>
      <w:r>
        <w:rPr>
          <w:rFonts w:hint="eastAsia" w:ascii="仿宋_GB2312" w:hAnsi="仿宋_GB2312" w:cs="仿宋_GB2312"/>
          <w:lang w:val="en-US" w:eastAsia="zh-CN"/>
        </w:rPr>
        <w:t>5</w:t>
      </w:r>
      <w:r>
        <w:rPr>
          <w:rFonts w:hint="eastAsia" w:ascii="仿宋_GB2312" w:hAnsi="仿宋_GB2312" w:eastAsia="仿宋_GB2312" w:cs="仿宋_GB2312"/>
          <w:lang w:val="en-US" w:eastAsia="zh-CN"/>
        </w:rPr>
        <w:t>年</w:t>
      </w:r>
      <w:r>
        <w:rPr>
          <w:rFonts w:hint="eastAsia" w:ascii="仿宋_GB2312" w:hAnsi="仿宋_GB2312" w:eastAsia="仿宋_GB2312" w:cs="仿宋_GB2312"/>
        </w:rPr>
        <w:t>，全市地区生产总值达到</w:t>
      </w:r>
      <w:r>
        <w:rPr>
          <w:rFonts w:hint="eastAsia" w:ascii="仿宋_GB2312" w:hAnsi="仿宋_GB2312" w:cs="仿宋_GB2312"/>
          <w:lang w:val="en-US" w:eastAsia="zh-CN"/>
        </w:rPr>
        <w:t>219.5</w:t>
      </w:r>
      <w:r>
        <w:rPr>
          <w:rFonts w:hint="eastAsia" w:ascii="仿宋_GB2312" w:hAnsi="仿宋_GB2312" w:eastAsia="仿宋_GB2312" w:cs="仿宋_GB2312"/>
        </w:rPr>
        <w:t>亿元，年均增长</w:t>
      </w:r>
      <w:r>
        <w:rPr>
          <w:rFonts w:hint="eastAsia" w:ascii="仿宋_GB2312" w:hAnsi="仿宋_GB2312" w:cs="仿宋_GB2312"/>
          <w:lang w:val="en-US" w:eastAsia="zh-CN"/>
        </w:rPr>
        <w:t>6.5</w:t>
      </w:r>
      <w:r>
        <w:rPr>
          <w:rFonts w:hint="eastAsia" w:ascii="仿宋_GB2312" w:hAnsi="仿宋_GB2312" w:eastAsia="仿宋_GB2312" w:cs="仿宋_GB2312"/>
        </w:rPr>
        <w:t>%</w:t>
      </w:r>
      <w:r>
        <w:rPr>
          <w:rFonts w:hint="eastAsia" w:ascii="仿宋_GB2312" w:hAnsi="仿宋_GB2312" w:cs="仿宋_GB2312"/>
          <w:lang w:eastAsia="zh-CN"/>
        </w:rPr>
        <w:t>，</w:t>
      </w:r>
      <w:r>
        <w:rPr>
          <w:rFonts w:hint="eastAsia" w:ascii="Times New Roman" w:hAnsi="Times New Roman" w:eastAsia="仿宋_GB2312" w:cs="Times New Roman"/>
          <w:sz w:val="32"/>
          <w:szCs w:val="32"/>
          <w:lang w:val="en-US" w:eastAsia="zh-CN"/>
        </w:rPr>
        <w:t>是</w:t>
      </w:r>
      <w:r>
        <w:rPr>
          <w:rFonts w:hint="eastAsia" w:ascii="Times New Roman" w:hAnsi="Times New Roman" w:eastAsia="仿宋_GB2312" w:cs="Times New Roman"/>
          <w:color w:val="auto"/>
          <w:sz w:val="32"/>
          <w:szCs w:val="32"/>
          <w:highlight w:val="none"/>
          <w:u w:val="none"/>
          <w:lang w:val="en-US" w:eastAsia="zh-CN"/>
        </w:rPr>
        <w:t>佳木斯首个突破200亿元的市（县）</w:t>
      </w:r>
      <w:r>
        <w:rPr>
          <w:rFonts w:hint="eastAsia" w:ascii="仿宋_GB2312" w:hAnsi="仿宋_GB2312" w:eastAsia="仿宋_GB2312" w:cs="仿宋_GB2312"/>
        </w:rPr>
        <w:t>；一般公共财政预算收入</w:t>
      </w:r>
      <w:r>
        <w:rPr>
          <w:rFonts w:hint="eastAsia" w:ascii="仿宋_GB2312" w:hAnsi="仿宋_GB2312" w:cs="仿宋_GB2312"/>
          <w:lang w:val="en-US" w:eastAsia="zh-CN"/>
        </w:rPr>
        <w:t>迈上12亿元台阶</w:t>
      </w:r>
      <w:r>
        <w:rPr>
          <w:rFonts w:hint="eastAsia" w:ascii="仿宋_GB2312" w:hAnsi="仿宋_GB2312" w:eastAsia="仿宋_GB2312" w:cs="仿宋_GB2312"/>
        </w:rPr>
        <w:t>，年均增长</w:t>
      </w:r>
      <w:r>
        <w:rPr>
          <w:rFonts w:hint="eastAsia" w:ascii="仿宋_GB2312" w:hAnsi="仿宋_GB2312" w:eastAsia="仿宋_GB2312" w:cs="仿宋_GB2312"/>
          <w:lang w:val="en-US" w:eastAsia="zh-CN"/>
        </w:rPr>
        <w:t>9.7</w:t>
      </w:r>
      <w:r>
        <w:rPr>
          <w:rFonts w:hint="eastAsia" w:ascii="仿宋_GB2312" w:hAnsi="仿宋_GB2312" w:eastAsia="仿宋_GB2312" w:cs="仿宋_GB2312"/>
        </w:rPr>
        <w:t>%，稳居佳木斯地区榜首；固定资产投资</w:t>
      </w:r>
      <w:r>
        <w:rPr>
          <w:rFonts w:hint="eastAsia" w:ascii="仿宋_GB2312" w:hAnsi="仿宋_GB2312" w:cs="仿宋_GB2312"/>
          <w:lang w:val="en-US" w:eastAsia="zh-CN"/>
        </w:rPr>
        <w:t>和实际利用内资分别</w:t>
      </w:r>
      <w:r>
        <w:rPr>
          <w:rFonts w:hint="eastAsia" w:ascii="仿宋_GB2312" w:hAnsi="仿宋_GB2312" w:eastAsia="仿宋_GB2312" w:cs="仿宋_GB2312"/>
        </w:rPr>
        <w:t>达到</w:t>
      </w:r>
      <w:r>
        <w:rPr>
          <w:rFonts w:hint="eastAsia" w:ascii="仿宋_GB2312" w:hAnsi="仿宋_GB2312" w:cs="仿宋_GB2312"/>
          <w:lang w:val="en-US" w:eastAsia="zh-CN"/>
        </w:rPr>
        <w:t>62</w:t>
      </w:r>
      <w:r>
        <w:rPr>
          <w:rFonts w:hint="eastAsia" w:ascii="仿宋_GB2312" w:hAnsi="仿宋_GB2312" w:eastAsia="仿宋_GB2312" w:cs="仿宋_GB2312"/>
        </w:rPr>
        <w:t>亿元</w:t>
      </w:r>
      <w:r>
        <w:rPr>
          <w:rFonts w:hint="eastAsia" w:ascii="仿宋_GB2312" w:hAnsi="仿宋_GB2312" w:cs="仿宋_GB2312"/>
          <w:lang w:val="en-US" w:eastAsia="zh-CN"/>
        </w:rPr>
        <w:t>和84</w:t>
      </w:r>
      <w:r>
        <w:rPr>
          <w:rFonts w:hint="eastAsia" w:ascii="仿宋_GB2312" w:hAnsi="仿宋_GB2312" w:eastAsia="仿宋_GB2312" w:cs="仿宋_GB2312"/>
        </w:rPr>
        <w:t>亿元；城镇</w:t>
      </w:r>
      <w:r>
        <w:rPr>
          <w:rFonts w:hint="eastAsia" w:ascii="仿宋_GB2312" w:hAnsi="仿宋_GB2312" w:cs="仿宋_GB2312"/>
          <w:lang w:val="en-US" w:eastAsia="zh-CN"/>
        </w:rPr>
        <w:t>和</w:t>
      </w:r>
      <w:r>
        <w:rPr>
          <w:rFonts w:hint="eastAsia" w:ascii="仿宋_GB2312" w:hAnsi="仿宋_GB2312" w:eastAsia="仿宋_GB2312" w:cs="仿宋_GB2312"/>
        </w:rPr>
        <w:t>农村人均可支配收入分别达到37183元和29733元，年均分</w:t>
      </w:r>
      <w:r>
        <w:rPr>
          <w:rFonts w:hint="eastAsia" w:ascii="仿宋_GB2312" w:hAnsi="仿宋_GB2312" w:cs="仿宋_GB2312"/>
          <w:lang w:eastAsia="zh-CN"/>
        </w:rPr>
        <w:t>别为</w:t>
      </w:r>
      <w:r>
        <w:rPr>
          <w:rFonts w:hint="eastAsia" w:ascii="仿宋_GB2312" w:hAnsi="仿宋_GB2312" w:cs="仿宋_GB2312"/>
          <w:lang w:val="en-US" w:eastAsia="zh-CN"/>
        </w:rPr>
        <w:t>5.3</w:t>
      </w:r>
      <w:r>
        <w:rPr>
          <w:rFonts w:hint="eastAsia" w:ascii="仿宋_GB2312" w:hAnsi="仿宋_GB2312" w:eastAsia="仿宋_GB2312" w:cs="仿宋_GB2312"/>
        </w:rPr>
        <w:t>%和</w:t>
      </w:r>
      <w:r>
        <w:rPr>
          <w:rFonts w:hint="eastAsia" w:ascii="仿宋_GB2312" w:hAnsi="仿宋_GB2312" w:cs="仿宋_GB2312"/>
          <w:lang w:val="en-US" w:eastAsia="zh-CN"/>
        </w:rPr>
        <w:t>6.1</w:t>
      </w:r>
      <w:r>
        <w:rPr>
          <w:rFonts w:hint="eastAsia" w:ascii="仿宋_GB2312" w:hAnsi="仿宋_GB2312" w:eastAsia="仿宋_GB2312" w:cs="仿宋_GB2312"/>
        </w:rPr>
        <w:t>%；完成国家、黑龙江省和佳木斯市下达的其他约束性指标。其中，地区生产总值、农林牧渔业总产值、</w:t>
      </w:r>
      <w:r>
        <w:rPr>
          <w:rFonts w:hint="eastAsia" w:ascii="仿宋_GB2312" w:hAnsi="仿宋_GB2312" w:cs="仿宋_GB2312"/>
          <w:lang w:val="en-US" w:eastAsia="zh-CN"/>
        </w:rPr>
        <w:t>固定资产投资、社会消费品零售总额</w:t>
      </w:r>
      <w:r>
        <w:rPr>
          <w:rFonts w:hint="eastAsia" w:ascii="仿宋_GB2312" w:hAnsi="仿宋_GB2312" w:eastAsia="仿宋_GB2312" w:cs="仿宋_GB2312"/>
        </w:rPr>
        <w:t>及实际利用内资等</w:t>
      </w:r>
      <w:r>
        <w:rPr>
          <w:rFonts w:hint="eastAsia" w:ascii="仿宋_GB2312" w:hAnsi="仿宋_GB2312" w:cs="仿宋_GB2312"/>
          <w:lang w:val="en-US" w:eastAsia="zh-CN"/>
        </w:rPr>
        <w:t>主要经济指标在佳木斯地区争当排头</w:t>
      </w:r>
      <w:r>
        <w:rPr>
          <w:rFonts w:hint="eastAsia" w:ascii="仿宋_GB2312" w:hAnsi="仿宋_GB2312" w:eastAsia="仿宋_GB2312" w:cs="仿宋_GB2312"/>
        </w:rPr>
        <w:t>，</w:t>
      </w:r>
      <w:r>
        <w:rPr>
          <w:rFonts w:hint="eastAsia" w:ascii="仿宋_GB2312" w:hAnsi="仿宋_GB2312" w:cs="仿宋_GB2312"/>
          <w:lang w:val="en-US" w:eastAsia="zh-CN"/>
        </w:rPr>
        <w:t>县域经济综合实力稳居全省第一方阵</w:t>
      </w:r>
      <w:r>
        <w:rPr>
          <w:rFonts w:hint="eastAsia" w:ascii="仿宋_GB2312" w:hAnsi="仿宋_GB2312" w:eastAsia="仿宋_GB2312" w:cs="仿宋_GB2312"/>
        </w:rPr>
        <w:t>，为佳木斯地区发展大局作出了应有贡献。</w:t>
      </w:r>
    </w:p>
    <w:p w14:paraId="559E922D">
      <w:pPr>
        <w:bidi w:val="0"/>
        <w:rPr>
          <w:rFonts w:hint="default" w:ascii="仿宋_GB2312" w:hAnsi="仿宋_GB2312" w:eastAsia="仿宋_GB2312" w:cs="仿宋_GB2312"/>
          <w:b/>
          <w:bCs/>
          <w:lang w:val="en-US" w:eastAsia="zh-CN"/>
        </w:rPr>
      </w:pPr>
      <w:r>
        <w:rPr>
          <w:rFonts w:hint="eastAsia" w:ascii="仿宋_GB2312" w:hAnsi="仿宋_GB2312" w:cs="仿宋_GB2312"/>
          <w:b/>
          <w:bCs/>
          <w:lang w:val="en-US" w:eastAsia="zh-CN"/>
        </w:rPr>
        <w:t>二、乡村全面振兴扎实推进</w:t>
      </w:r>
    </w:p>
    <w:p w14:paraId="2176B7CF">
      <w:pPr>
        <w:bidi w:val="0"/>
        <w:rPr>
          <w:rFonts w:hint="eastAsia" w:ascii="仿宋_GB2312" w:hAnsi="仿宋_GB2312" w:eastAsia="仿宋_GB2312" w:cs="仿宋_GB2312"/>
        </w:rPr>
      </w:pPr>
      <w:r>
        <w:rPr>
          <w:rFonts w:hint="eastAsia" w:ascii="仿宋_GB2312" w:hAnsi="仿宋_GB2312" w:eastAsia="仿宋_GB2312" w:cs="仿宋_GB2312"/>
          <w:b/>
          <w:bCs/>
        </w:rPr>
        <w:t>现代农业</w:t>
      </w:r>
      <w:r>
        <w:rPr>
          <w:rFonts w:hint="eastAsia" w:ascii="仿宋_GB2312" w:hAnsi="仿宋_GB2312" w:cs="仿宋_GB2312"/>
          <w:b/>
          <w:bCs/>
          <w:lang w:val="en-US" w:eastAsia="zh-CN"/>
        </w:rPr>
        <w:t>发展</w:t>
      </w:r>
      <w:r>
        <w:rPr>
          <w:rFonts w:hint="eastAsia" w:ascii="仿宋_GB2312" w:hAnsi="仿宋_GB2312" w:eastAsia="仿宋_GB2312" w:cs="仿宋_GB2312"/>
          <w:b/>
          <w:bCs/>
        </w:rPr>
        <w:t>取得</w:t>
      </w:r>
      <w:r>
        <w:rPr>
          <w:rFonts w:hint="eastAsia" w:ascii="仿宋_GB2312" w:hAnsi="仿宋_GB2312" w:cs="仿宋_GB2312"/>
          <w:b/>
          <w:bCs/>
          <w:lang w:val="en-US" w:eastAsia="zh-CN"/>
        </w:rPr>
        <w:t>重要进展</w:t>
      </w:r>
      <w:r>
        <w:rPr>
          <w:rFonts w:hint="eastAsia" w:ascii="仿宋_GB2312" w:hAnsi="仿宋_GB2312" w:eastAsia="仿宋_GB2312" w:cs="仿宋_GB2312"/>
          <w:b/>
          <w:bCs/>
        </w:rPr>
        <w:t>。</w:t>
      </w:r>
      <w:r>
        <w:rPr>
          <w:rFonts w:hint="eastAsia" w:ascii="仿宋_GB2312" w:hAnsi="仿宋_GB2312" w:cs="仿宋_GB2312"/>
          <w:b w:val="0"/>
          <w:bCs w:val="0"/>
          <w:lang w:val="en-US" w:eastAsia="zh-CN"/>
        </w:rPr>
        <w:t>牢记粮食安全这一“国之大者”，</w:t>
      </w:r>
      <w:r>
        <w:rPr>
          <w:rFonts w:hint="eastAsia" w:ascii="仿宋_GB2312" w:hAnsi="仿宋_GB2312" w:eastAsia="仿宋_GB2312" w:cs="仿宋_GB2312"/>
        </w:rPr>
        <w:t>全方位夯实粮食安全根基，</w:t>
      </w:r>
      <w:r>
        <w:rPr>
          <w:rFonts w:hint="eastAsia" w:ascii="仿宋_GB2312" w:hAnsi="仿宋_GB2312" w:cs="仿宋_GB2312"/>
          <w:lang w:val="en-US" w:eastAsia="zh-CN"/>
        </w:rPr>
        <w:t>建成</w:t>
      </w:r>
      <w:r>
        <w:rPr>
          <w:rFonts w:hint="eastAsia" w:ascii="仿宋_GB2312" w:hAnsi="仿宋_GB2312" w:eastAsia="仿宋_GB2312" w:cs="仿宋_GB2312"/>
        </w:rPr>
        <w:t>高标准农田</w:t>
      </w:r>
      <w:r>
        <w:rPr>
          <w:rFonts w:hint="eastAsia" w:ascii="仿宋_GB2312" w:hAnsi="仿宋_GB2312" w:cs="仿宋_GB2312"/>
          <w:lang w:val="en-US" w:eastAsia="zh-CN"/>
        </w:rPr>
        <w:t>263万亩、</w:t>
      </w:r>
      <w:r>
        <w:rPr>
          <w:rFonts w:hint="eastAsia" w:ascii="仿宋_GB2312" w:hAnsi="仿宋_GB2312" w:eastAsia="仿宋_GB2312" w:cs="仿宋_GB2312"/>
        </w:rPr>
        <w:t>黑土地保护</w:t>
      </w:r>
      <w:r>
        <w:rPr>
          <w:rFonts w:hint="eastAsia" w:ascii="仿宋_GB2312" w:hAnsi="仿宋_GB2312" w:cs="仿宋_GB2312"/>
          <w:lang w:val="en-US" w:eastAsia="zh-CN"/>
        </w:rPr>
        <w:t>利用示范区213万亩，</w:t>
      </w:r>
      <w:r>
        <w:rPr>
          <w:rFonts w:hint="eastAsia" w:ascii="仿宋_GB2312" w:hAnsi="仿宋_GB2312" w:eastAsia="仿宋_GB2312" w:cs="仿宋_GB2312"/>
        </w:rPr>
        <w:t>建立了高标准示范园区23个，全市种植面积</w:t>
      </w:r>
      <w:r>
        <w:rPr>
          <w:rFonts w:hint="eastAsia" w:ascii="仿宋_GB2312" w:hAnsi="仿宋_GB2312" w:eastAsia="仿宋_GB2312" w:cs="仿宋_GB2312"/>
          <w:lang w:eastAsia="zh-CN"/>
        </w:rPr>
        <w:t>达到</w:t>
      </w:r>
      <w:r>
        <w:rPr>
          <w:rFonts w:hint="eastAsia" w:ascii="仿宋_GB2312" w:hAnsi="仿宋_GB2312" w:cs="仿宋_GB2312"/>
          <w:lang w:val="en-US" w:eastAsia="zh-CN"/>
        </w:rPr>
        <w:t>837</w:t>
      </w:r>
      <w:r>
        <w:rPr>
          <w:rFonts w:hint="eastAsia" w:ascii="仿宋_GB2312" w:hAnsi="仿宋_GB2312" w:eastAsia="仿宋_GB2312" w:cs="仿宋_GB2312"/>
        </w:rPr>
        <w:t>万亩，</w:t>
      </w:r>
      <w:r>
        <w:rPr>
          <w:rFonts w:hint="eastAsia" w:ascii="仿宋_GB2312" w:hAnsi="仿宋_GB2312" w:cs="仿宋_GB2312"/>
          <w:lang w:val="en-US" w:eastAsia="zh-CN"/>
        </w:rPr>
        <w:t>2025年</w:t>
      </w:r>
      <w:r>
        <w:rPr>
          <w:rFonts w:hint="eastAsia" w:ascii="仿宋_GB2312" w:hAnsi="仿宋_GB2312" w:eastAsia="仿宋_GB2312" w:cs="仿宋_GB2312"/>
        </w:rPr>
        <w:t>粮食总产量</w:t>
      </w:r>
      <w:r>
        <w:rPr>
          <w:rFonts w:hint="eastAsia" w:ascii="仿宋_GB2312" w:hAnsi="仿宋_GB2312" w:cs="仿宋_GB2312"/>
          <w:lang w:val="en-US" w:eastAsia="zh-CN"/>
        </w:rPr>
        <w:t>达到67.02</w:t>
      </w:r>
      <w:r>
        <w:rPr>
          <w:rFonts w:hint="eastAsia" w:ascii="仿宋_GB2312" w:hAnsi="仿宋_GB2312" w:eastAsia="仿宋_GB2312" w:cs="仿宋_GB2312"/>
        </w:rPr>
        <w:t>亿斤、</w:t>
      </w:r>
      <w:r>
        <w:rPr>
          <w:rFonts w:hint="eastAsia" w:ascii="仿宋_GB2312" w:hAnsi="仿宋_GB2312" w:eastAsia="仿宋_GB2312" w:cs="仿宋_GB2312"/>
          <w:lang w:val="en-US" w:eastAsia="zh-CN"/>
        </w:rPr>
        <w:t>蝉联</w:t>
      </w:r>
      <w:r>
        <w:rPr>
          <w:rFonts w:hint="eastAsia" w:ascii="仿宋_GB2312" w:hAnsi="仿宋_GB2312" w:cs="仿宋_GB2312"/>
          <w:lang w:eastAsia="zh-CN"/>
        </w:rPr>
        <w:t>四年</w:t>
      </w:r>
      <w:r>
        <w:rPr>
          <w:rFonts w:hint="eastAsia" w:ascii="仿宋_GB2312" w:hAnsi="仿宋_GB2312" w:eastAsia="仿宋_GB2312" w:cs="仿宋_GB2312"/>
        </w:rPr>
        <w:t>全国产粮第一县桂冠。</w:t>
      </w:r>
      <w:r>
        <w:rPr>
          <w:rFonts w:hint="eastAsia" w:ascii="仿宋_GB2312" w:hAnsi="仿宋_GB2312" w:cs="仿宋_GB2312"/>
          <w:lang w:val="en-US" w:eastAsia="zh-CN"/>
        </w:rPr>
        <w:t>统筹推进“四个农业”，加快实现农业高质量发展</w:t>
      </w:r>
      <w:r>
        <w:rPr>
          <w:rFonts w:hint="eastAsia" w:ascii="仿宋_GB2312" w:hAnsi="仿宋_GB2312" w:cs="仿宋_GB2312"/>
          <w:lang w:eastAsia="zh-CN"/>
        </w:rPr>
        <w:t>。</w:t>
      </w:r>
      <w:r>
        <w:rPr>
          <w:rFonts w:hint="eastAsia" w:ascii="仿宋_GB2312" w:hAnsi="仿宋_GB2312" w:cs="仿宋_GB2312"/>
          <w:lang w:val="en-US" w:eastAsia="zh-CN"/>
        </w:rPr>
        <w:t>绿色农业加速转型，</w:t>
      </w:r>
      <w:r>
        <w:rPr>
          <w:rFonts w:hint="eastAsia" w:ascii="仿宋_GB2312" w:hAnsi="仿宋_GB2312" w:eastAsia="仿宋_GB2312" w:cs="仿宋_GB2312"/>
        </w:rPr>
        <w:t>被农业农村部确认为全省首家“</w:t>
      </w:r>
      <w:r>
        <w:rPr>
          <w:rFonts w:hint="eastAsia" w:ascii="仿宋_GB2312" w:hAnsi="仿宋_GB2312" w:cs="仿宋_GB2312"/>
          <w:lang w:val="en-US" w:eastAsia="zh-CN"/>
        </w:rPr>
        <w:t>面向可持续发展的中国农业生态系统创新性转型项目</w:t>
      </w:r>
      <w:r>
        <w:rPr>
          <w:rFonts w:hint="eastAsia" w:ascii="仿宋_GB2312" w:hAnsi="仿宋_GB2312" w:eastAsia="仿宋_GB2312" w:cs="仿宋_GB2312"/>
        </w:rPr>
        <w:t>”</w:t>
      </w:r>
      <w:r>
        <w:rPr>
          <w:rFonts w:hint="eastAsia" w:ascii="仿宋_GB2312" w:hAnsi="仿宋_GB2312" w:cs="仿宋_GB2312"/>
          <w:lang w:eastAsia="zh-CN"/>
        </w:rPr>
        <w:t>，</w:t>
      </w:r>
      <w:r>
        <w:rPr>
          <w:rFonts w:hint="eastAsia" w:ascii="仿宋_GB2312" w:hAnsi="仿宋_GB2312" w:eastAsia="仿宋_GB2312" w:cs="仿宋_GB2312"/>
        </w:rPr>
        <w:t>获批“绿色农资”升级行动试点县</w:t>
      </w:r>
      <w:bookmarkStart w:id="4" w:name="OLE_LINK9"/>
      <w:r>
        <w:rPr>
          <w:rFonts w:hint="eastAsia" w:ascii="仿宋_GB2312" w:hAnsi="仿宋_GB2312" w:cs="仿宋_GB2312"/>
          <w:lang w:eastAsia="zh-CN"/>
        </w:rPr>
        <w:t>，</w:t>
      </w:r>
      <w:r>
        <w:rPr>
          <w:rFonts w:hint="eastAsia" w:ascii="仿宋_GB2312" w:hAnsi="仿宋_GB2312" w:eastAsia="仿宋_GB2312" w:cs="仿宋_GB2312"/>
        </w:rPr>
        <w:t>国家绿色食品原料标准化生产基地种植面积全国第一</w:t>
      </w:r>
      <w:bookmarkEnd w:id="4"/>
      <w:r>
        <w:rPr>
          <w:rFonts w:hint="eastAsia" w:ascii="仿宋_GB2312" w:hAnsi="仿宋_GB2312" w:eastAsia="仿宋_GB2312" w:cs="仿宋_GB2312"/>
        </w:rPr>
        <w:t>，建成“市镇村”三级农业废弃物收储体系。科技农业迈上新台阶，先后入选全国首批农业现代化示范区、全国农业科技现代化先行县，万亩水稻科技示范园成功纳入</w:t>
      </w:r>
      <w:r>
        <w:rPr>
          <w:rFonts w:hint="eastAsia" w:ascii="仿宋_GB2312" w:hAnsi="仿宋_GB2312" w:cs="仿宋_GB2312"/>
          <w:lang w:val="en-US" w:eastAsia="zh-CN"/>
        </w:rPr>
        <w:t>全国绿色食品一二三产业融合发展</w:t>
      </w:r>
      <w:r>
        <w:rPr>
          <w:rFonts w:hint="eastAsia" w:ascii="仿宋_GB2312" w:hAnsi="仿宋_GB2312" w:eastAsia="仿宋_GB2312" w:cs="仿宋_GB2312"/>
        </w:rPr>
        <w:t>名录，全市优良品种普及率100%、农业生产标准化覆盖率86%、农业科技贡献率71%。</w:t>
      </w:r>
      <w:r>
        <w:rPr>
          <w:rFonts w:hint="eastAsia" w:ascii="仿宋_GB2312" w:hAnsi="仿宋_GB2312" w:cs="仿宋_GB2312"/>
          <w:lang w:val="en-US" w:eastAsia="zh-CN"/>
        </w:rPr>
        <w:t>智慧农业进入系统提升新阶段</w:t>
      </w:r>
      <w:r>
        <w:rPr>
          <w:rFonts w:hint="eastAsia" w:ascii="仿宋_GB2312" w:hAnsi="仿宋_GB2312" w:eastAsia="仿宋_GB2312" w:cs="仿宋_GB2312"/>
        </w:rPr>
        <w:t>，开展万亩水稻数字农业项目试点，智慧农机推广应用成效显著，农业大数据服务平台、农业生产质量溯源管理系统和遥感检测平台搭建完成，</w:t>
      </w:r>
      <w:r>
        <w:rPr>
          <w:rFonts w:hint="eastAsia" w:ascii="仿宋_GB2312" w:hAnsi="仿宋_GB2312" w:eastAsia="仿宋_GB2312" w:cs="仿宋_GB2312"/>
          <w:lang w:eastAsia="zh-CN"/>
        </w:rPr>
        <w:t>形成</w:t>
      </w:r>
      <w:r>
        <w:rPr>
          <w:rFonts w:hint="eastAsia" w:ascii="仿宋_GB2312" w:hAnsi="仿宋_GB2312" w:eastAsia="仿宋_GB2312" w:cs="仿宋_GB2312"/>
        </w:rPr>
        <w:t>“耕、种、管、收”全链条智慧农业体系。品牌农业价值持续提升，拥有</w:t>
      </w:r>
      <w:r>
        <w:rPr>
          <w:rFonts w:hint="eastAsia" w:ascii="仿宋_GB2312" w:hAnsi="仿宋_GB2312" w:eastAsia="仿宋_GB2312" w:cs="仿宋_GB2312"/>
          <w:lang w:eastAsia="zh-CN"/>
        </w:rPr>
        <w:t>“富锦大豆”</w:t>
      </w:r>
      <w:r>
        <w:rPr>
          <w:rFonts w:hint="eastAsia" w:ascii="仿宋_GB2312" w:hAnsi="仿宋_GB2312" w:eastAsia="仿宋_GB2312" w:cs="仿宋_GB2312"/>
        </w:rPr>
        <w:t>地理标志</w:t>
      </w:r>
      <w:r>
        <w:rPr>
          <w:rFonts w:hint="eastAsia" w:ascii="仿宋_GB2312" w:hAnsi="仿宋_GB2312" w:cs="仿宋_GB2312"/>
          <w:lang w:val="en-US" w:eastAsia="zh-CN"/>
        </w:rPr>
        <w:t>产品</w:t>
      </w:r>
      <w:r>
        <w:rPr>
          <w:rFonts w:hint="eastAsia" w:ascii="仿宋_GB2312" w:hAnsi="仿宋_GB2312" w:eastAsia="仿宋_GB2312" w:cs="仿宋_GB2312"/>
          <w:lang w:eastAsia="zh-CN"/>
        </w:rPr>
        <w:t>和“富锦大米”</w:t>
      </w:r>
      <w:r>
        <w:rPr>
          <w:rFonts w:hint="eastAsia" w:ascii="仿宋_GB2312" w:hAnsi="仿宋_GB2312" w:eastAsia="仿宋_GB2312" w:cs="仿宋_GB2312"/>
          <w:lang w:val="en-US" w:eastAsia="zh-CN"/>
        </w:rPr>
        <w:t>地理</w:t>
      </w:r>
      <w:r>
        <w:rPr>
          <w:rFonts w:hint="eastAsia" w:ascii="仿宋_GB2312" w:hAnsi="仿宋_GB2312" w:cs="仿宋_GB2312"/>
          <w:lang w:val="en-US" w:eastAsia="zh-CN"/>
        </w:rPr>
        <w:t>标志</w:t>
      </w:r>
      <w:r>
        <w:rPr>
          <w:rFonts w:hint="eastAsia" w:ascii="仿宋_GB2312" w:hAnsi="仿宋_GB2312" w:eastAsia="仿宋_GB2312" w:cs="仿宋_GB2312"/>
          <w:lang w:val="en-US" w:eastAsia="zh-CN"/>
        </w:rPr>
        <w:t>证明商标</w:t>
      </w:r>
      <w:r>
        <w:rPr>
          <w:rFonts w:hint="eastAsia" w:ascii="仿宋_GB2312" w:hAnsi="仿宋_GB2312" w:eastAsia="仿宋_GB2312" w:cs="仿宋_GB2312"/>
        </w:rPr>
        <w:t>、有机</w:t>
      </w:r>
      <w:r>
        <w:rPr>
          <w:rFonts w:hint="eastAsia" w:ascii="仿宋_GB2312" w:hAnsi="仿宋_GB2312" w:cs="仿宋_GB2312"/>
          <w:lang w:val="en-US" w:eastAsia="zh-CN"/>
        </w:rPr>
        <w:t>农产品</w:t>
      </w:r>
      <w:r>
        <w:rPr>
          <w:rFonts w:hint="eastAsia" w:ascii="仿宋_GB2312" w:hAnsi="仿宋_GB2312" w:eastAsia="仿宋_GB2312" w:cs="仿宋_GB2312"/>
        </w:rPr>
        <w:t>认证4</w:t>
      </w:r>
      <w:r>
        <w:rPr>
          <w:rFonts w:hint="eastAsia" w:ascii="仿宋_GB2312" w:hAnsi="仿宋_GB2312" w:cs="仿宋_GB2312"/>
          <w:lang w:val="en-US" w:eastAsia="zh-CN"/>
        </w:rPr>
        <w:t>家</w:t>
      </w:r>
      <w:r>
        <w:rPr>
          <w:rFonts w:hint="eastAsia" w:ascii="仿宋_GB2312" w:hAnsi="仿宋_GB2312" w:eastAsia="仿宋_GB2312" w:cs="仿宋_GB2312"/>
        </w:rPr>
        <w:t>、绿色食品标志52个，“齐粳10号”荣获“全国十大名优粳稻”称号，“富锦大米”在世界稻米百强榜单荣获第四名，“富锦狮头鹅”纳入全国“名特优新”农产品名录。农业社会化服务取得新进展，农业社会化服务中心项目建成使用，带动148个农业生产社会化服务组织，土地规模化经营面积达83%，成功获批“全国农业社会化服务创新试点重点县”。特色</w:t>
      </w:r>
      <w:r>
        <w:rPr>
          <w:rFonts w:hint="eastAsia" w:ascii="仿宋_GB2312" w:hAnsi="仿宋_GB2312" w:cs="仿宋_GB2312"/>
          <w:lang w:eastAsia="zh-CN"/>
        </w:rPr>
        <w:t>种植养殖</w:t>
      </w:r>
      <w:r>
        <w:rPr>
          <w:rFonts w:hint="eastAsia" w:ascii="仿宋_GB2312" w:hAnsi="仿宋_GB2312" w:eastAsia="仿宋_GB2312" w:cs="仿宋_GB2312"/>
        </w:rPr>
        <w:t>结构不断调整，万寿菊种植面积不断扩大，万头肉牛、万头奶牛养殖基地扎实推进，</w:t>
      </w:r>
      <w:r>
        <w:rPr>
          <w:rFonts w:hint="eastAsia" w:ascii="仿宋_GB2312" w:hAnsi="仿宋_GB2312" w:cs="仿宋_GB2312"/>
          <w:lang w:val="en-US" w:eastAsia="zh-CN"/>
        </w:rPr>
        <w:t>打造了全省规模最大的狮头鹅养殖基地</w:t>
      </w:r>
      <w:r>
        <w:rPr>
          <w:rFonts w:hint="eastAsia" w:ascii="仿宋_GB2312" w:hAnsi="仿宋_GB2312" w:eastAsia="仿宋_GB2312" w:cs="仿宋_GB2312"/>
        </w:rPr>
        <w:t>。</w:t>
      </w:r>
    </w:p>
    <w:p w14:paraId="71893BEB">
      <w:pPr>
        <w:bidi w:val="0"/>
        <w:rPr>
          <w:rFonts w:hint="eastAsia" w:ascii="仿宋_GB2312" w:hAnsi="仿宋_GB2312" w:eastAsia="仿宋_GB2312" w:cs="仿宋_GB2312"/>
        </w:rPr>
      </w:pPr>
      <w:r>
        <w:rPr>
          <w:rFonts w:hint="eastAsia" w:ascii="仿宋_GB2312" w:hAnsi="仿宋_GB2312" w:cs="仿宋_GB2312"/>
          <w:b/>
          <w:bCs/>
          <w:lang w:val="en-US" w:eastAsia="zh-CN"/>
        </w:rPr>
        <w:t>乡村建设和治理水平不断提升。</w:t>
      </w:r>
      <w:r>
        <w:rPr>
          <w:rFonts w:hint="eastAsia" w:ascii="仿宋_GB2312" w:hAnsi="仿宋_GB2312" w:eastAsia="仿宋_GB2312" w:cs="仿宋_GB2312"/>
          <w:b w:val="0"/>
          <w:bCs w:val="0"/>
          <w:lang w:eastAsia="zh-CN"/>
        </w:rPr>
        <w:t>美丽乡村建设</w:t>
      </w:r>
      <w:r>
        <w:rPr>
          <w:rFonts w:hint="eastAsia" w:ascii="仿宋_GB2312" w:hAnsi="仿宋_GB2312" w:eastAsia="仿宋_GB2312" w:cs="仿宋_GB2312"/>
          <w:b w:val="0"/>
          <w:bCs w:val="0"/>
        </w:rPr>
        <w:t>持续推进</w:t>
      </w:r>
      <w:r>
        <w:rPr>
          <w:rFonts w:hint="eastAsia" w:ascii="仿宋_GB2312" w:hAnsi="仿宋_GB2312" w:cs="仿宋_GB2312"/>
          <w:b w:val="0"/>
          <w:bCs w:val="0"/>
          <w:lang w:eastAsia="zh-CN"/>
        </w:rPr>
        <w:t>，</w:t>
      </w:r>
      <w:r>
        <w:rPr>
          <w:rFonts w:hint="eastAsia" w:ascii="仿宋_GB2312" w:hAnsi="仿宋_GB2312" w:eastAsia="仿宋_GB2312" w:cs="仿宋_GB2312"/>
        </w:rPr>
        <w:t>在佳木斯地区率先开展美丽宜居乡村示范工程创建，</w:t>
      </w:r>
      <w:r>
        <w:rPr>
          <w:rFonts w:hint="eastAsia" w:ascii="仿宋_GB2312" w:hAnsi="仿宋_GB2312" w:cs="仿宋_GB2312"/>
          <w:lang w:val="en-US" w:eastAsia="zh-CN"/>
        </w:rPr>
        <w:t>重点推进美丽宜居示范镇和示范村</w:t>
      </w:r>
      <w:r>
        <w:rPr>
          <w:rFonts w:hint="eastAsia" w:ascii="仿宋_GB2312" w:hAnsi="仿宋_GB2312" w:eastAsia="仿宋_GB2312" w:cs="仿宋_GB2312"/>
          <w:lang w:eastAsia="zh-CN"/>
        </w:rPr>
        <w:t>建设</w:t>
      </w:r>
      <w:r>
        <w:rPr>
          <w:rFonts w:hint="eastAsia" w:ascii="仿宋_GB2312" w:hAnsi="仿宋_GB2312" w:cs="仿宋_GB2312"/>
          <w:lang w:eastAsia="zh-CN"/>
        </w:rPr>
        <w:t>，</w:t>
      </w:r>
      <w:r>
        <w:rPr>
          <w:rFonts w:hint="eastAsia" w:ascii="仿宋_GB2312" w:hAnsi="仿宋_GB2312" w:eastAsia="仿宋_GB2312" w:cs="仿宋_GB2312"/>
        </w:rPr>
        <w:t>完成170个重点村村庄规划编制</w:t>
      </w:r>
      <w:r>
        <w:rPr>
          <w:rFonts w:hint="eastAsia" w:ascii="仿宋_GB2312" w:hAnsi="仿宋_GB2312" w:cs="仿宋_GB2312"/>
          <w:lang w:eastAsia="zh-CN"/>
        </w:rPr>
        <w:t>；</w:t>
      </w:r>
      <w:r>
        <w:rPr>
          <w:rFonts w:hint="eastAsia" w:ascii="仿宋_GB2312" w:hAnsi="仿宋_GB2312" w:eastAsia="仿宋_GB2312" w:cs="仿宋_GB2312"/>
        </w:rPr>
        <w:t>以“六清一修一改一建一绿”为重点，深入实施农村人居环境五年提升行动，农村垃圾分拣中心、垃圾转运站投入运行，户厕问题整改如期完成，生活污水治理、供水保障工程、生物质锅炉更换有效推进，规模农场和散养户畜禽粪污治理设施升级改造完成</w:t>
      </w:r>
      <w:r>
        <w:rPr>
          <w:rFonts w:hint="eastAsia" w:ascii="仿宋_GB2312" w:hAnsi="仿宋_GB2312" w:cs="仿宋_GB2312"/>
          <w:lang w:eastAsia="zh-CN"/>
        </w:rPr>
        <w:t>；</w:t>
      </w:r>
      <w:r>
        <w:rPr>
          <w:rFonts w:hint="eastAsia" w:ascii="仿宋_GB2312" w:hAnsi="仿宋_GB2312" w:eastAsia="仿宋_GB2312" w:cs="仿宋_GB2312"/>
        </w:rPr>
        <w:t>农村基本公共服务建设不断完善，全面推行农村公路“路长制”，建立了“总路长+三级路长”责任体系，改造提升农村</w:t>
      </w:r>
      <w:r>
        <w:rPr>
          <w:rFonts w:hint="eastAsia" w:ascii="仿宋_GB2312" w:hAnsi="仿宋_GB2312" w:eastAsia="仿宋_GB2312" w:cs="仿宋_GB2312"/>
          <w:lang w:val="en-US" w:eastAsia="zh-CN"/>
        </w:rPr>
        <w:t>公路378.2</w:t>
      </w:r>
      <w:r>
        <w:rPr>
          <w:rFonts w:hint="eastAsia" w:ascii="仿宋_GB2312" w:hAnsi="仿宋_GB2312" w:eastAsia="仿宋_GB2312" w:cs="仿宋_GB2312"/>
        </w:rPr>
        <w:t>公里；实现行政村光纤网络和5G通信全覆盖，推进农村11所中小学校维修改造、采购教学设备维护，2家农村老年人助餐服务点、4个幸福大院建成运营，医疗保障范围内报销比例达到70%。</w:t>
      </w:r>
      <w:r>
        <w:rPr>
          <w:rFonts w:hint="eastAsia" w:ascii="仿宋_GB2312" w:hAnsi="仿宋_GB2312" w:cs="仿宋_GB2312"/>
          <w:b w:val="0"/>
          <w:bCs w:val="0"/>
          <w:lang w:val="en-US" w:eastAsia="zh-CN"/>
        </w:rPr>
        <w:t>乡村治理水平不断提升，</w:t>
      </w:r>
      <w:r>
        <w:rPr>
          <w:rFonts w:hint="eastAsia" w:ascii="仿宋_GB2312" w:hAnsi="仿宋_GB2312" w:eastAsia="仿宋_GB2312" w:cs="仿宋_GB2312"/>
        </w:rPr>
        <w:t>举办</w:t>
      </w:r>
      <w:r>
        <w:rPr>
          <w:rFonts w:hint="eastAsia" w:ascii="仿宋_GB2312" w:hAnsi="仿宋_GB2312" w:eastAsia="仿宋_GB2312" w:cs="仿宋_GB2312"/>
          <w:lang w:eastAsia="zh-CN"/>
        </w:rPr>
        <w:t>高</w:t>
      </w:r>
      <w:r>
        <w:rPr>
          <w:rFonts w:hint="eastAsia" w:ascii="仿宋_GB2312" w:hAnsi="仿宋_GB2312" w:eastAsia="仿宋_GB2312" w:cs="仿宋_GB2312"/>
        </w:rPr>
        <w:t>素质农民培训班，实施“一村一策”治理模式，实现村规民约全市行政村</w:t>
      </w:r>
      <w:r>
        <w:rPr>
          <w:rFonts w:hint="eastAsia" w:ascii="仿宋_GB2312" w:hAnsi="仿宋_GB2312" w:cs="仿宋_GB2312"/>
          <w:lang w:eastAsia="zh-CN"/>
        </w:rPr>
        <w:t>全</w:t>
      </w:r>
      <w:r>
        <w:rPr>
          <w:rFonts w:hint="eastAsia" w:ascii="仿宋_GB2312" w:hAnsi="仿宋_GB2312" w:eastAsia="仿宋_GB2312" w:cs="仿宋_GB2312"/>
        </w:rPr>
        <w:t>覆盖。</w:t>
      </w:r>
    </w:p>
    <w:p w14:paraId="7A878839">
      <w:pPr>
        <w:bidi w:val="0"/>
        <w:rPr>
          <w:rFonts w:hint="eastAsia" w:ascii="仿宋_GB2312" w:hAnsi="仿宋_GB2312" w:eastAsia="仿宋_GB2312" w:cs="仿宋_GB2312"/>
        </w:rPr>
      </w:pPr>
      <w:r>
        <w:rPr>
          <w:rFonts w:hint="eastAsia" w:ascii="仿宋_GB2312" w:hAnsi="仿宋_GB2312" w:eastAsia="仿宋_GB2312" w:cs="仿宋_GB2312"/>
          <w:b/>
          <w:bCs/>
        </w:rPr>
        <w:t>脱贫</w:t>
      </w:r>
      <w:r>
        <w:rPr>
          <w:rFonts w:hint="eastAsia" w:ascii="仿宋_GB2312" w:hAnsi="仿宋_GB2312" w:cs="仿宋_GB2312"/>
          <w:b/>
          <w:bCs/>
          <w:lang w:val="en-US" w:eastAsia="zh-CN"/>
        </w:rPr>
        <w:t>攻坚</w:t>
      </w:r>
      <w:r>
        <w:rPr>
          <w:rFonts w:hint="eastAsia" w:ascii="仿宋_GB2312" w:hAnsi="仿宋_GB2312" w:eastAsia="仿宋_GB2312" w:cs="仿宋_GB2312"/>
          <w:b/>
          <w:bCs/>
        </w:rPr>
        <w:t>成果持续巩固</w:t>
      </w:r>
      <w:r>
        <w:rPr>
          <w:rFonts w:hint="eastAsia" w:ascii="仿宋_GB2312" w:hAnsi="仿宋_GB2312" w:cs="仿宋_GB2312"/>
          <w:b/>
          <w:bCs/>
          <w:lang w:eastAsia="zh-CN"/>
        </w:rPr>
        <w:t>。</w:t>
      </w:r>
      <w:r>
        <w:rPr>
          <w:rFonts w:hint="eastAsia" w:ascii="仿宋_GB2312" w:hAnsi="仿宋_GB2312" w:cs="仿宋_GB2312"/>
          <w:lang w:val="en-US" w:eastAsia="zh-CN"/>
        </w:rPr>
        <w:t>富锦市</w:t>
      </w:r>
      <w:r>
        <w:rPr>
          <w:rFonts w:hint="eastAsia" w:ascii="仿宋_GB2312" w:hAnsi="仿宋_GB2312" w:eastAsia="仿宋_GB2312" w:cs="仿宋_GB2312"/>
        </w:rPr>
        <w:t>被列为常态化帮扶和政策衔接并轨全省试点县，全市</w:t>
      </w:r>
      <w:r>
        <w:rPr>
          <w:rFonts w:hint="eastAsia" w:ascii="仿宋_GB2312" w:hAnsi="仿宋_GB2312" w:eastAsia="仿宋_GB2312" w:cs="仿宋_GB2312"/>
          <w:lang w:val="en-US" w:eastAsia="zh-CN"/>
        </w:rPr>
        <w:t>脱贫人口人均</w:t>
      </w:r>
      <w:r>
        <w:rPr>
          <w:rFonts w:hint="eastAsia" w:ascii="仿宋_GB2312" w:hAnsi="仿宋_GB2312" w:cs="仿宋_GB2312"/>
          <w:lang w:val="en-US" w:eastAsia="zh-CN"/>
        </w:rPr>
        <w:t>纯</w:t>
      </w:r>
      <w:r>
        <w:rPr>
          <w:rFonts w:hint="eastAsia" w:ascii="仿宋_GB2312" w:hAnsi="仿宋_GB2312" w:eastAsia="仿宋_GB2312" w:cs="仿宋_GB2312"/>
          <w:lang w:val="en-US" w:eastAsia="zh-CN"/>
        </w:rPr>
        <w:t>收入</w:t>
      </w:r>
      <w:r>
        <w:rPr>
          <w:rFonts w:hint="eastAsia" w:ascii="仿宋_GB2312" w:hAnsi="仿宋_GB2312" w:cs="仿宋_GB2312"/>
          <w:lang w:val="en-US" w:eastAsia="zh-CN"/>
        </w:rPr>
        <w:t>从2020年的14305元增加至2025年的23618.29</w:t>
      </w:r>
      <w:r>
        <w:rPr>
          <w:rFonts w:hint="eastAsia" w:ascii="仿宋_GB2312" w:hAnsi="仿宋_GB2312" w:eastAsia="仿宋_GB2312" w:cs="仿宋_GB2312"/>
          <w:lang w:val="en-US" w:eastAsia="zh-CN"/>
        </w:rPr>
        <w:t>元，</w:t>
      </w:r>
      <w:r>
        <w:rPr>
          <w:rFonts w:hint="eastAsia" w:ascii="仿宋_GB2312" w:hAnsi="仿宋_GB2312" w:cs="仿宋_GB2312"/>
          <w:lang w:val="en-US" w:eastAsia="zh-CN"/>
        </w:rPr>
        <w:t>年均增长率为10.53%</w:t>
      </w:r>
      <w:r>
        <w:rPr>
          <w:rFonts w:hint="eastAsia" w:ascii="仿宋_GB2312" w:hAnsi="仿宋_GB2312" w:eastAsia="仿宋_GB2312" w:cs="仿宋_GB2312"/>
          <w:lang w:val="en-US" w:eastAsia="zh-CN"/>
        </w:rPr>
        <w:t>。</w:t>
      </w:r>
      <w:r>
        <w:rPr>
          <w:rFonts w:hint="eastAsia" w:ascii="仿宋_GB2312" w:hAnsi="仿宋_GB2312" w:eastAsia="仿宋_GB2312" w:cs="仿宋_GB2312"/>
        </w:rPr>
        <w:t>建立“防返贫”动态监测和帮扶机制，通过防止返贫“一键申报”小程序、镇村干部排查</w:t>
      </w:r>
      <w:r>
        <w:rPr>
          <w:rFonts w:hint="eastAsia" w:ascii="仿宋_GB2312" w:hAnsi="仿宋_GB2312" w:cs="仿宋_GB2312"/>
          <w:lang w:eastAsia="zh-CN"/>
        </w:rPr>
        <w:t>、</w:t>
      </w:r>
      <w:r>
        <w:rPr>
          <w:rFonts w:hint="eastAsia" w:ascii="仿宋_GB2312" w:hAnsi="仿宋_GB2312" w:cs="仿宋_GB2312"/>
          <w:lang w:val="en-US" w:eastAsia="zh-CN"/>
        </w:rPr>
        <w:t>行业部门预警</w:t>
      </w:r>
      <w:r>
        <w:rPr>
          <w:rFonts w:hint="eastAsia" w:ascii="仿宋_GB2312" w:hAnsi="仿宋_GB2312" w:eastAsia="仿宋_GB2312" w:cs="仿宋_GB2312"/>
        </w:rPr>
        <w:t>等方式实施动态监测。实施两类户“六大措施增收行动”，累计投入各类扶贫</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帮扶</w:t>
      </w:r>
      <w:r>
        <w:rPr>
          <w:rFonts w:hint="eastAsia" w:ascii="仿宋_GB2312" w:hAnsi="仿宋_GB2312" w:eastAsia="仿宋_GB2312" w:cs="仿宋_GB2312"/>
          <w:lang w:eastAsia="zh-CN"/>
        </w:rPr>
        <w:t>）</w:t>
      </w:r>
      <w:r>
        <w:rPr>
          <w:rFonts w:hint="eastAsia" w:ascii="仿宋_GB2312" w:hAnsi="仿宋_GB2312" w:eastAsia="仿宋_GB2312" w:cs="仿宋_GB2312"/>
        </w:rPr>
        <w:t>资金</w:t>
      </w:r>
      <w:r>
        <w:rPr>
          <w:rFonts w:hint="eastAsia" w:ascii="仿宋_GB2312" w:hAnsi="仿宋_GB2312" w:eastAsia="仿宋_GB2312" w:cs="仿宋_GB2312"/>
          <w:lang w:val="en-US" w:eastAsia="zh-CN"/>
        </w:rPr>
        <w:t>2.1亿元</w:t>
      </w:r>
      <w:r>
        <w:rPr>
          <w:rFonts w:hint="eastAsia" w:ascii="仿宋_GB2312" w:hAnsi="仿宋_GB2312" w:eastAsia="仿宋_GB2312" w:cs="仿宋_GB2312"/>
        </w:rPr>
        <w:t>，推动农村特色产业</w:t>
      </w:r>
      <w:r>
        <w:rPr>
          <w:rFonts w:hint="eastAsia" w:ascii="仿宋_GB2312" w:hAnsi="仿宋_GB2312" w:eastAsia="仿宋_GB2312" w:cs="仿宋_GB2312"/>
          <w:lang w:val="en-US" w:eastAsia="zh-CN"/>
        </w:rPr>
        <w:t>发展</w:t>
      </w:r>
      <w:r>
        <w:rPr>
          <w:rFonts w:hint="eastAsia" w:ascii="仿宋_GB2312" w:hAnsi="仿宋_GB2312" w:eastAsia="仿宋_GB2312" w:cs="仿宋_GB2312"/>
        </w:rPr>
        <w:t>，落实产业带动、就业帮扶、庭院经济奖补、小额贷款等帮扶措施</w:t>
      </w:r>
      <w:r>
        <w:rPr>
          <w:rFonts w:hint="eastAsia" w:ascii="仿宋_GB2312" w:hAnsi="仿宋_GB2312" w:eastAsia="仿宋_GB2312" w:cs="仿宋_GB2312"/>
          <w:lang w:val="en-US" w:eastAsia="zh-CN"/>
        </w:rPr>
        <w:t>持续增收</w:t>
      </w:r>
      <w:r>
        <w:rPr>
          <w:rFonts w:hint="eastAsia" w:ascii="仿宋_GB2312" w:hAnsi="仿宋_GB2312" w:eastAsia="仿宋_GB2312" w:cs="仿宋_GB2312"/>
        </w:rPr>
        <w:t>，实现</w:t>
      </w:r>
      <w:r>
        <w:rPr>
          <w:rFonts w:hint="eastAsia" w:ascii="仿宋_GB2312" w:hAnsi="仿宋_GB2312" w:eastAsia="仿宋_GB2312" w:cs="仿宋_GB2312"/>
          <w:lang w:val="en-US" w:eastAsia="zh-CN"/>
        </w:rPr>
        <w:t>不发生规模性返贫工作目标</w:t>
      </w:r>
      <w:r>
        <w:rPr>
          <w:rFonts w:hint="eastAsia" w:ascii="仿宋_GB2312" w:hAnsi="仿宋_GB2312" w:eastAsia="仿宋_GB2312" w:cs="仿宋_GB2312"/>
        </w:rPr>
        <w:t>。</w:t>
      </w:r>
    </w:p>
    <w:p w14:paraId="2257E7C0">
      <w:pPr>
        <w:bidi w:val="0"/>
        <w:rPr>
          <w:rFonts w:hint="default" w:ascii="仿宋_GB2312" w:hAnsi="仿宋_GB2312" w:eastAsia="仿宋_GB2312" w:cs="仿宋_GB2312"/>
          <w:b/>
          <w:bCs/>
          <w:lang w:val="en-US" w:eastAsia="zh-CN"/>
        </w:rPr>
      </w:pPr>
      <w:r>
        <w:rPr>
          <w:rFonts w:hint="eastAsia" w:ascii="仿宋_GB2312" w:hAnsi="仿宋_GB2312" w:cs="仿宋_GB2312"/>
          <w:b/>
          <w:bCs/>
          <w:lang w:val="en-US" w:eastAsia="zh-CN"/>
        </w:rPr>
        <w:t>三、现代化产业体系加速构建</w:t>
      </w:r>
    </w:p>
    <w:p w14:paraId="22A51DD3">
      <w:pPr>
        <w:bidi w:val="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聚焦玉米、水稻、大豆、畜禽乳、新能源、进出口工贸和现代服务业“六大产业链条”，大力发展新质生产力。引进江苏奥谷50万吨海藻糖、年产10万吨低聚麦芽糖，武汉美味源10万吨大米淀粉，诺潽生物科技高端氨基酸等项目，象屿87万吨玉米淀粉深加工扩产改造完成，生物经济“延点成链、聚链成网”。</w:t>
      </w:r>
      <w:r>
        <w:rPr>
          <w:rFonts w:hint="eastAsia" w:ascii="仿宋_GB2312" w:hAnsi="仿宋_GB2312" w:eastAsia="仿宋_GB2312" w:cs="仿宋_GB2312"/>
        </w:rPr>
        <w:t>华润150兆瓦风电项目全容量并网，一热源迁建项目</w:t>
      </w:r>
      <w:r>
        <w:rPr>
          <w:rFonts w:hint="eastAsia" w:ascii="仿宋_GB2312" w:hAnsi="仿宋_GB2312" w:eastAsia="仿宋_GB2312" w:cs="仿宋_GB2312"/>
          <w:lang w:val="en-US" w:eastAsia="zh-CN"/>
        </w:rPr>
        <w:t>竣工投入使用，</w:t>
      </w:r>
      <w:r>
        <w:rPr>
          <w:rFonts w:hint="eastAsia" w:ascii="仿宋_GB2312" w:hAnsi="仿宋_GB2312" w:eastAsia="仿宋_GB2312" w:cs="仿宋_GB2312"/>
        </w:rPr>
        <w:t>泰富能源300兆瓦风电、电变新能源300兆瓦风电</w:t>
      </w:r>
      <w:r>
        <w:rPr>
          <w:rFonts w:hint="eastAsia" w:ascii="仿宋_GB2312" w:hAnsi="仿宋_GB2312" w:eastAsia="仿宋_GB2312" w:cs="仿宋_GB2312"/>
          <w:lang w:eastAsia="zh-CN"/>
        </w:rPr>
        <w:t>、</w:t>
      </w:r>
      <w:r>
        <w:rPr>
          <w:rFonts w:hint="eastAsia" w:ascii="仿宋_GB2312" w:hAnsi="仿宋_GB2312" w:eastAsia="仿宋_GB2312" w:cs="仿宋_GB2312"/>
        </w:rPr>
        <w:t>中宇90</w:t>
      </w:r>
      <w:r>
        <w:rPr>
          <w:rFonts w:hint="eastAsia" w:ascii="仿宋_GB2312" w:hAnsi="仿宋_GB2312" w:eastAsia="仿宋_GB2312" w:cs="仿宋_GB2312"/>
          <w:lang w:val="en-US" w:eastAsia="zh-CN"/>
        </w:rPr>
        <w:t>兆瓦风电等容改造等项目扎实推进</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华灯新能源300兆瓦风电项目获批开展前期工作，新能源产业“向新而行、以新提质”。海粮米业日加工5000吨糯稻项目建成投产，金正油脂大豆仓储设施二期、绿谷酱油食醋扩建及福慧食品大豆深加工项目先后投产，山东宝来利来大豆功能性与休闲性系列食品等项目落地建设，绿色食品加工产业再添“主力军”。大连乐奇冒险世界主题乐园开工建设，现代服务业点燃“新引擎”。</w:t>
      </w:r>
      <w:r>
        <w:rPr>
          <w:rFonts w:hint="default" w:ascii="仿宋_GB2312" w:hAnsi="仿宋_GB2312" w:eastAsia="仿宋_GB2312" w:cs="仿宋_GB2312"/>
          <w:lang w:val="en-US" w:eastAsia="zh-CN"/>
        </w:rPr>
        <w:t>经济开发区“6+1”共享平台加快完成，化工园区通过省级较低安全风险等级（D级）评估，成为全省功能最完善、要素最集约的投资高地。</w:t>
      </w:r>
    </w:p>
    <w:p w14:paraId="02B45BA2">
      <w:pPr>
        <w:bidi w:val="0"/>
        <w:rPr>
          <w:rFonts w:hint="default" w:eastAsia="仿宋_GB2312"/>
          <w:b/>
          <w:bCs/>
          <w:lang w:val="en-US" w:eastAsia="zh-CN"/>
        </w:rPr>
      </w:pPr>
      <w:r>
        <w:rPr>
          <w:rFonts w:hint="eastAsia"/>
          <w:b/>
          <w:bCs/>
          <w:lang w:val="en-US" w:eastAsia="zh-CN"/>
        </w:rPr>
        <w:t>四、科技创新能力得到新提升</w:t>
      </w:r>
    </w:p>
    <w:p w14:paraId="5C79EA14">
      <w:pPr>
        <w:bidi w:val="0"/>
        <w:rPr>
          <w:rFonts w:hint="eastAsia" w:ascii="仿宋_GB2312" w:hAnsi="仿宋_GB2312" w:eastAsia="仿宋_GB2312" w:cs="仿宋_GB2312"/>
        </w:rPr>
      </w:pPr>
      <w:r>
        <w:rPr>
          <w:rFonts w:hint="eastAsia" w:ascii="仿宋_GB2312" w:hAnsi="仿宋_GB2312" w:cs="仿宋_GB2312"/>
          <w:lang w:val="en-US" w:eastAsia="zh-CN"/>
        </w:rPr>
        <w:t>截至</w:t>
      </w:r>
      <w:r>
        <w:rPr>
          <w:rFonts w:hint="eastAsia" w:ascii="仿宋_GB2312" w:hAnsi="仿宋_GB2312" w:cs="仿宋_GB2312"/>
          <w:lang w:eastAsia="zh-CN"/>
        </w:rPr>
        <w:t>“</w:t>
      </w:r>
      <w:r>
        <w:rPr>
          <w:rFonts w:hint="eastAsia" w:ascii="仿宋_GB2312" w:hAnsi="仿宋_GB2312" w:cs="仿宋_GB2312"/>
          <w:lang w:val="en-US" w:eastAsia="zh-CN"/>
        </w:rPr>
        <w:t>十四五</w:t>
      </w:r>
      <w:r>
        <w:rPr>
          <w:rFonts w:hint="eastAsia" w:ascii="仿宋_GB2312" w:hAnsi="仿宋_GB2312" w:cs="仿宋_GB2312"/>
          <w:lang w:eastAsia="zh-CN"/>
        </w:rPr>
        <w:t>”</w:t>
      </w:r>
      <w:r>
        <w:rPr>
          <w:rFonts w:hint="eastAsia" w:ascii="仿宋_GB2312" w:hAnsi="仿宋_GB2312" w:cs="仿宋_GB2312"/>
          <w:lang w:val="en-US" w:eastAsia="zh-CN"/>
        </w:rPr>
        <w:t>末，全市拥有</w:t>
      </w:r>
      <w:r>
        <w:rPr>
          <w:rFonts w:hint="eastAsia" w:ascii="仿宋_GB2312" w:hAnsi="仿宋_GB2312" w:eastAsia="仿宋_GB2312" w:cs="仿宋_GB2312"/>
        </w:rPr>
        <w:t>国家级高新技术企业12家、科技型中小企业22家、创新型中小企业</w:t>
      </w:r>
      <w:r>
        <w:rPr>
          <w:rFonts w:hint="eastAsia" w:ascii="仿宋_GB2312" w:hAnsi="仿宋_GB2312" w:eastAsia="仿宋_GB2312" w:cs="仿宋_GB2312"/>
          <w:lang w:val="en-US" w:eastAsia="zh-CN"/>
        </w:rPr>
        <w:t>10</w:t>
      </w:r>
      <w:r>
        <w:rPr>
          <w:rFonts w:hint="eastAsia" w:ascii="仿宋_GB2312" w:hAnsi="仿宋_GB2312" w:eastAsia="仿宋_GB2312" w:cs="仿宋_GB2312"/>
        </w:rPr>
        <w:t>家、省级“专精特新”企业</w:t>
      </w:r>
      <w:r>
        <w:rPr>
          <w:rFonts w:hint="eastAsia" w:ascii="仿宋_GB2312" w:hAnsi="仿宋_GB2312" w:eastAsia="仿宋_GB2312" w:cs="仿宋_GB2312"/>
          <w:lang w:val="en-US" w:eastAsia="zh-CN"/>
        </w:rPr>
        <w:t>9</w:t>
      </w:r>
      <w:r>
        <w:rPr>
          <w:rFonts w:hint="eastAsia" w:ascii="仿宋_GB2312" w:hAnsi="仿宋_GB2312" w:eastAsia="仿宋_GB2312" w:cs="仿宋_GB2312"/>
        </w:rPr>
        <w:t>家、市级工程技术研究中心1家，</w:t>
      </w:r>
      <w:r>
        <w:rPr>
          <w:rFonts w:hint="eastAsia" w:ascii="仿宋_GB2312" w:hAnsi="仿宋_GB2312" w:cs="仿宋_GB2312"/>
          <w:lang w:eastAsia="zh-CN"/>
        </w:rPr>
        <w:t>省级</w:t>
      </w:r>
      <w:r>
        <w:rPr>
          <w:rFonts w:hint="eastAsia" w:ascii="仿宋_GB2312" w:hAnsi="仿宋_GB2312" w:eastAsia="仿宋_GB2312" w:cs="仿宋_GB2312"/>
          <w:lang w:eastAsia="zh-CN"/>
        </w:rPr>
        <w:t>企业技术中心</w:t>
      </w:r>
      <w:r>
        <w:rPr>
          <w:rFonts w:hint="eastAsia" w:ascii="仿宋_GB2312" w:hAnsi="仿宋_GB2312" w:eastAsia="仿宋_GB2312" w:cs="仿宋_GB2312"/>
          <w:lang w:val="en-US" w:eastAsia="zh-CN"/>
        </w:rPr>
        <w:t>1家，象屿金谷生化科技有限公司成功评定为国家级绿色工厂和省级绿色供应链企业，双盛米业集团顺利通过全省数字化（智能）示范车间认定，</w:t>
      </w:r>
      <w:r>
        <w:rPr>
          <w:rFonts w:hint="eastAsia" w:ascii="仿宋_GB2312" w:hAnsi="仿宋_GB2312" w:eastAsia="仿宋_GB2312" w:cs="仿宋_GB2312"/>
          <w:lang w:eastAsia="zh-CN"/>
        </w:rPr>
        <w:t>诺潽生物科技公司成功认定省级数字化示范</w:t>
      </w:r>
      <w:r>
        <w:rPr>
          <w:rFonts w:hint="eastAsia" w:ascii="仿宋_GB2312" w:hAnsi="仿宋_GB2312" w:cs="仿宋_GB2312"/>
          <w:lang w:val="en-US" w:eastAsia="zh-CN"/>
        </w:rPr>
        <w:t>标杆</w:t>
      </w:r>
      <w:r>
        <w:rPr>
          <w:rFonts w:hint="eastAsia" w:ascii="仿宋_GB2312" w:hAnsi="仿宋_GB2312" w:eastAsia="仿宋_GB2312" w:cs="仿宋_GB2312"/>
          <w:lang w:eastAsia="zh-CN"/>
        </w:rPr>
        <w:t>企业，</w:t>
      </w:r>
      <w:r>
        <w:rPr>
          <w:rFonts w:hint="eastAsia" w:ascii="仿宋_GB2312" w:hAnsi="仿宋_GB2312" w:eastAsia="仿宋_GB2312" w:cs="仿宋_GB2312"/>
        </w:rPr>
        <w:t>挺进全省科技创新发展综合评价十强县。</w:t>
      </w:r>
    </w:p>
    <w:p w14:paraId="46CF2615">
      <w:pPr>
        <w:bidi w:val="0"/>
        <w:rPr>
          <w:rFonts w:hint="eastAsia"/>
          <w:b/>
          <w:bCs/>
          <w:lang w:val="en-US" w:eastAsia="zh-CN"/>
        </w:rPr>
      </w:pPr>
      <w:r>
        <w:rPr>
          <w:rFonts w:hint="eastAsia"/>
          <w:b/>
          <w:bCs/>
          <w:lang w:val="en-US" w:eastAsia="zh-CN"/>
        </w:rPr>
        <w:t>五、商贸服务更具发展活力</w:t>
      </w:r>
    </w:p>
    <w:p w14:paraId="49328421">
      <w:pPr>
        <w:bidi w:val="0"/>
        <w:rPr>
          <w:rFonts w:hint="eastAsia" w:ascii="仿宋_GB2312" w:hAnsi="仿宋_GB2312" w:eastAsia="仿宋_GB2312" w:cs="仿宋_GB2312"/>
          <w:lang w:val="en-US" w:eastAsia="zh-CN"/>
        </w:rPr>
      </w:pPr>
      <w:r>
        <w:rPr>
          <w:rFonts w:hint="eastAsia" w:ascii="仿宋_GB2312" w:hAnsi="仿宋_GB2312" w:cs="仿宋_GB2312"/>
          <w:b w:val="0"/>
          <w:bCs w:val="0"/>
          <w:lang w:val="en-US" w:eastAsia="zh-CN"/>
        </w:rPr>
        <w:t>传统商贸提质增效，</w:t>
      </w:r>
      <w:r>
        <w:rPr>
          <w:rFonts w:hint="eastAsia" w:ascii="仿宋_GB2312" w:hAnsi="仿宋_GB2312" w:eastAsia="仿宋_GB2312" w:cs="仿宋_GB2312"/>
        </w:rPr>
        <w:t>成功创建国家级第一批县域商业建设行动示范县，入选2025年全国县域商业“领跑县”</w:t>
      </w:r>
      <w:r>
        <w:rPr>
          <w:rFonts w:hint="eastAsia" w:ascii="仿宋_GB2312" w:hAnsi="仿宋_GB2312" w:cs="仿宋_GB2312"/>
          <w:lang w:eastAsia="zh-CN"/>
        </w:rPr>
        <w:t>，</w:t>
      </w:r>
      <w:r>
        <w:rPr>
          <w:rFonts w:hint="eastAsia" w:ascii="仿宋_GB2312" w:hAnsi="仿宋_GB2312" w:eastAsia="仿宋_GB2312" w:cs="仿宋_GB2312"/>
        </w:rPr>
        <w:t>引导大商新玛特、新天地等商贸综合体向“商品+服务”转型，策划“锦城巷”步行街地标建筑</w:t>
      </w:r>
      <w:r>
        <w:rPr>
          <w:rFonts w:hint="eastAsia" w:ascii="仿宋_GB2312" w:hAnsi="仿宋_GB2312" w:cs="仿宋_GB2312"/>
          <w:lang w:eastAsia="zh-CN"/>
        </w:rPr>
        <w:t>，</w:t>
      </w:r>
      <w:r>
        <w:rPr>
          <w:rFonts w:hint="eastAsia" w:ascii="仿宋_GB2312" w:hAnsi="仿宋_GB2312" w:eastAsia="仿宋_GB2312" w:cs="仿宋_GB2312"/>
        </w:rPr>
        <w:t>三江平原商贸中心辐射力、集聚力更加凸显</w:t>
      </w:r>
      <w:r>
        <w:rPr>
          <w:rFonts w:hint="eastAsia" w:ascii="仿宋_GB2312" w:hAnsi="仿宋_GB2312" w:eastAsia="仿宋_GB2312" w:cs="仿宋_GB2312"/>
          <w:lang w:eastAsia="zh-CN"/>
        </w:rPr>
        <w:t>。</w:t>
      </w:r>
      <w:r>
        <w:rPr>
          <w:rFonts w:hint="eastAsia" w:ascii="仿宋_GB2312" w:hAnsi="仿宋_GB2312" w:eastAsia="仿宋_GB2312" w:cs="仿宋_GB2312"/>
        </w:rPr>
        <w:t>电商平台经济集聚效应不断扩大，先后荣获“省级电子商务示范区”“省级科技企业孵化器”</w:t>
      </w:r>
      <w:r>
        <w:rPr>
          <w:rFonts w:hint="eastAsia" w:ascii="仿宋_GB2312" w:hAnsi="仿宋_GB2312" w:eastAsia="仿宋_GB2312" w:cs="仿宋_GB2312"/>
          <w:lang w:eastAsia="zh-CN"/>
        </w:rPr>
        <w:t>等荣誉</w:t>
      </w:r>
      <w:r>
        <w:rPr>
          <w:rFonts w:hint="eastAsia" w:ascii="仿宋_GB2312" w:hAnsi="仿宋_GB2312" w:cs="仿宋_GB2312"/>
          <w:lang w:eastAsia="zh-CN"/>
        </w:rPr>
        <w:t>。</w:t>
      </w:r>
      <w:r>
        <w:rPr>
          <w:rFonts w:hint="eastAsia" w:ascii="仿宋_GB2312" w:hAnsi="仿宋_GB2312" w:eastAsia="仿宋_GB2312" w:cs="仿宋_GB2312"/>
          <w:lang w:val="en-US" w:eastAsia="zh-CN"/>
        </w:rPr>
        <w:t>推进文旅商产业一体化发展，万亩水稻公园晋升国家4A级旅游景区，荣获国家级“避暑旅游目的地”称号。成功举办全国“四季村晚”之夏季“村晚”主场活动、半程马拉松等系列文旅活动，富锦的知名度、影响力持续扩大。</w:t>
      </w:r>
    </w:p>
    <w:p w14:paraId="18561C57">
      <w:pPr>
        <w:bidi w:val="0"/>
        <w:rPr>
          <w:rFonts w:hint="default" w:ascii="仿宋_GB2312" w:hAnsi="仿宋_GB2312" w:eastAsia="仿宋_GB2312" w:cs="仿宋_GB2312"/>
          <w:b/>
          <w:bCs/>
          <w:lang w:val="en-US" w:eastAsia="zh-CN"/>
        </w:rPr>
      </w:pPr>
      <w:r>
        <w:rPr>
          <w:rFonts w:hint="eastAsia" w:ascii="仿宋_GB2312" w:hAnsi="仿宋_GB2312" w:cs="仿宋_GB2312"/>
          <w:b/>
          <w:bCs/>
          <w:lang w:val="en-US" w:eastAsia="zh-CN"/>
        </w:rPr>
        <w:t>六、对俄开放取得新成效</w:t>
      </w:r>
    </w:p>
    <w:p w14:paraId="57007595">
      <w:pPr>
        <w:bidi w:val="0"/>
        <w:rPr>
          <w:rFonts w:hint="eastAsia" w:ascii="仿宋_GB2312" w:hAnsi="仿宋_GB2312" w:eastAsia="仿宋_GB2312" w:cs="仿宋_GB2312"/>
        </w:rPr>
      </w:pPr>
      <w:r>
        <w:rPr>
          <w:rFonts w:hint="eastAsia" w:ascii="仿宋_GB2312" w:hAnsi="仿宋_GB2312" w:eastAsia="仿宋_GB2312" w:cs="仿宋_GB2312"/>
        </w:rPr>
        <w:t>富锦口岸恢复通关过货，口岸基础设施建设全面加强</w:t>
      </w:r>
      <w:r>
        <w:rPr>
          <w:rFonts w:hint="eastAsia" w:ascii="仿宋_GB2312" w:hAnsi="仿宋_GB2312" w:eastAsia="仿宋_GB2312" w:cs="仿宋_GB2312"/>
          <w:lang w:eastAsia="zh-CN"/>
        </w:rPr>
        <w:t>。被确定为佳木斯陆港型国家物流枢纽辅助功能区，</w:t>
      </w:r>
      <w:r>
        <w:rPr>
          <w:rFonts w:hint="eastAsia" w:ascii="仿宋_GB2312" w:hAnsi="仿宋_GB2312" w:eastAsia="仿宋_GB2312" w:cs="仿宋_GB2312"/>
        </w:rPr>
        <w:t>成功跻身2025年全国农产品骨干冷链物流重点县，三江平原二手车及汽车配件交易中心、国际冷链仓储物流园区稳步推进，区域性物流枢纽城市地位日益凸显。中俄能源多式联运跨境合作示范区、进境粮食指定口岸等开放平台加快建设，对外保税项目孵化园区码头主体、疏港道路等建设任务顺利完成，修订完善《富锦市鼓励口岸过货、发展外经贸奖励办法》，引进锦岸昌贸易、原崎商贸等外贸企业，开启对俄开放合作新篇章。</w:t>
      </w:r>
    </w:p>
    <w:p w14:paraId="0F6F74BF">
      <w:pPr>
        <w:bidi w:val="0"/>
        <w:rPr>
          <w:rFonts w:hint="default" w:ascii="仿宋_GB2312" w:hAnsi="仿宋_GB2312" w:cs="仿宋_GB2312"/>
          <w:b/>
          <w:bCs/>
          <w:lang w:val="en-US" w:eastAsia="zh-CN"/>
        </w:rPr>
      </w:pPr>
      <w:r>
        <w:rPr>
          <w:rFonts w:hint="eastAsia" w:ascii="仿宋_GB2312" w:hAnsi="仿宋_GB2312" w:cs="仿宋_GB2312"/>
          <w:b/>
          <w:bCs/>
          <w:lang w:val="en-US" w:eastAsia="zh-CN"/>
        </w:rPr>
        <w:t>七、城市宜居品质全面提升</w:t>
      </w:r>
    </w:p>
    <w:p w14:paraId="65027C80">
      <w:pPr>
        <w:bidi w:val="0"/>
        <w:rPr>
          <w:rFonts w:hint="eastAsia" w:ascii="仿宋_GB2312" w:hAnsi="仿宋_GB2312" w:eastAsia="仿宋_GB2312" w:cs="仿宋_GB2312"/>
        </w:rPr>
      </w:pPr>
      <w:r>
        <w:rPr>
          <w:rFonts w:hint="eastAsia" w:ascii="仿宋_GB2312" w:hAnsi="仿宋_GB2312" w:eastAsia="仿宋_GB2312" w:cs="仿宋_GB2312"/>
          <w:lang w:val="en-US" w:eastAsia="zh-CN"/>
        </w:rPr>
        <w:t>《国土空间总体规划》获批实施，建成区面积由17.84平方公里扩大到21.32平方公里。深入实施城市更新工程，完成171个老旧小区和216栋单体楼改造。升级改造城区道路28条、硬化路面35.6万平方米，实施雨污分流工程</w:t>
      </w:r>
      <w:r>
        <w:rPr>
          <w:rFonts w:hint="eastAsia" w:ascii="仿宋_GB2312" w:hAnsi="仿宋_GB2312" w:cs="仿宋_GB2312"/>
          <w:lang w:val="en-US" w:eastAsia="zh-CN"/>
        </w:rPr>
        <w:t>102.99</w:t>
      </w:r>
      <w:r>
        <w:rPr>
          <w:rFonts w:hint="eastAsia" w:ascii="仿宋_GB2312" w:hAnsi="仿宋_GB2312" w:eastAsia="仿宋_GB2312" w:cs="仿宋_GB2312"/>
          <w:lang w:val="en-US" w:eastAsia="zh-CN"/>
        </w:rPr>
        <w:t>公里，入选全国50个供水管网漏损治理试点城市、全省唯一。在城区人流量大的主干街道和公园等位置新建和改造11个公共卫生间。</w:t>
      </w:r>
      <w:r>
        <w:rPr>
          <w:rFonts w:hint="eastAsia" w:ascii="仿宋_GB2312" w:hAnsi="仿宋_GB2312" w:eastAsia="仿宋_GB2312" w:cs="仿宋_GB2312"/>
        </w:rPr>
        <w:t>沿江景观带建设取得阶</w:t>
      </w:r>
      <w:r>
        <w:rPr>
          <w:rFonts w:hint="eastAsia" w:ascii="仿宋_GB2312" w:hAnsi="仿宋_GB2312" w:eastAsia="仿宋_GB2312" w:cs="仿宋_GB2312"/>
          <w:lang w:eastAsia="zh-CN"/>
        </w:rPr>
        <w:t>段性</w:t>
      </w:r>
      <w:r>
        <w:rPr>
          <w:rFonts w:hint="eastAsia" w:ascii="仿宋_GB2312" w:hAnsi="仿宋_GB2312" w:eastAsia="仿宋_GB2312" w:cs="仿宋_GB2312"/>
        </w:rPr>
        <w:t>成效，</w:t>
      </w:r>
      <w:r>
        <w:rPr>
          <w:rFonts w:hint="eastAsia" w:ascii="仿宋_GB2312" w:hAnsi="仿宋_GB2312" w:eastAsia="仿宋_GB2312" w:cs="仿宋_GB2312"/>
          <w:lang w:val="en-US" w:eastAsia="zh-CN"/>
        </w:rPr>
        <w:t>新建改造“小微公园”14座，开放停车位1500余个，</w:t>
      </w:r>
      <w:r>
        <w:rPr>
          <w:rFonts w:hint="eastAsia" w:ascii="仿宋_GB2312" w:hAnsi="仿宋_GB2312" w:eastAsia="仿宋_GB2312" w:cs="仿宋_GB2312"/>
        </w:rPr>
        <w:t>完成松花江西堤、富密路、工业园区立体绿化，全市新增各类绿化面积6000余亩，建成区绿地覆盖率达到</w:t>
      </w:r>
      <w:r>
        <w:rPr>
          <w:rFonts w:hint="eastAsia" w:ascii="仿宋_GB2312" w:hAnsi="仿宋_GB2312" w:eastAsia="仿宋_GB2312" w:cs="仿宋_GB2312"/>
          <w:lang w:val="en-US" w:eastAsia="zh-CN"/>
        </w:rPr>
        <w:t>33.9%。</w:t>
      </w:r>
      <w:r>
        <w:rPr>
          <w:rFonts w:hint="eastAsia" w:ascii="仿宋_GB2312" w:hAnsi="仿宋_GB2312" w:eastAsia="仿宋_GB2312" w:cs="仿宋_GB2312"/>
        </w:rPr>
        <w:t>城市精细化治理能力提高，智慧城市建设扎实推进，数字化城市管理监督指挥中心投入运营，组建物业管理委员会，实现全市无物业小区服务管理全覆盖。</w:t>
      </w:r>
    </w:p>
    <w:p w14:paraId="2262CBD3">
      <w:pPr>
        <w:bidi w:val="0"/>
        <w:rPr>
          <w:rFonts w:hint="default" w:ascii="仿宋_GB2312" w:hAnsi="仿宋_GB2312" w:eastAsia="仿宋_GB2312" w:cs="仿宋_GB2312"/>
          <w:b/>
          <w:bCs/>
          <w:lang w:val="en-US" w:eastAsia="zh-CN"/>
        </w:rPr>
      </w:pPr>
      <w:r>
        <w:rPr>
          <w:rFonts w:hint="eastAsia" w:ascii="仿宋_GB2312" w:hAnsi="仿宋_GB2312" w:cs="仿宋_GB2312"/>
          <w:b/>
          <w:bCs/>
          <w:lang w:val="en-US" w:eastAsia="zh-CN"/>
        </w:rPr>
        <w:t>八、民生福祉持续增进</w:t>
      </w:r>
    </w:p>
    <w:p w14:paraId="16E3CD57">
      <w:pPr>
        <w:bidi w:val="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全市加大保障和改善民生力度，2021</w:t>
      </w:r>
      <w:r>
        <w:rPr>
          <w:rFonts w:hint="eastAsia" w:ascii="仿宋_GB2312" w:hAnsi="仿宋_GB2312" w:cs="仿宋_GB2312"/>
          <w:lang w:val="en-US" w:eastAsia="zh-CN"/>
        </w:rPr>
        <w:t>—</w:t>
      </w:r>
      <w:r>
        <w:rPr>
          <w:rFonts w:hint="eastAsia" w:ascii="仿宋_GB2312" w:hAnsi="仿宋_GB2312" w:eastAsia="仿宋_GB2312" w:cs="仿宋_GB2312"/>
          <w:lang w:val="en-US" w:eastAsia="zh-CN"/>
        </w:rPr>
        <w:t>2024年，累计</w:t>
      </w:r>
      <w:r>
        <w:rPr>
          <w:rFonts w:hint="eastAsia" w:ascii="仿宋_GB2312" w:hAnsi="仿宋_GB2312" w:eastAsia="仿宋_GB2312" w:cs="仿宋_GB2312"/>
        </w:rPr>
        <w:t>民生支出达到</w:t>
      </w:r>
      <w:r>
        <w:rPr>
          <w:rFonts w:hint="eastAsia" w:ascii="仿宋_GB2312" w:hAnsi="仿宋_GB2312" w:eastAsia="仿宋_GB2312" w:cs="仿宋_GB2312"/>
          <w:lang w:val="en-US" w:eastAsia="zh-CN"/>
        </w:rPr>
        <w:t>209.46</w:t>
      </w:r>
      <w:r>
        <w:rPr>
          <w:rFonts w:hint="eastAsia" w:ascii="仿宋_GB2312" w:hAnsi="仿宋_GB2312" w:eastAsia="仿宋_GB2312" w:cs="仿宋_GB2312"/>
        </w:rPr>
        <w:t>亿元、占</w:t>
      </w:r>
      <w:r>
        <w:rPr>
          <w:rFonts w:hint="eastAsia" w:ascii="仿宋_GB2312" w:hAnsi="仿宋_GB2312" w:eastAsia="仿宋_GB2312" w:cs="仿宋_GB2312"/>
          <w:lang w:val="en-US" w:eastAsia="zh-CN"/>
        </w:rPr>
        <w:t>财政</w:t>
      </w:r>
      <w:r>
        <w:rPr>
          <w:rFonts w:hint="eastAsia" w:ascii="仿宋_GB2312" w:hAnsi="仿宋_GB2312" w:eastAsia="仿宋_GB2312" w:cs="仿宋_GB2312"/>
        </w:rPr>
        <w:t>总支出的</w:t>
      </w:r>
      <w:r>
        <w:rPr>
          <w:rFonts w:hint="eastAsia" w:ascii="仿宋_GB2312" w:hAnsi="仿宋_GB2312" w:eastAsia="仿宋_GB2312" w:cs="仿宋_GB2312"/>
          <w:lang w:val="en-US" w:eastAsia="zh-CN"/>
        </w:rPr>
        <w:t>88.51</w:t>
      </w:r>
      <w:r>
        <w:rPr>
          <w:rFonts w:hint="eastAsia" w:ascii="仿宋_GB2312" w:hAnsi="仿宋_GB2312" w:eastAsia="仿宋_GB2312" w:cs="仿宋_GB2312"/>
        </w:rPr>
        <w:t>%</w:t>
      </w:r>
      <w:r>
        <w:rPr>
          <w:rFonts w:hint="eastAsia" w:ascii="仿宋_GB2312" w:hAnsi="仿宋_GB2312" w:eastAsia="仿宋_GB2312" w:cs="仿宋_GB2312"/>
          <w:lang w:eastAsia="zh-CN"/>
        </w:rPr>
        <w:t>。</w:t>
      </w:r>
    </w:p>
    <w:p w14:paraId="20521DD7">
      <w:pPr>
        <w:bidi w:val="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城乡教育</w:t>
      </w:r>
      <w:r>
        <w:rPr>
          <w:rFonts w:hint="eastAsia" w:ascii="仿宋_GB2312" w:hAnsi="仿宋_GB2312" w:eastAsia="仿宋_GB2312" w:cs="仿宋_GB2312"/>
          <w:b/>
          <w:bCs/>
          <w:sz w:val="32"/>
          <w:szCs w:val="32"/>
          <w:lang w:val="en-US" w:eastAsia="zh-CN"/>
        </w:rPr>
        <w:t>更加</w:t>
      </w:r>
      <w:r>
        <w:rPr>
          <w:rFonts w:hint="eastAsia" w:ascii="仿宋_GB2312" w:hAnsi="仿宋_GB2312" w:eastAsia="仿宋_GB2312" w:cs="仿宋_GB2312"/>
          <w:b/>
          <w:bCs/>
          <w:sz w:val="32"/>
          <w:szCs w:val="32"/>
        </w:rPr>
        <w:t>优质均衡。</w:t>
      </w:r>
      <w:r>
        <w:rPr>
          <w:rFonts w:hint="eastAsia" w:ascii="仿宋_GB2312" w:hAnsi="仿宋_GB2312" w:eastAsia="仿宋_GB2312" w:cs="仿宋_GB2312"/>
          <w:color w:val="000000"/>
          <w:sz w:val="32"/>
          <w:szCs w:val="32"/>
          <w:u w:val="none"/>
          <w:lang w:val="en-US" w:eastAsia="zh-CN"/>
        </w:rPr>
        <w:t>累计投入资金近1.2亿元，新建公办幼儿园1所，改善提升39所学校办学条件</w:t>
      </w:r>
      <w:r>
        <w:rPr>
          <w:rFonts w:hint="eastAsia" w:ascii="仿宋_GB2312" w:hAnsi="仿宋_GB2312" w:eastAsia="仿宋_GB2312" w:cs="仿宋_GB2312"/>
          <w:sz w:val="32"/>
          <w:szCs w:val="32"/>
        </w:rPr>
        <w:t>。特殊教育学校顺利通过省级标准化学校验收，校外德育实践教育基地投入使用。智慧校园建设跃上新台阶，制定《富锦市教育信息化2.0行动计划》，智能化教育设备升级</w:t>
      </w:r>
      <w:r>
        <w:rPr>
          <w:rFonts w:hint="eastAsia" w:ascii="仿宋_GB2312" w:hAnsi="仿宋_GB2312" w:eastAsia="仿宋_GB2312" w:cs="仿宋_GB2312"/>
          <w:sz w:val="32"/>
          <w:szCs w:val="32"/>
          <w:lang w:val="en-US" w:eastAsia="zh-CN"/>
        </w:rPr>
        <w:t>工作</w:t>
      </w:r>
      <w:r>
        <w:rPr>
          <w:rFonts w:hint="eastAsia" w:ascii="仿宋_GB2312" w:hAnsi="仿宋_GB2312" w:eastAsia="仿宋_GB2312" w:cs="仿宋_GB2312"/>
          <w:sz w:val="32"/>
          <w:szCs w:val="32"/>
        </w:rPr>
        <w:t>稳步推进，智慧教育平台注册使用达到100%。</w:t>
      </w:r>
    </w:p>
    <w:p w14:paraId="636895B7">
      <w:pPr>
        <w:bidi w:val="0"/>
        <w:ind w:left="0" w:leftChars="0" w:firstLine="643" w:firstLineChars="200"/>
        <w:rPr>
          <w:rFonts w:hint="eastAsia" w:ascii="仿宋_GB2312" w:hAnsi="仿宋_GB2312" w:eastAsia="仿宋_GB2312" w:cs="仿宋_GB2312"/>
        </w:rPr>
      </w:pPr>
      <w:r>
        <w:rPr>
          <w:rFonts w:hint="eastAsia" w:ascii="仿宋_GB2312" w:hAnsi="仿宋_GB2312" w:eastAsia="仿宋_GB2312" w:cs="仿宋_GB2312"/>
          <w:b/>
          <w:bCs/>
        </w:rPr>
        <w:t>健康富锦</w:t>
      </w:r>
      <w:r>
        <w:rPr>
          <w:rFonts w:hint="eastAsia" w:ascii="仿宋_GB2312" w:hAnsi="仿宋_GB2312" w:cs="仿宋_GB2312"/>
          <w:b/>
          <w:bCs/>
          <w:lang w:val="en-US" w:eastAsia="zh-CN"/>
        </w:rPr>
        <w:t>成色更足</w:t>
      </w:r>
      <w:r>
        <w:rPr>
          <w:rFonts w:hint="eastAsia" w:ascii="仿宋_GB2312" w:hAnsi="仿宋_GB2312" w:eastAsia="仿宋_GB2312" w:cs="仿宋_GB2312"/>
          <w:b/>
          <w:bCs/>
        </w:rPr>
        <w:t>。</w:t>
      </w:r>
      <w:r>
        <w:rPr>
          <w:rFonts w:hint="eastAsia" w:ascii="仿宋_GB2312" w:hAnsi="仿宋_GB2312" w:eastAsia="仿宋_GB2312" w:cs="仿宋_GB2312"/>
        </w:rPr>
        <w:t>医疗服务设施全面升级，“智慧医院”建设稳步推进，完成省级医疗保障信息化平台上线应用，组建中心医院重症医学科</w:t>
      </w:r>
      <w:r>
        <w:rPr>
          <w:rFonts w:hint="eastAsia" w:ascii="仿宋_GB2312" w:hAnsi="仿宋_GB2312" w:cs="仿宋_GB2312"/>
          <w:lang w:eastAsia="zh-CN"/>
        </w:rPr>
        <w:t>，</w:t>
      </w:r>
      <w:r>
        <w:rPr>
          <w:rFonts w:hint="eastAsia" w:ascii="仿宋_GB2312" w:hAnsi="仿宋_GB2312" w:eastAsia="仿宋_GB2312" w:cs="仿宋_GB2312"/>
        </w:rPr>
        <w:t>中心医院胸痛中心、中医院康复中心、外科附属楼投入使用，深入开展名医工作室，“15分钟医保服务圈”建设取得新成效，实现乡镇服务大厅医疗网络专线全覆盖。深入落实医疗共同体建设，推动养老机构和医疗机构协作或并建的方式进行合作，3家二级医院与</w:t>
      </w:r>
      <w:r>
        <w:rPr>
          <w:rFonts w:hint="eastAsia" w:ascii="仿宋_GB2312" w:hAnsi="仿宋_GB2312" w:cs="仿宋_GB2312"/>
          <w:lang w:val="en-US" w:eastAsia="zh-CN"/>
        </w:rPr>
        <w:t>10家省市三甲医院</w:t>
      </w:r>
      <w:r>
        <w:rPr>
          <w:rFonts w:hint="eastAsia" w:ascii="仿宋_GB2312" w:hAnsi="仿宋_GB2312" w:eastAsia="仿宋_GB2312" w:cs="仿宋_GB2312"/>
        </w:rPr>
        <w:t>构建医联体。推动“互联网+医疗健康”建设，建立市镇村三级医疗服务网，基层医疗卫生机构中医馆覆盖率100%。疾病预防控制体系不断完善，全面推进脱贫人口大病专项救治，推动18种慢病签约服务管理，实施“两癌”及HPV检查，严格落实健康管理、强化妇幼健康服务。</w:t>
      </w:r>
    </w:p>
    <w:p w14:paraId="3FB71970">
      <w:pPr>
        <w:bidi w:val="0"/>
        <w:rPr>
          <w:rFonts w:hint="eastAsia" w:ascii="仿宋_GB2312" w:hAnsi="仿宋_GB2312" w:eastAsia="仿宋_GB2312" w:cs="仿宋_GB2312"/>
        </w:rPr>
      </w:pPr>
      <w:r>
        <w:rPr>
          <w:rFonts w:hint="eastAsia" w:ascii="仿宋_GB2312" w:hAnsi="仿宋_GB2312" w:eastAsia="仿宋_GB2312" w:cs="仿宋_GB2312"/>
          <w:b/>
          <w:bCs/>
        </w:rPr>
        <w:t>文体事业取得新进展。</w:t>
      </w:r>
      <w:r>
        <w:rPr>
          <w:rFonts w:hint="eastAsia" w:ascii="仿宋_GB2312" w:hAnsi="仿宋_GB2312" w:eastAsia="仿宋_GB2312" w:cs="仿宋_GB2312"/>
        </w:rPr>
        <w:t>坚持科教兴市，连续四届荣获全国科普示范县荣誉称号</w:t>
      </w:r>
      <w:r>
        <w:rPr>
          <w:rFonts w:hint="eastAsia" w:ascii="仿宋_GB2312" w:hAnsi="仿宋_GB2312" w:cs="仿宋_GB2312"/>
          <w:lang w:eastAsia="zh-CN"/>
        </w:rPr>
        <w:t>，</w:t>
      </w:r>
      <w:r>
        <w:rPr>
          <w:rFonts w:hint="eastAsia" w:ascii="仿宋_GB2312" w:hAnsi="仿宋_GB2312" w:cs="仿宋_GB2312"/>
          <w:lang w:val="en-US" w:eastAsia="zh-CN"/>
        </w:rPr>
        <w:t>先后</w:t>
      </w:r>
      <w:r>
        <w:rPr>
          <w:rFonts w:hint="eastAsia" w:ascii="仿宋_GB2312" w:hAnsi="仿宋_GB2312" w:eastAsia="仿宋_GB2312" w:cs="仿宋_GB2312"/>
        </w:rPr>
        <w:t>被评为全国群众体育先进单位、中国音乐之城、“中华传统文化艺术之乡”“黑龙江省体育后备人才基地”等。精品文化创作推陈出新，组织开展文化活动700余场，歌剧《红雪花》在省评剧艺术中心剧场</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北京商务恳谈会</w:t>
      </w:r>
      <w:r>
        <w:rPr>
          <w:rFonts w:hint="eastAsia" w:ascii="仿宋_GB2312" w:hAnsi="仿宋_GB2312" w:eastAsia="仿宋_GB2312" w:cs="仿宋_GB2312"/>
        </w:rPr>
        <w:t>和佳木斯市展演。文体设施建设再创新高，实现三级</w:t>
      </w:r>
      <w:r>
        <w:rPr>
          <w:rFonts w:hint="eastAsia" w:ascii="仿宋_GB2312" w:hAnsi="仿宋_GB2312" w:cs="仿宋_GB2312"/>
          <w:lang w:eastAsia="zh-CN"/>
        </w:rPr>
        <w:t>公共文化服务体系</w:t>
      </w:r>
      <w:r>
        <w:rPr>
          <w:rFonts w:hint="eastAsia" w:ascii="仿宋_GB2312" w:hAnsi="仿宋_GB2312" w:eastAsia="仿宋_GB2312" w:cs="仿宋_GB2312"/>
        </w:rPr>
        <w:t>网络全覆盖，农家书屋、农村文化广场等投入使用，</w:t>
      </w:r>
      <w:r>
        <w:rPr>
          <w:rFonts w:hint="eastAsia" w:ascii="仿宋_GB2312" w:hAnsi="仿宋_GB2312" w:eastAsia="仿宋_GB2312" w:cs="仿宋_GB2312"/>
          <w:lang w:val="en-US" w:eastAsia="zh-CN"/>
        </w:rPr>
        <w:t>铁路小学、长安镇、聚贤村</w:t>
      </w:r>
      <w:r>
        <w:rPr>
          <w:rFonts w:hint="eastAsia" w:ascii="仿宋_GB2312" w:hAnsi="仿宋_GB2312" w:eastAsia="仿宋_GB2312" w:cs="仿宋_GB2312"/>
        </w:rPr>
        <w:t>等图书馆分馆建设完成，小型体育公园、公共体育场主跑道改扩建完成，体育场、人民广场、铁路公园广场体育设备维修增设。节庆品牌赛事蓬勃发展，高质量举办“全民健身”“奔跑吧少年”“青少儿跆拳道巡回赛”等国家级系列赛事活动，在速滑、滑冰、短跑、乒乓球等竞技体育</w:t>
      </w:r>
      <w:r>
        <w:rPr>
          <w:rFonts w:hint="eastAsia" w:ascii="仿宋_GB2312" w:hAnsi="仿宋_GB2312" w:cs="仿宋_GB2312"/>
          <w:lang w:val="en-US" w:eastAsia="zh-CN"/>
        </w:rPr>
        <w:t>方面</w:t>
      </w:r>
      <w:r>
        <w:rPr>
          <w:rFonts w:hint="eastAsia" w:ascii="仿宋_GB2312" w:hAnsi="仿宋_GB2312" w:eastAsia="仿宋_GB2312" w:cs="仿宋_GB2312"/>
        </w:rPr>
        <w:t>取得斐然成绩。</w:t>
      </w:r>
    </w:p>
    <w:p w14:paraId="7C10DDB6">
      <w:pPr>
        <w:bidi w:val="0"/>
        <w:rPr>
          <w:rFonts w:hint="eastAsia" w:ascii="仿宋_GB2312" w:hAnsi="仿宋_GB2312" w:eastAsia="仿宋_GB2312" w:cs="仿宋_GB2312"/>
          <w:b/>
          <w:bCs/>
        </w:rPr>
      </w:pPr>
      <w:r>
        <w:rPr>
          <w:rFonts w:hint="eastAsia" w:ascii="仿宋_GB2312" w:hAnsi="仿宋_GB2312" w:eastAsia="仿宋_GB2312" w:cs="仿宋_GB2312"/>
          <w:b/>
          <w:bCs/>
        </w:rPr>
        <w:t>就业能力</w:t>
      </w:r>
      <w:r>
        <w:rPr>
          <w:rFonts w:hint="eastAsia" w:ascii="仿宋_GB2312" w:hAnsi="仿宋_GB2312" w:eastAsia="仿宋_GB2312" w:cs="仿宋_GB2312"/>
          <w:b/>
          <w:bCs/>
          <w:lang w:eastAsia="zh-CN"/>
        </w:rPr>
        <w:t>进一步</w:t>
      </w:r>
      <w:r>
        <w:rPr>
          <w:rFonts w:hint="eastAsia" w:ascii="仿宋_GB2312" w:hAnsi="仿宋_GB2312" w:eastAsia="仿宋_GB2312" w:cs="仿宋_GB2312"/>
          <w:b/>
          <w:bCs/>
        </w:rPr>
        <w:t>提升。</w:t>
      </w:r>
      <w:r>
        <w:rPr>
          <w:rFonts w:hint="eastAsia" w:ascii="仿宋_GB2312" w:hAnsi="仿宋_GB2312" w:eastAsia="仿宋_GB2312" w:cs="仿宋_GB2312"/>
        </w:rPr>
        <w:t>实施更加积极就业政策，创建大学生（青年）创业社区和公共实训基地，打造“十五分钟就业服务圈”，完成1个大型零工市场和16个零工驿站建设，开发零工直通车APP、搭建岗位信息平台，开展“直播带岗”等招聘活动279场、200余次职业技能培训班，累计新增城镇就业3.5万人。深化劳务协作交流，对接上海、杭州等地，全力推进农民工转移就业和回乡返岗行动。</w:t>
      </w:r>
    </w:p>
    <w:p w14:paraId="49A1BF09">
      <w:pPr>
        <w:bidi w:val="0"/>
        <w:rPr>
          <w:rFonts w:hint="eastAsia" w:ascii="仿宋_GB2312" w:hAnsi="仿宋_GB2312" w:eastAsia="仿宋_GB2312" w:cs="仿宋_GB2312"/>
        </w:rPr>
      </w:pPr>
      <w:r>
        <w:rPr>
          <w:rFonts w:hint="eastAsia" w:ascii="仿宋_GB2312" w:hAnsi="仿宋_GB2312" w:eastAsia="仿宋_GB2312" w:cs="仿宋_GB2312"/>
          <w:b/>
          <w:bCs/>
        </w:rPr>
        <w:t>社会保障体系进一步健全。</w:t>
      </w:r>
      <w:r>
        <w:rPr>
          <w:rFonts w:hint="eastAsia" w:ascii="仿宋_GB2312" w:hAnsi="仿宋_GB2312" w:eastAsia="仿宋_GB2312" w:cs="仿宋_GB2312"/>
        </w:rPr>
        <w:t>城乡居民养老保险参保率基本全覆盖，城乡低保标准实现“十</w:t>
      </w:r>
      <w:r>
        <w:rPr>
          <w:rFonts w:hint="eastAsia" w:ascii="仿宋_GB2312" w:hAnsi="仿宋_GB2312" w:eastAsia="仿宋_GB2312" w:cs="仿宋_GB2312"/>
          <w:lang w:val="en-US" w:eastAsia="zh-CN"/>
        </w:rPr>
        <w:t>九</w:t>
      </w:r>
      <w:r>
        <w:rPr>
          <w:rFonts w:hint="eastAsia" w:ascii="仿宋_GB2312" w:hAnsi="仿宋_GB2312" w:eastAsia="仿宋_GB2312" w:cs="仿宋_GB2312"/>
        </w:rPr>
        <w:t>连增”。积极构建全生命周期服务体系，锦山敬老院特困失能人员照护中心、第三敬老院特护区建成运营，全面落实殡葬惠民政策</w:t>
      </w:r>
      <w:r>
        <w:rPr>
          <w:rFonts w:hint="eastAsia" w:ascii="仿宋_GB2312" w:hAnsi="仿宋_GB2312" w:eastAsia="仿宋_GB2312" w:cs="仿宋_GB2312"/>
          <w:lang w:eastAsia="zh-CN"/>
        </w:rPr>
        <w:t>，</w:t>
      </w:r>
      <w:r>
        <w:rPr>
          <w:rFonts w:hint="eastAsia" w:ascii="仿宋_GB2312" w:hAnsi="仿宋_GB2312" w:eastAsia="仿宋_GB2312" w:cs="仿宋_GB2312"/>
        </w:rPr>
        <w:t>殡仪馆异地迁建项目</w:t>
      </w:r>
      <w:r>
        <w:rPr>
          <w:rFonts w:hint="eastAsia" w:ascii="仿宋_GB2312" w:hAnsi="仿宋_GB2312" w:eastAsia="仿宋_GB2312" w:cs="仿宋_GB2312"/>
          <w:lang w:val="en-US" w:eastAsia="zh-CN"/>
        </w:rPr>
        <w:t>投入使用</w:t>
      </w:r>
      <w:r>
        <w:rPr>
          <w:rFonts w:hint="eastAsia" w:ascii="仿宋_GB2312" w:hAnsi="仿宋_GB2312" w:eastAsia="仿宋_GB2312" w:cs="仿宋_GB2312"/>
        </w:rPr>
        <w:t>。深入实施救助帮扶，年均发放各类救助金8230万元，建立完善“市、镇（街道）、村（社区）”三级社会救助平台，被评为省级“困难群众基本生活救助工作”优秀地区。</w:t>
      </w:r>
      <w:r>
        <w:rPr>
          <w:rFonts w:hint="eastAsia" w:ascii="仿宋_GB2312" w:hAnsi="仿宋_GB2312" w:eastAsia="仿宋_GB2312" w:cs="仿宋_GB2312"/>
          <w:lang w:val="en-US" w:eastAsia="zh-CN"/>
        </w:rPr>
        <w:t>为65周岁以上老年人、残疾人、退役军人免费办理公交卡。</w:t>
      </w:r>
      <w:r>
        <w:rPr>
          <w:rFonts w:hint="eastAsia" w:ascii="仿宋_GB2312" w:hAnsi="仿宋_GB2312" w:eastAsia="仿宋_GB2312" w:cs="仿宋_GB2312"/>
        </w:rPr>
        <w:t>住房保障进一步完善，推进购租并举、廉租住房、共有产权住房和公共租赁住房申请工作。</w:t>
      </w:r>
    </w:p>
    <w:p w14:paraId="5EB38D92">
      <w:pPr>
        <w:pStyle w:val="8"/>
        <w:ind w:firstLine="643"/>
        <w:rPr>
          <w:rFonts w:hint="eastAsia" w:ascii="仿宋" w:hAnsi="仿宋" w:eastAsia="仿宋" w:cs="仿宋"/>
          <w:b/>
          <w:bCs/>
          <w:sz w:val="32"/>
          <w:szCs w:val="32"/>
          <w:u w:val="none"/>
          <w:shd w:val="clear" w:fill="auto"/>
        </w:rPr>
      </w:pPr>
      <w:r>
        <w:rPr>
          <w:rFonts w:hint="eastAsia" w:ascii="仿宋" w:hAnsi="仿宋" w:eastAsia="仿宋" w:cs="仿宋"/>
          <w:b/>
          <w:bCs/>
          <w:sz w:val="32"/>
          <w:szCs w:val="32"/>
          <w:u w:val="none"/>
          <w:shd w:val="clear" w:fill="auto"/>
          <w:lang w:val="en-US" w:eastAsia="zh-CN"/>
        </w:rPr>
        <w:t>九</w:t>
      </w:r>
      <w:r>
        <w:rPr>
          <w:rFonts w:hint="eastAsia" w:ascii="仿宋" w:hAnsi="仿宋" w:eastAsia="仿宋" w:cs="仿宋"/>
          <w:b/>
          <w:bCs/>
          <w:sz w:val="32"/>
          <w:szCs w:val="32"/>
          <w:u w:val="none"/>
          <w:shd w:val="clear" w:fill="auto"/>
        </w:rPr>
        <w:t>、深化改革开放稳步实施</w:t>
      </w:r>
    </w:p>
    <w:p w14:paraId="621305A2">
      <w:pPr>
        <w:bidi w:val="0"/>
        <w:rPr>
          <w:rFonts w:hint="eastAsia" w:ascii="仿宋_GB2312" w:hAnsi="仿宋_GB2312" w:eastAsia="仿宋_GB2312" w:cs="仿宋_GB2312"/>
          <w:lang w:val="en-US" w:eastAsia="zh-CN"/>
        </w:rPr>
      </w:pPr>
      <w:r>
        <w:rPr>
          <w:rFonts w:hint="eastAsia" w:ascii="仿宋_GB2312" w:hAnsi="仿宋_GB2312" w:eastAsia="仿宋_GB2312" w:cs="仿宋_GB2312"/>
          <w:b/>
          <w:bCs/>
        </w:rPr>
        <w:t>机构改革稳步实施。</w:t>
      </w:r>
      <w:r>
        <w:rPr>
          <w:rFonts w:hint="eastAsia" w:ascii="仿宋_GB2312" w:hAnsi="仿宋_GB2312" w:eastAsia="仿宋_GB2312" w:cs="仿宋_GB2312"/>
          <w:lang w:val="en-US" w:eastAsia="zh-CN"/>
        </w:rPr>
        <w:t>党政机构</w:t>
      </w:r>
      <w:r>
        <w:rPr>
          <w:rFonts w:hint="eastAsia" w:ascii="仿宋_GB2312" w:hAnsi="仿宋_GB2312" w:eastAsia="仿宋_GB2312" w:cs="仿宋_GB2312"/>
        </w:rPr>
        <w:t>改革</w:t>
      </w:r>
      <w:r>
        <w:rPr>
          <w:rFonts w:hint="eastAsia" w:ascii="仿宋_GB2312" w:hAnsi="仿宋_GB2312" w:eastAsia="仿宋_GB2312" w:cs="仿宋_GB2312"/>
          <w:lang w:val="en-US" w:eastAsia="zh-CN"/>
        </w:rPr>
        <w:t>顺利完成。</w:t>
      </w:r>
      <w:r>
        <w:rPr>
          <w:rFonts w:hint="eastAsia" w:ascii="仿宋_GB2312" w:hAnsi="仿宋_GB2312" w:eastAsia="仿宋_GB2312" w:cs="仿宋_GB2312"/>
        </w:rPr>
        <w:t>国企改革三年行动圆满收官，制定了富锦市国企改革实施方案及台账，组建农投、建投</w:t>
      </w:r>
      <w:r>
        <w:rPr>
          <w:rFonts w:hint="eastAsia" w:ascii="仿宋_GB2312" w:hAnsi="仿宋_GB2312" w:eastAsia="仿宋_GB2312" w:cs="仿宋_GB2312"/>
          <w:lang w:eastAsia="zh-CN"/>
        </w:rPr>
        <w:t>、</w:t>
      </w:r>
      <w:r>
        <w:rPr>
          <w:rFonts w:hint="eastAsia" w:ascii="仿宋_GB2312" w:hAnsi="仿宋_GB2312" w:eastAsia="仿宋_GB2312" w:cs="仿宋_GB2312"/>
        </w:rPr>
        <w:t>城投</w:t>
      </w:r>
      <w:r>
        <w:rPr>
          <w:rFonts w:hint="eastAsia" w:ascii="仿宋_GB2312" w:hAnsi="仿宋_GB2312" w:eastAsia="仿宋_GB2312" w:cs="仿宋_GB2312"/>
          <w:lang w:val="en-US" w:eastAsia="zh-CN"/>
        </w:rPr>
        <w:t>三大集团公司</w:t>
      </w:r>
      <w:r>
        <w:rPr>
          <w:rFonts w:hint="eastAsia" w:ascii="仿宋_GB2312" w:hAnsi="仿宋_GB2312" w:eastAsia="仿宋_GB2312" w:cs="仿宋_GB2312"/>
        </w:rPr>
        <w:t>。医疗保险机构体制改革、市政园林养护和环卫市场化改革、</w:t>
      </w:r>
      <w:r>
        <w:rPr>
          <w:rFonts w:hint="eastAsia" w:ascii="仿宋_GB2312" w:hAnsi="仿宋_GB2312" w:eastAsia="仿宋_GB2312" w:cs="仿宋_GB2312"/>
          <w:lang w:eastAsia="zh-CN"/>
        </w:rPr>
        <w:t>国税地税征管体制改革</w:t>
      </w:r>
      <w:r>
        <w:rPr>
          <w:rFonts w:hint="eastAsia" w:ascii="仿宋_GB2312" w:hAnsi="仿宋_GB2312" w:eastAsia="仿宋_GB2312" w:cs="仿宋_GB2312"/>
        </w:rPr>
        <w:t>、国有林场改革稳步推进。土地承包经营权确权、集体产权制度改革取得新进展，成立410个村集体股份经济合作社，账务管理全部纳入全国资产监管平台。供销社“三位一体”综合改革持续深化，建成10个镇级供销社商贸中心、5个综合服务站、16个</w:t>
      </w:r>
      <w:r>
        <w:rPr>
          <w:rFonts w:hint="eastAsia" w:ascii="仿宋_GB2312" w:hAnsi="仿宋_GB2312" w:eastAsia="仿宋_GB2312" w:cs="仿宋_GB2312"/>
          <w:lang w:eastAsia="zh-CN"/>
        </w:rPr>
        <w:t>便民</w:t>
      </w:r>
      <w:r>
        <w:rPr>
          <w:rFonts w:hint="eastAsia" w:ascii="仿宋_GB2312" w:hAnsi="仿宋_GB2312" w:eastAsia="仿宋_GB2312" w:cs="仿宋_GB2312"/>
        </w:rPr>
        <w:t>服务中心。</w:t>
      </w:r>
      <w:r>
        <w:rPr>
          <w:rFonts w:hint="eastAsia" w:ascii="仿宋_GB2312" w:hAnsi="仿宋_GB2312" w:eastAsia="仿宋_GB2312" w:cs="仿宋_GB2312"/>
          <w:lang w:val="en-US" w:eastAsia="zh-CN"/>
        </w:rPr>
        <w:t>全力打造“先试先行”改革高地，一批具有富锦特色的改革经验正逐步成熟、走向全省。</w:t>
      </w:r>
    </w:p>
    <w:p w14:paraId="4F00C995">
      <w:pPr>
        <w:bidi w:val="0"/>
        <w:rPr>
          <w:rFonts w:hint="eastAsia" w:ascii="仿宋_GB2312" w:hAnsi="仿宋_GB2312" w:eastAsia="仿宋_GB2312" w:cs="仿宋_GB2312"/>
        </w:rPr>
      </w:pPr>
      <w:r>
        <w:rPr>
          <w:rFonts w:hint="eastAsia" w:ascii="仿宋_GB2312" w:hAnsi="仿宋_GB2312" w:eastAsia="仿宋_GB2312" w:cs="仿宋_GB2312"/>
          <w:b/>
          <w:bCs/>
        </w:rPr>
        <w:t>营商环境持续优化。</w:t>
      </w:r>
      <w:r>
        <w:rPr>
          <w:rFonts w:hint="eastAsia" w:ascii="仿宋_GB2312" w:hAnsi="仿宋_GB2312" w:eastAsia="仿宋_GB2312" w:cs="仿宋_GB2312"/>
          <w:color w:val="000000"/>
          <w:sz w:val="32"/>
          <w:szCs w:val="32"/>
          <w:u w:val="none"/>
          <w:lang w:val="en-US" w:eastAsia="zh-CN"/>
        </w:rPr>
        <w:t>深入实施优化营商环境“一号改革工程”，</w:t>
      </w:r>
      <w:r>
        <w:rPr>
          <w:rFonts w:hint="eastAsia" w:ascii="仿宋_GB2312" w:hAnsi="仿宋_GB2312" w:eastAsia="仿宋_GB2312" w:cs="仿宋_GB2312"/>
        </w:rPr>
        <w:t>对标承接上级改革任务308项，自主谋划改革任务34项，持续深化“一会三函”和“承诺制”审批改革，为高质量发展蓄能。“放管服”改革持续深化，构建极简审批模式，设置“一件事”综合办理窗口和全省首个县级全域企业数字化服务平台，上线运行“不动产+土地二级市场”交易平台，政务服务事项全程“网上办”“一次办”达到100%，打造“锦快办”服务品牌。深入实施优化营商环境三年专项行动，</w:t>
      </w:r>
      <w:r>
        <w:rPr>
          <w:rFonts w:hint="eastAsia" w:ascii="仿宋_GB2312" w:hAnsi="仿宋_GB2312" w:eastAsia="仿宋_GB2312" w:cs="仿宋_GB2312"/>
          <w:sz w:val="32"/>
          <w:szCs w:val="32"/>
          <w:lang w:val="en-US" w:eastAsia="zh-CN"/>
        </w:rPr>
        <w:t>创新设立了</w:t>
      </w:r>
      <w:r>
        <w:rPr>
          <w:rFonts w:hint="eastAsia" w:ascii="仿宋_GB2312" w:hAnsi="仿宋_GB2312" w:eastAsia="仿宋_GB2312" w:cs="仿宋_GB2312"/>
          <w:sz w:val="32"/>
          <w:szCs w:val="32"/>
        </w:rPr>
        <w:t>企业服务中心和</w:t>
      </w:r>
      <w:r>
        <w:rPr>
          <w:rFonts w:hint="eastAsia" w:ascii="仿宋_GB2312" w:hAnsi="仿宋_GB2312" w:eastAsia="仿宋_GB2312" w:cs="仿宋_GB2312"/>
          <w:sz w:val="32"/>
          <w:szCs w:val="32"/>
          <w:lang w:val="en-US" w:eastAsia="zh-CN"/>
        </w:rPr>
        <w:t>企业家服务处</w:t>
      </w:r>
      <w:r>
        <w:rPr>
          <w:rFonts w:hint="eastAsia" w:ascii="仿宋_GB2312" w:hAnsi="仿宋_GB2312" w:eastAsia="仿宋_GB2312" w:cs="仿宋_GB2312"/>
          <w:sz w:val="32"/>
          <w:szCs w:val="32"/>
        </w:rPr>
        <w:t>，</w:t>
      </w:r>
      <w:r>
        <w:rPr>
          <w:rFonts w:hint="eastAsia" w:ascii="仿宋_GB2312" w:hAnsi="仿宋_GB2312" w:eastAsia="仿宋_GB2312" w:cs="仿宋_GB2312"/>
          <w:color w:val="000000"/>
          <w:sz w:val="32"/>
          <w:szCs w:val="32"/>
          <w:u w:val="none"/>
          <w:lang w:val="en-US" w:eastAsia="zh-CN"/>
        </w:rPr>
        <w:t>构建起覆盖全域、直达末梢的“1+X+N”企业服务网络，相关经验做法在全省《优化营商环境专项行动工作简报》刊发，形成可复制、可推广的富锦改革经验。</w:t>
      </w:r>
    </w:p>
    <w:p w14:paraId="668D7EDA">
      <w:pPr>
        <w:bidi w:val="0"/>
        <w:rPr>
          <w:rFonts w:hint="default" w:ascii="仿宋_GB2312" w:hAnsi="仿宋_GB2312" w:eastAsia="仿宋_GB2312" w:cs="仿宋_GB2312"/>
          <w:b/>
          <w:bCs/>
          <w:lang w:val="en-US" w:eastAsia="zh-CN"/>
        </w:rPr>
      </w:pPr>
      <w:r>
        <w:rPr>
          <w:rFonts w:hint="eastAsia" w:ascii="仿宋_GB2312" w:hAnsi="仿宋_GB2312" w:cs="仿宋_GB2312"/>
          <w:b/>
          <w:bCs/>
          <w:lang w:val="en-US" w:eastAsia="zh-CN"/>
        </w:rPr>
        <w:t>十、生态文明质量明显改善</w:t>
      </w:r>
    </w:p>
    <w:p w14:paraId="6ED92F5A">
      <w:pPr>
        <w:bidi w:val="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环境质量持续改善。</w:t>
      </w:r>
      <w:r>
        <w:rPr>
          <w:rFonts w:hint="eastAsia" w:ascii="仿宋_GB2312" w:hAnsi="仿宋_GB2312" w:eastAsia="仿宋_GB2312" w:cs="仿宋_GB2312"/>
          <w:b w:val="0"/>
          <w:bCs w:val="0"/>
          <w:sz w:val="32"/>
          <w:szCs w:val="32"/>
          <w:lang w:val="en-US" w:eastAsia="zh-CN"/>
        </w:rPr>
        <w:t>绿色低碳发展和节能减排取得扎实成效，</w:t>
      </w:r>
      <w:r>
        <w:rPr>
          <w:rFonts w:hint="eastAsia" w:ascii="仿宋_GB2312" w:hAnsi="仿宋_GB2312" w:eastAsia="仿宋_GB2312" w:cs="仿宋_GB2312"/>
          <w:color w:val="000000"/>
          <w:sz w:val="32"/>
          <w:szCs w:val="32"/>
          <w:u w:val="none"/>
        </w:rPr>
        <w:t>万元生产总值能耗和二氧化碳排放量完成省定目标</w:t>
      </w:r>
      <w:r>
        <w:rPr>
          <w:rFonts w:hint="eastAsia" w:ascii="仿宋_GB2312" w:hAnsi="仿宋_GB2312" w:eastAsia="仿宋_GB2312" w:cs="仿宋_GB2312"/>
          <w:color w:val="000000"/>
          <w:sz w:val="32"/>
          <w:szCs w:val="32"/>
          <w:u w:val="none"/>
          <w:lang w:eastAsia="zh-CN"/>
        </w:rPr>
        <w:t>。</w:t>
      </w:r>
      <w:r>
        <w:rPr>
          <w:rFonts w:hint="eastAsia" w:ascii="仿宋_GB2312" w:hAnsi="仿宋_GB2312" w:eastAsia="仿宋_GB2312" w:cs="仿宋_GB2312"/>
          <w:sz w:val="32"/>
          <w:szCs w:val="32"/>
        </w:rPr>
        <w:t>大气环境保护取得新成效，空气质量优良</w:t>
      </w:r>
      <w:r>
        <w:rPr>
          <w:rFonts w:hint="eastAsia" w:ascii="仿宋_GB2312" w:hAnsi="仿宋_GB2312" w:eastAsia="仿宋_GB2312" w:cs="仿宋_GB2312"/>
          <w:sz w:val="32"/>
          <w:szCs w:val="32"/>
          <w:lang w:val="en-US" w:eastAsia="zh-CN"/>
        </w:rPr>
        <w:t>天数比例达</w:t>
      </w:r>
      <w:r>
        <w:rPr>
          <w:rFonts w:hint="eastAsia" w:ascii="仿宋_GB2312" w:hAnsi="仿宋_GB2312" w:eastAsia="仿宋_GB2312" w:cs="仿宋_GB2312"/>
          <w:sz w:val="32"/>
          <w:szCs w:val="32"/>
        </w:rPr>
        <w:t>9</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以上</w:t>
      </w:r>
      <w:r>
        <w:rPr>
          <w:rFonts w:hint="eastAsia" w:ascii="仿宋_GB2312" w:hAnsi="仿宋_GB2312" w:eastAsia="仿宋_GB2312" w:cs="仿宋_GB2312"/>
          <w:sz w:val="32"/>
          <w:szCs w:val="32"/>
        </w:rPr>
        <w:t>。全力打好碧水保卫战，扎实推进黑臭水体整治</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color w:val="000000"/>
          <w:sz w:val="32"/>
          <w:szCs w:val="32"/>
          <w:u w:val="none"/>
          <w:lang w:eastAsia="zh-CN"/>
        </w:rPr>
        <w:t>治理侵蚀沟64条，整治入河排污口47个，工业污水排放达标率保持100%，松花江富锦段流域保持Ⅲ类水体。</w:t>
      </w:r>
      <w:r>
        <w:rPr>
          <w:rFonts w:hint="eastAsia" w:ascii="仿宋_GB2312" w:hAnsi="仿宋_GB2312" w:eastAsia="仿宋_GB2312" w:cs="仿宋_GB2312"/>
          <w:sz w:val="32"/>
          <w:szCs w:val="32"/>
        </w:rPr>
        <w:t>土壤污染防治切实加强，开展农业面源污染源监测，预计回收并处置农药包装废弃物达320吨，</w:t>
      </w:r>
      <w:r>
        <w:rPr>
          <w:rFonts w:hint="eastAsia" w:ascii="仿宋_GB2312" w:hAnsi="仿宋_GB2312" w:eastAsia="仿宋_GB2312" w:cs="仿宋_GB2312"/>
          <w:sz w:val="32"/>
          <w:szCs w:val="32"/>
          <w:lang w:val="en-US" w:eastAsia="zh-CN"/>
        </w:rPr>
        <w:t>完成</w:t>
      </w:r>
      <w:r>
        <w:rPr>
          <w:rFonts w:hint="eastAsia" w:ascii="仿宋_GB2312" w:hAnsi="仿宋_GB2312" w:eastAsia="仿宋_GB2312" w:cs="仿宋_GB2312"/>
          <w:sz w:val="32"/>
          <w:szCs w:val="32"/>
        </w:rPr>
        <w:t>10万亩松花江富锦段沿岸退化耕地修复治理。</w:t>
      </w:r>
    </w:p>
    <w:p w14:paraId="13526234">
      <w:pPr>
        <w:bidi w:val="0"/>
        <w:rPr>
          <w:rFonts w:hint="eastAsia" w:ascii="仿宋_GB2312" w:hAnsi="仿宋_GB2312" w:eastAsia="仿宋_GB2312" w:cs="仿宋_GB2312"/>
        </w:rPr>
      </w:pPr>
      <w:r>
        <w:rPr>
          <w:rFonts w:hint="eastAsia" w:ascii="仿宋_GB2312" w:hAnsi="仿宋_GB2312" w:eastAsia="仿宋_GB2312" w:cs="仿宋_GB2312"/>
          <w:b/>
          <w:bCs/>
        </w:rPr>
        <w:t>绿色生态空间格局初步形成。</w:t>
      </w:r>
      <w:r>
        <w:rPr>
          <w:rFonts w:hint="eastAsia" w:ascii="仿宋_GB2312" w:hAnsi="仿宋_GB2312" w:eastAsia="仿宋_GB2312" w:cs="仿宋_GB2312"/>
        </w:rPr>
        <w:t>生态红线管控进一步强化，落实林木、湿地管护责任，形成“一长一员”的森林资源源头治理管理架构。</w:t>
      </w:r>
      <w:r>
        <w:rPr>
          <w:rFonts w:hint="eastAsia" w:ascii="仿宋_GB2312" w:hAnsi="仿宋_GB2312" w:cs="仿宋_GB2312"/>
          <w:lang w:val="en-US" w:eastAsia="zh-CN"/>
        </w:rPr>
        <w:t>强化森林生态系统保护建设，</w:t>
      </w:r>
      <w:r>
        <w:rPr>
          <w:rFonts w:hint="eastAsia" w:ascii="仿宋_GB2312" w:hAnsi="仿宋_GB2312" w:eastAsia="仿宋_GB2312" w:cs="仿宋_GB2312"/>
        </w:rPr>
        <w:t>植树造林突破</w:t>
      </w:r>
      <w:r>
        <w:rPr>
          <w:rFonts w:hint="eastAsia" w:ascii="仿宋_GB2312" w:hAnsi="仿宋_GB2312" w:cs="仿宋_GB2312"/>
          <w:lang w:val="en-US" w:eastAsia="zh-CN"/>
        </w:rPr>
        <w:t>2545</w:t>
      </w:r>
      <w:r>
        <w:rPr>
          <w:rFonts w:hint="eastAsia" w:ascii="仿宋_GB2312" w:hAnsi="仿宋_GB2312" w:eastAsia="仿宋_GB2312" w:cs="仿宋_GB2312"/>
        </w:rPr>
        <w:t>亩，与东北林大合作开展林木</w:t>
      </w:r>
      <w:r>
        <w:rPr>
          <w:rFonts w:hint="eastAsia" w:ascii="仿宋_GB2312" w:hAnsi="仿宋_GB2312" w:eastAsia="仿宋_GB2312" w:cs="仿宋_GB2312"/>
          <w:lang w:val="en-US" w:eastAsia="zh-CN"/>
        </w:rPr>
        <w:t>种质</w:t>
      </w:r>
      <w:r>
        <w:rPr>
          <w:rFonts w:hint="eastAsia" w:ascii="仿宋_GB2312" w:hAnsi="仿宋_GB2312" w:eastAsia="仿宋_GB2312" w:cs="仿宋_GB2312"/>
        </w:rPr>
        <w:t>资源库保护，</w:t>
      </w:r>
      <w:r>
        <w:rPr>
          <w:rFonts w:hint="eastAsia" w:ascii="仿宋_GB2312" w:hAnsi="仿宋_GB2312" w:eastAsia="仿宋_GB2312" w:cs="仿宋_GB2312"/>
          <w:lang w:eastAsia="zh-CN"/>
        </w:rPr>
        <w:t>为</w:t>
      </w:r>
      <w:r>
        <w:rPr>
          <w:rFonts w:hint="eastAsia" w:ascii="仿宋_GB2312" w:hAnsi="仿宋_GB2312" w:eastAsia="仿宋_GB2312" w:cs="仿宋_GB2312"/>
        </w:rPr>
        <w:t>林木良种生产提供高科技的示范基地</w:t>
      </w:r>
      <w:r>
        <w:rPr>
          <w:rFonts w:hint="eastAsia" w:ascii="仿宋_GB2312" w:hAnsi="仿宋_GB2312" w:cs="仿宋_GB2312"/>
          <w:lang w:eastAsia="zh-CN"/>
        </w:rPr>
        <w:t>。</w:t>
      </w:r>
      <w:r>
        <w:rPr>
          <w:rFonts w:hint="eastAsia" w:ascii="仿宋_GB2312" w:hAnsi="仿宋_GB2312" w:eastAsia="仿宋_GB2312" w:cs="仿宋_GB2312"/>
        </w:rPr>
        <w:t>建立辖区山体生态修复治理长效机制，扎实推进挠力河流域</w:t>
      </w:r>
      <w:r>
        <w:rPr>
          <w:rFonts w:hint="eastAsia" w:ascii="仿宋_GB2312" w:hAnsi="仿宋_GB2312" w:eastAsia="仿宋_GB2312" w:cs="仿宋_GB2312"/>
          <w:lang w:val="en-US" w:eastAsia="zh-CN"/>
        </w:rPr>
        <w:t>东西山</w:t>
      </w:r>
      <w:r>
        <w:rPr>
          <w:rFonts w:hint="eastAsia" w:ascii="仿宋_GB2312" w:hAnsi="仿宋_GB2312" w:eastAsia="仿宋_GB2312" w:cs="仿宋_GB2312"/>
        </w:rPr>
        <w:t>水土流失</w:t>
      </w:r>
      <w:r>
        <w:rPr>
          <w:rFonts w:hint="eastAsia" w:ascii="仿宋_GB2312" w:hAnsi="仿宋_GB2312" w:eastAsia="仿宋_GB2312" w:cs="仿宋_GB2312"/>
          <w:lang w:val="en-US" w:eastAsia="zh-CN"/>
        </w:rPr>
        <w:t>治理工程</w:t>
      </w:r>
      <w:r>
        <w:rPr>
          <w:rFonts w:hint="eastAsia" w:ascii="仿宋_GB2312" w:hAnsi="仿宋_GB2312" w:eastAsia="仿宋_GB2312" w:cs="仿宋_GB2312"/>
        </w:rPr>
        <w:t>、乌尔古力山（东山）及别拉音子山（西山）修复工程，东西“两山”</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沿江湿地、三环泡湿地等</w:t>
      </w:r>
      <w:r>
        <w:rPr>
          <w:rFonts w:hint="eastAsia" w:ascii="仿宋_GB2312" w:hAnsi="仿宋_GB2312" w:eastAsia="仿宋_GB2312" w:cs="仿宋_GB2312"/>
        </w:rPr>
        <w:t>生态修复工程加快实施，</w:t>
      </w:r>
      <w:r>
        <w:rPr>
          <w:rFonts w:hint="eastAsia" w:ascii="仿宋_GB2312" w:hAnsi="仿宋_GB2312" w:cs="仿宋_GB2312"/>
          <w:lang w:val="en-US" w:eastAsia="zh-CN"/>
        </w:rPr>
        <w:t>修复治理</w:t>
      </w:r>
      <w:r>
        <w:rPr>
          <w:rFonts w:hint="eastAsia" w:ascii="仿宋_GB2312" w:hAnsi="仿宋_GB2312" w:eastAsia="仿宋_GB2312" w:cs="仿宋_GB2312"/>
        </w:rPr>
        <w:t>历史遗留矿山</w:t>
      </w:r>
      <w:r>
        <w:rPr>
          <w:rFonts w:hint="eastAsia" w:ascii="仿宋_GB2312" w:hAnsi="仿宋_GB2312" w:cs="仿宋_GB2312"/>
          <w:lang w:val="en-US" w:eastAsia="zh-CN"/>
        </w:rPr>
        <w:t>34座。</w:t>
      </w:r>
      <w:r>
        <w:rPr>
          <w:rFonts w:hint="eastAsia" w:ascii="仿宋_GB2312" w:hAnsi="仿宋_GB2312" w:eastAsia="仿宋_GB2312" w:cs="仿宋_GB2312"/>
        </w:rPr>
        <w:t>富锦国家湿地公园</w:t>
      </w:r>
      <w:r>
        <w:rPr>
          <w:rFonts w:hint="eastAsia" w:ascii="仿宋_GB2312" w:hAnsi="仿宋_GB2312" w:eastAsia="仿宋_GB2312" w:cs="仿宋_GB2312"/>
          <w:lang w:val="en-US" w:eastAsia="zh-CN"/>
        </w:rPr>
        <w:t>成功</w:t>
      </w:r>
      <w:r>
        <w:rPr>
          <w:rFonts w:hint="eastAsia" w:ascii="仿宋_GB2312" w:hAnsi="仿宋_GB2312" w:eastAsia="仿宋_GB2312" w:cs="仿宋_GB2312"/>
        </w:rPr>
        <w:t>申报省级重要湿地，进一步厚植了高质量发展的生态底色。</w:t>
      </w:r>
    </w:p>
    <w:p w14:paraId="6F07A14D">
      <w:pPr>
        <w:bidi w:val="0"/>
        <w:rPr>
          <w:rFonts w:hint="default" w:ascii="仿宋_GB2312" w:hAnsi="仿宋_GB2312" w:cs="仿宋_GB2312"/>
          <w:b/>
          <w:bCs/>
          <w:lang w:val="en-US" w:eastAsia="zh-CN"/>
        </w:rPr>
      </w:pPr>
      <w:r>
        <w:rPr>
          <w:rFonts w:hint="eastAsia" w:ascii="仿宋_GB2312" w:hAnsi="仿宋_GB2312" w:cs="仿宋_GB2312"/>
          <w:b/>
          <w:bCs/>
          <w:lang w:val="en-US" w:eastAsia="zh-CN"/>
        </w:rPr>
        <w:t>十一、</w:t>
      </w:r>
      <w:r>
        <w:rPr>
          <w:rFonts w:hint="default" w:ascii="仿宋_GB2312" w:hAnsi="仿宋_GB2312" w:cs="仿宋_GB2312"/>
          <w:b/>
          <w:bCs/>
          <w:lang w:val="en-US" w:eastAsia="zh-CN"/>
        </w:rPr>
        <w:t>全面从严治党纵深发展</w:t>
      </w:r>
    </w:p>
    <w:p w14:paraId="7FCB965A">
      <w:pPr>
        <w:bidi w:val="0"/>
        <w:rPr>
          <w:rFonts w:hint="eastAsia" w:ascii="仿宋_GB2312" w:hAnsi="仿宋_GB2312" w:eastAsia="仿宋_GB2312" w:cs="仿宋_GB2312"/>
          <w:lang w:val="en-US" w:eastAsia="zh-CN"/>
        </w:rPr>
      </w:pPr>
      <w:r>
        <w:rPr>
          <w:rFonts w:hint="eastAsia" w:ascii="仿宋_GB2312" w:hAnsi="仿宋_GB2312" w:eastAsia="仿宋_GB2312" w:cs="仿宋_GB2312"/>
        </w:rPr>
        <w:t>扎实开展党内集中教育，推动学习贯彻习近平新时代中国特色社会主义思想走深走实。鲜明树立重实干重实绩的用人导向，大抓能力作风建设，干部干事创业精气神进一步提振。做实抓党建促乡村振兴、党建引领基层治理，各领域基层党组织全面进步</w:t>
      </w:r>
      <w:r>
        <w:rPr>
          <w:rFonts w:hint="eastAsia" w:ascii="仿宋_GB2312" w:hAnsi="仿宋_GB2312" w:eastAsia="仿宋_GB2312" w:cs="仿宋_GB2312"/>
          <w:lang w:eastAsia="zh-CN"/>
        </w:rPr>
        <w:t>、</w:t>
      </w:r>
      <w:r>
        <w:rPr>
          <w:rFonts w:hint="eastAsia" w:ascii="仿宋_GB2312" w:hAnsi="仿宋_GB2312" w:eastAsia="仿宋_GB2312" w:cs="仿宋_GB2312"/>
        </w:rPr>
        <w:t>全面过硬。一以贯之正风肃纪反腐，政治生态建设成效</w:t>
      </w:r>
      <w:r>
        <w:rPr>
          <w:rFonts w:hint="eastAsia" w:ascii="仿宋_GB2312" w:hAnsi="仿宋_GB2312" w:eastAsia="仿宋_GB2312" w:cs="仿宋_GB2312"/>
          <w:lang w:eastAsia="zh-CN"/>
        </w:rPr>
        <w:t>显著</w:t>
      </w:r>
      <w:r>
        <w:rPr>
          <w:rFonts w:hint="eastAsia" w:ascii="仿宋_GB2312" w:hAnsi="仿宋_GB2312" w:eastAsia="仿宋_GB2312" w:cs="仿宋_GB2312"/>
        </w:rPr>
        <w:t>。</w:t>
      </w:r>
    </w:p>
    <w:p w14:paraId="24CB7E2A">
      <w:pPr>
        <w:bidi w:val="0"/>
        <w:rPr>
          <w:rFonts w:hint="eastAsia" w:ascii="仿宋_GB2312" w:hAnsi="仿宋_GB2312" w:eastAsia="仿宋_GB2312" w:cs="仿宋_GB2312"/>
        </w:rPr>
      </w:pPr>
      <w:r>
        <w:rPr>
          <w:rFonts w:hint="eastAsia" w:ascii="仿宋_GB2312" w:hAnsi="仿宋_GB2312" w:eastAsia="仿宋_GB2312" w:cs="仿宋_GB2312"/>
          <w:lang w:val="en-US" w:eastAsia="zh-CN"/>
        </w:rPr>
        <w:t>上述</w:t>
      </w:r>
      <w:r>
        <w:rPr>
          <w:rFonts w:hint="eastAsia" w:ascii="仿宋_GB2312" w:hAnsi="仿宋_GB2312" w:eastAsia="仿宋_GB2312" w:cs="仿宋_GB2312"/>
        </w:rPr>
        <w:t>重大成就的取得，根本在于以习近平同志为核心的党中央领航掌舵，在于习近平新时代中国特色社会主义思想科学指引。实践充分证明，习近平总书记始终是我们战胜前进道路上一切风险挑战的主心骨和定海神针</w:t>
      </w:r>
      <w:r>
        <w:rPr>
          <w:rFonts w:hint="eastAsia" w:ascii="仿宋_GB2312" w:hAnsi="仿宋_GB2312" w:cs="仿宋_GB2312"/>
          <w:lang w:eastAsia="zh-CN"/>
        </w:rPr>
        <w:t>，</w:t>
      </w:r>
      <w:r>
        <w:rPr>
          <w:rFonts w:hint="eastAsia" w:ascii="仿宋_GB2312" w:hAnsi="仿宋_GB2312" w:eastAsia="仿宋_GB2312" w:cs="仿宋_GB2312"/>
        </w:rPr>
        <w:t>“两个确立”</w:t>
      </w:r>
      <w:r>
        <w:rPr>
          <w:rFonts w:hint="eastAsia" w:ascii="仿宋_GB2312" w:hAnsi="仿宋_GB2312" w:eastAsia="仿宋_GB2312" w:cs="仿宋_GB2312"/>
          <w:lang w:val="en-US" w:eastAsia="zh-CN"/>
        </w:rPr>
        <w:t>是新时代新征程引领党和国家事业从胜利走向新的胜利的根本政治保证。</w:t>
      </w:r>
    </w:p>
    <w:p w14:paraId="01318BD9">
      <w:pPr>
        <w:pStyle w:val="3"/>
        <w:bidi w:val="0"/>
      </w:pPr>
      <w:bookmarkStart w:id="5" w:name="_Toc15406"/>
      <w:r>
        <w:rPr>
          <w:rFonts w:hint="eastAsia"/>
          <w:lang w:val="en-US" w:eastAsia="zh-CN"/>
        </w:rPr>
        <w:t xml:space="preserve">第二节  </w:t>
      </w:r>
      <w:r>
        <w:rPr>
          <w:rFonts w:hint="eastAsia"/>
        </w:rPr>
        <w:t>“十五五”时期</w:t>
      </w:r>
      <w:r>
        <w:rPr>
          <w:rFonts w:hint="eastAsia"/>
          <w:lang w:val="en-US" w:eastAsia="zh-CN"/>
        </w:rPr>
        <w:t>在建设现代化富锦中的重要地位</w:t>
      </w:r>
      <w:bookmarkEnd w:id="5"/>
    </w:p>
    <w:p w14:paraId="50A08A86">
      <w:pPr>
        <w:bidi w:val="0"/>
        <w:rPr>
          <w:rFonts w:hint="eastAsia" w:ascii="仿宋_GB2312" w:hAnsi="仿宋_GB2312" w:eastAsia="仿宋_GB2312" w:cs="仿宋_GB2312"/>
        </w:rPr>
      </w:pPr>
      <w:r>
        <w:rPr>
          <w:rFonts w:hint="eastAsia" w:ascii="仿宋_GB2312" w:hAnsi="仿宋_GB2312" w:eastAsia="仿宋_GB2312" w:cs="仿宋_GB2312"/>
        </w:rPr>
        <w:t>“十五五”时期是我国基本实现社会主义现代化夯实基础、全面发力的关键时期，是黑龙江建设现代化强省重振雄风、再创佳绩的关键时期，是佳木斯加快实现跨越式发展把握机遇、乘势而上的关键时期，</w:t>
      </w:r>
      <w:r>
        <w:rPr>
          <w:rFonts w:hint="eastAsia" w:ascii="仿宋_GB2312" w:hAnsi="仿宋_GB2312" w:eastAsia="仿宋_GB2312" w:cs="仿宋_GB2312"/>
          <w:lang w:val="en-US" w:eastAsia="zh-CN"/>
        </w:rPr>
        <w:t>也是富锦市全面突破、决胜争先的战略窗口期。</w:t>
      </w:r>
      <w:r>
        <w:rPr>
          <w:rFonts w:hint="eastAsia" w:ascii="仿宋_GB2312" w:hAnsi="仿宋_GB2312" w:eastAsia="仿宋_GB2312" w:cs="仿宋_GB2312"/>
        </w:rPr>
        <w:t>要充分发挥优势条件，破除发展瓶颈制约，持续补短板强弱项，</w:t>
      </w:r>
      <w:r>
        <w:rPr>
          <w:rFonts w:hint="eastAsia" w:ascii="仿宋_GB2312" w:hAnsi="仿宋_GB2312" w:eastAsia="仿宋_GB2312" w:cs="仿宋_GB2312"/>
          <w:lang w:eastAsia="zh-CN"/>
        </w:rPr>
        <w:t>着力</w:t>
      </w:r>
      <w:r>
        <w:rPr>
          <w:rFonts w:hint="eastAsia" w:ascii="仿宋_GB2312" w:hAnsi="仿宋_GB2312" w:eastAsia="仿宋_GB2312" w:cs="仿宋_GB2312"/>
        </w:rPr>
        <w:t>推动发展方式从资源驱动向创新引领转变，着力推动产业层级从中初级为主向中高端为主提升，着力推动对外开放从通道经济向进出口加工等多元化经济拓展，着力推动城市发展由外延扩张向内涵提升转变，着力推动生态优势从绿色本底向发展动能转化，着力推动人民生活从全面小康向共同富裕迈进，推进全面振兴取得新突破、各项事业开创新局面，为加快建设社会主义现代化强市奠定更加坚实的基础。</w:t>
      </w:r>
    </w:p>
    <w:p w14:paraId="259DAD2C">
      <w:pPr>
        <w:pStyle w:val="3"/>
        <w:numPr>
          <w:ilvl w:val="0"/>
          <w:numId w:val="0"/>
        </w:numPr>
        <w:bidi w:val="0"/>
        <w:ind w:firstLine="0" w:firstLineChars="0"/>
        <w:rPr>
          <w:rFonts w:hint="eastAsia"/>
          <w:lang w:val="en-US" w:eastAsia="zh-CN"/>
        </w:rPr>
      </w:pPr>
      <w:bookmarkStart w:id="6" w:name="_Toc19271"/>
      <w:bookmarkStart w:id="7" w:name="OLE_LINK3"/>
      <w:r>
        <w:rPr>
          <w:rFonts w:hint="eastAsia" w:ascii="Calibri Light" w:hAnsi="Calibri Light" w:eastAsia="楷体_GB2312" w:cs="Calibri Light"/>
          <w:b/>
          <w:bCs/>
          <w:kern w:val="0"/>
          <w:sz w:val="32"/>
          <w:szCs w:val="32"/>
          <w:lang w:val="en-US" w:eastAsia="zh-CN" w:bidi="ar-SA"/>
        </w:rPr>
        <w:t>第三节</w:t>
      </w:r>
      <w:r>
        <w:rPr>
          <w:rFonts w:hint="eastAsia" w:cs="Calibri Light"/>
          <w:b/>
          <w:bCs/>
          <w:kern w:val="0"/>
          <w:sz w:val="32"/>
          <w:szCs w:val="32"/>
          <w:lang w:val="en-US" w:eastAsia="zh-CN" w:bidi="ar-SA"/>
        </w:rPr>
        <w:t xml:space="preserve">  </w:t>
      </w:r>
      <w:r>
        <w:rPr>
          <w:rFonts w:hint="eastAsia"/>
          <w:lang w:val="en-US" w:eastAsia="zh-CN"/>
        </w:rPr>
        <w:t>“十五五”时期发展环境面临深刻复杂变化</w:t>
      </w:r>
      <w:bookmarkEnd w:id="6"/>
    </w:p>
    <w:p w14:paraId="32737FB4">
      <w:pPr>
        <w:bidi w:val="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国际形势演变深刻影响国内发展，我国发展处于战略机遇和风险挑战并存、不确定难预料因素增多的时期，</w:t>
      </w:r>
      <w:r>
        <w:rPr>
          <w:rFonts w:hint="eastAsia" w:ascii="仿宋_GB2312" w:hAnsi="仿宋_GB2312" w:cs="仿宋_GB2312"/>
          <w:lang w:val="en-US" w:eastAsia="zh-CN"/>
        </w:rPr>
        <w:t>富锦市</w:t>
      </w:r>
      <w:r>
        <w:rPr>
          <w:rFonts w:hint="eastAsia" w:ascii="仿宋_GB2312" w:hAnsi="仿宋_GB2312" w:eastAsia="仿宋_GB2312" w:cs="仿宋_GB2312"/>
          <w:lang w:val="en-US" w:eastAsia="zh-CN"/>
        </w:rPr>
        <w:t>发展面临新形势新变化、新机遇新挑战。</w:t>
      </w:r>
    </w:p>
    <w:p w14:paraId="01C15AA9">
      <w:pPr>
        <w:bidi w:val="0"/>
        <w:rPr>
          <w:rFonts w:hint="eastAsia"/>
          <w:lang w:val="en-US" w:eastAsia="zh-CN"/>
        </w:rPr>
      </w:pPr>
      <w:r>
        <w:rPr>
          <w:rFonts w:hint="eastAsia" w:ascii="黑体" w:hAnsi="黑体" w:eastAsia="黑体" w:cs="黑体"/>
          <w:lang w:val="en-US" w:eastAsia="zh-CN"/>
        </w:rPr>
        <w:t>从国际看，</w:t>
      </w:r>
      <w:r>
        <w:rPr>
          <w:rFonts w:hint="default"/>
          <w:lang w:val="en-US" w:eastAsia="zh-CN"/>
        </w:rPr>
        <w:t>世界百年变局加速演进，国际力量对比深刻调整，新一轮科技革命和产业变革加速突破，我国具备主动运筹国际空间、塑造外部环境的诸多有利因素。同时，世界变乱交织、动荡加剧，地缘冲突易发多发；单边主义、保护主义抬头，霸权主义和强权政治威胁上升，国际经济贸易秩序遇到严峻挑战，世界经济增长动能不足；大国博弈更加复杂激烈</w:t>
      </w:r>
      <w:r>
        <w:rPr>
          <w:rFonts w:hint="eastAsia"/>
          <w:lang w:val="en-US" w:eastAsia="zh-CN"/>
        </w:rPr>
        <w:t>，对富锦推动全方位对外开放提出更大挑战</w:t>
      </w:r>
      <w:r>
        <w:rPr>
          <w:rFonts w:hint="default"/>
          <w:lang w:val="en-US" w:eastAsia="zh-CN"/>
        </w:rPr>
        <w:t>。</w:t>
      </w:r>
      <w:r>
        <w:rPr>
          <w:rFonts w:hint="eastAsia"/>
          <w:lang w:val="en-US" w:eastAsia="zh-CN"/>
        </w:rPr>
        <w:t>但和平发展的基本态势不会发生根本动摇，中俄进一步深化新时代全面战略协作伙伴关系，有助于富锦依托“一桥一岛”建设契机，充分发挥口岸优势，形成全方位对外开放新格局。</w:t>
      </w:r>
    </w:p>
    <w:p w14:paraId="50832739">
      <w:pPr>
        <w:bidi w:val="0"/>
        <w:rPr>
          <w:rFonts w:hint="eastAsia"/>
          <w:lang w:val="en-US" w:eastAsia="zh-CN"/>
        </w:rPr>
      </w:pPr>
      <w:r>
        <w:rPr>
          <w:rFonts w:hint="eastAsia" w:ascii="黑体" w:hAnsi="黑体" w:eastAsia="黑体" w:cs="黑体"/>
          <w:lang w:val="en-US" w:eastAsia="zh-CN"/>
        </w:rPr>
        <w:t>从国内看，</w:t>
      </w:r>
      <w:r>
        <w:rPr>
          <w:rFonts w:hint="eastAsia"/>
          <w:lang w:val="en-US" w:eastAsia="zh-CN"/>
        </w:rPr>
        <w:t>我国已从高速增长转向高质量发展阶段，正处于推动新质生产力形成和产业结构优化升级的关键窗口期。</w:t>
      </w:r>
      <w:r>
        <w:rPr>
          <w:rFonts w:hint="default"/>
          <w:lang w:val="en-US" w:eastAsia="zh-CN"/>
        </w:rPr>
        <w:t>我国经济基础稳、优势多、韧性强、潜能大，长期向好的支撑条件和基本趋势没有变，中国特色社会主义制度优势、超大规模市场优势、完整产业体系优势、丰富人才资源优势更加彰显</w:t>
      </w:r>
      <w:r>
        <w:rPr>
          <w:rFonts w:hint="eastAsia"/>
          <w:lang w:val="en-US" w:eastAsia="zh-CN"/>
        </w:rPr>
        <w:t>，有利于富锦抢抓全国生产力布局优化调整契机，发挥全国产粮第一大县战略价值，扛牢维护国家粮食安全“压舱石”的政治责任，积极承接发达地区产业转移，推动大农业、大园区等优势转化为高质量振兴发展实际效能。</w:t>
      </w:r>
    </w:p>
    <w:p w14:paraId="7D8E6D36">
      <w:pPr>
        <w:bidi w:val="0"/>
        <w:rPr>
          <w:rFonts w:hint="default"/>
          <w:lang w:val="en-US" w:eastAsia="zh-CN"/>
        </w:rPr>
      </w:pPr>
      <w:r>
        <w:rPr>
          <w:rFonts w:hint="eastAsia" w:ascii="黑体" w:hAnsi="黑体" w:eastAsia="黑体" w:cs="黑体"/>
          <w:lang w:val="en-US" w:eastAsia="zh-CN"/>
        </w:rPr>
        <w:t>从全省看，</w:t>
      </w:r>
      <w:r>
        <w:rPr>
          <w:rFonts w:hint="default"/>
          <w:lang w:val="en-US" w:eastAsia="zh-CN"/>
        </w:rPr>
        <w:t>习近平总书记亲临黑龙江视察，发表重要讲话、作出重要指示，赋予黑龙江维护国家</w:t>
      </w:r>
      <w:r>
        <w:rPr>
          <w:rFonts w:hint="eastAsia"/>
          <w:lang w:val="en-US" w:eastAsia="zh-CN"/>
        </w:rPr>
        <w:t>“</w:t>
      </w:r>
      <w:r>
        <w:rPr>
          <w:rFonts w:hint="default"/>
          <w:lang w:val="en-US" w:eastAsia="zh-CN"/>
        </w:rPr>
        <w:t>五大安全</w:t>
      </w:r>
      <w:r>
        <w:rPr>
          <w:rFonts w:hint="eastAsia"/>
          <w:lang w:val="en-US" w:eastAsia="zh-CN"/>
        </w:rPr>
        <w:t>”</w:t>
      </w:r>
      <w:r>
        <w:rPr>
          <w:rFonts w:hint="default"/>
          <w:lang w:val="en-US" w:eastAsia="zh-CN"/>
        </w:rPr>
        <w:t>和建好建强</w:t>
      </w:r>
      <w:r>
        <w:rPr>
          <w:rFonts w:hint="eastAsia"/>
          <w:lang w:val="en-US" w:eastAsia="zh-CN"/>
        </w:rPr>
        <w:t>“</w:t>
      </w:r>
      <w:r>
        <w:rPr>
          <w:rFonts w:hint="default"/>
          <w:lang w:val="en-US" w:eastAsia="zh-CN"/>
        </w:rPr>
        <w:t>三基地一屏障一高地</w:t>
      </w:r>
      <w:r>
        <w:rPr>
          <w:rFonts w:hint="eastAsia"/>
          <w:lang w:val="en-US" w:eastAsia="zh-CN"/>
        </w:rPr>
        <w:t>”</w:t>
      </w:r>
      <w:r>
        <w:rPr>
          <w:rFonts w:hint="default"/>
          <w:lang w:val="en-US" w:eastAsia="zh-CN"/>
        </w:rPr>
        <w:t>重大使命任务，为高质量振兴发展擘画宏伟蓝图、指明前进方向、注入强大动力；党中央实施区域协调发展战略和区域重大战略，出台进一步推动新时代东北全面振兴取得新突破政策措施，作出促进东中西、南北方协调发展重大决策部署，有利于</w:t>
      </w:r>
      <w:r>
        <w:rPr>
          <w:rFonts w:hint="eastAsia"/>
          <w:lang w:val="en-US" w:eastAsia="zh-CN"/>
        </w:rPr>
        <w:t>黑龙江</w:t>
      </w:r>
      <w:r>
        <w:rPr>
          <w:rFonts w:hint="default"/>
          <w:lang w:val="en-US" w:eastAsia="zh-CN"/>
        </w:rPr>
        <w:t>更好发挥资源、生态、科研、产业、区位优势，夯实基础、全面发力，推动高质量振兴发展取得新突破。</w:t>
      </w:r>
      <w:r>
        <w:rPr>
          <w:rFonts w:hint="eastAsia"/>
          <w:lang w:val="en-US" w:eastAsia="zh-CN"/>
        </w:rPr>
        <w:t>特别是</w:t>
      </w:r>
      <w:r>
        <w:rPr>
          <w:rFonts w:hint="eastAsia" w:ascii="仿宋_GB2312" w:hAnsi="仿宋_GB2312" w:cs="仿宋_GB2312"/>
          <w:b w:val="0"/>
          <w:bCs w:val="0"/>
          <w:color w:val="000000"/>
          <w:sz w:val="32"/>
          <w:szCs w:val="32"/>
          <w:u w:val="none"/>
          <w:shd w:val="clear" w:fill="auto"/>
          <w:lang w:val="en-US" w:eastAsia="zh-CN"/>
        </w:rPr>
        <w:t>全省正处于构筑向北开放新高地、加速构建“4567”现代化产业体系、聚力实施“三个突破年”专项行动、推进全面振兴全方位振兴取得突破的关键期，为富锦融入全省对外开放大格局、优化六大产业链、选择产业赛道、加快承接科技成果等提供了战略指引。</w:t>
      </w:r>
    </w:p>
    <w:p w14:paraId="76D9E179">
      <w:pPr>
        <w:bidi w:val="0"/>
        <w:rPr>
          <w:rFonts w:hint="eastAsia" w:ascii="仿宋_GB2312" w:hAnsi="仿宋_GB2312" w:eastAsia="仿宋_GB2312" w:cs="仿宋_GB2312"/>
          <w:lang w:val="en-US" w:eastAsia="zh-CN"/>
        </w:rPr>
      </w:pPr>
      <w:r>
        <w:rPr>
          <w:rFonts w:hint="eastAsia" w:ascii="黑体" w:hAnsi="黑体" w:eastAsia="黑体" w:cs="黑体"/>
          <w:lang w:val="en-US" w:eastAsia="zh-CN"/>
        </w:rPr>
        <w:t>从佳木斯看，</w:t>
      </w:r>
      <w:r>
        <w:rPr>
          <w:rFonts w:hint="eastAsia" w:ascii="仿宋_GB2312" w:hAnsi="仿宋_GB2312" w:eastAsia="仿宋_GB2312" w:cs="仿宋_GB2312"/>
          <w:lang w:val="en-US" w:eastAsia="zh-CN"/>
        </w:rPr>
        <w:t>全市具有产业基础、交通枢纽、开放通道、文化资源等优势，多重国家战略叠加辐射，省委提出积极发展松花江流域经济，加快推进沿边开放开发合作区建设，布局建设省东部地区新能源产业集群，有利于佳木斯市更好集聚资源要素，全市经济向上向好的基本趋势在增强，支撑加快发展的积极因素在增多，处于大有可为、大有作为的机遇期，厚积薄发、赶超跨越的上升期，产业重构、动能转化的加速期。特别是，佳木斯市正处于推动高质量振兴发展实现新突破的关键时期</w:t>
      </w:r>
      <w:r>
        <w:rPr>
          <w:rFonts w:hint="eastAsia" w:ascii="仿宋_GB2312" w:hAnsi="仿宋_GB2312" w:cs="仿宋_GB2312"/>
          <w:lang w:val="en-US" w:eastAsia="zh-CN"/>
        </w:rPr>
        <w:t>，</w:t>
      </w:r>
      <w:r>
        <w:rPr>
          <w:rFonts w:hint="eastAsia" w:ascii="仿宋_GB2312" w:hAnsi="仿宋_GB2312" w:eastAsia="仿宋_GB2312" w:cs="仿宋_GB2312"/>
          <w:lang w:val="en-US" w:eastAsia="zh-CN"/>
        </w:rPr>
        <w:t>“3510”总部布局</w:t>
      </w:r>
      <w:r>
        <w:rPr>
          <w:rFonts w:hint="eastAsia" w:ascii="仿宋_GB2312" w:hAnsi="仿宋_GB2312" w:cs="仿宋_GB2312"/>
          <w:lang w:val="en-US" w:eastAsia="zh-CN"/>
        </w:rPr>
        <w:t>的</w:t>
      </w:r>
      <w:r>
        <w:rPr>
          <w:rFonts w:hint="eastAsia" w:ascii="仿宋_GB2312" w:hAnsi="仿宋_GB2312" w:eastAsia="仿宋_GB2312" w:cs="仿宋_GB2312"/>
          <w:lang w:val="en-US" w:eastAsia="zh-CN"/>
        </w:rPr>
        <w:t>深入实施</w:t>
      </w:r>
      <w:r>
        <w:rPr>
          <w:rFonts w:hint="eastAsia" w:ascii="仿宋_GB2312" w:hAnsi="仿宋_GB2312" w:cs="仿宋_GB2312"/>
          <w:lang w:val="en-US" w:eastAsia="zh-CN"/>
        </w:rPr>
        <w:t>，以及</w:t>
      </w:r>
      <w:r>
        <w:rPr>
          <w:rFonts w:hint="eastAsia" w:ascii="仿宋_GB2312" w:hAnsi="仿宋_GB2312" w:eastAsia="仿宋_GB2312" w:cs="仿宋_GB2312"/>
          <w:lang w:val="en-US" w:eastAsia="zh-CN"/>
        </w:rPr>
        <w:t>奋力打造黑龙江东部区域中心城市</w:t>
      </w:r>
      <w:r>
        <w:rPr>
          <w:rFonts w:hint="eastAsia" w:ascii="仿宋_GB2312" w:hAnsi="仿宋_GB2312" w:cs="仿宋_GB2312"/>
          <w:lang w:val="en-US" w:eastAsia="zh-CN"/>
        </w:rPr>
        <w:t>、</w:t>
      </w:r>
      <w:r>
        <w:rPr>
          <w:rFonts w:hint="eastAsia" w:ascii="仿宋_GB2312" w:hAnsi="仿宋_GB2312" w:eastAsia="仿宋_GB2312" w:cs="仿宋_GB2312"/>
          <w:lang w:val="en-US" w:eastAsia="zh-CN"/>
        </w:rPr>
        <w:t>国家农业高新技术产业示范区</w:t>
      </w:r>
      <w:r>
        <w:rPr>
          <w:rFonts w:hint="eastAsia" w:ascii="仿宋_GB2312" w:hAnsi="仿宋_GB2312" w:cs="仿宋_GB2312"/>
          <w:lang w:val="en-US" w:eastAsia="zh-CN"/>
        </w:rPr>
        <w:t>的战略目标</w:t>
      </w:r>
      <w:r>
        <w:rPr>
          <w:rFonts w:hint="eastAsia" w:ascii="仿宋_GB2312" w:hAnsi="仿宋_GB2312" w:eastAsia="仿宋_GB2312" w:cs="仿宋_GB2312"/>
          <w:lang w:val="en-US" w:eastAsia="zh-CN"/>
        </w:rPr>
        <w:t>，为富锦发挥地处三江平原腹地优势、更好配套佳木斯组团产业链集群、建设区域性物流集散中心、打造农业现代化示范样板等提供了有力支撑。</w:t>
      </w:r>
    </w:p>
    <w:p w14:paraId="37501AA8">
      <w:pPr>
        <w:bidi w:val="0"/>
        <w:rPr>
          <w:rFonts w:hint="eastAsia" w:ascii="仿宋_GB2312" w:hAnsi="仿宋_GB2312" w:eastAsia="仿宋_GB2312" w:cs="仿宋_GB2312"/>
        </w:rPr>
      </w:pPr>
      <w:r>
        <w:rPr>
          <w:rFonts w:hint="eastAsia" w:ascii="黑体" w:hAnsi="黑体" w:eastAsia="黑体" w:cs="黑体"/>
          <w:lang w:val="en-US" w:eastAsia="zh-CN"/>
        </w:rPr>
        <w:t>从富锦看，</w:t>
      </w:r>
      <w:r>
        <w:rPr>
          <w:rFonts w:hint="eastAsia" w:ascii="仿宋_GB2312" w:hAnsi="仿宋_GB2312" w:eastAsia="仿宋_GB2312" w:cs="仿宋_GB2312"/>
          <w:lang w:val="en-US" w:eastAsia="zh-CN"/>
        </w:rPr>
        <w:t>全市正处于全面推进“六个美好富锦”建设的关键时期，县域经济发展再攀新高，现代农业亮点纷呈，产业体系不断完善，园区承载更加有力，重大项目相继落地，改革活力持续释放，全市广大党员干部凝聚力、战斗力、执行力进一步增强，全市高质量发展、可持续振兴的后劲显著增强。</w:t>
      </w:r>
      <w:r>
        <w:rPr>
          <w:rFonts w:hint="eastAsia" w:ascii="仿宋_GB2312" w:hAnsi="仿宋_GB2312" w:eastAsia="仿宋_GB2312" w:cs="仿宋_GB2312"/>
        </w:rPr>
        <w:t>同时，我市还存在科技赋能产业不足、农产品加工转化不足、城镇化建设运营水平不足、基本公共服务供给不足等问题，人口结构变化给市域治理提</w:t>
      </w:r>
      <w:r>
        <w:rPr>
          <w:rFonts w:hint="eastAsia" w:ascii="仿宋_GB2312" w:hAnsi="仿宋_GB2312" w:cs="仿宋_GB2312"/>
          <w:lang w:eastAsia="zh-CN"/>
        </w:rPr>
        <w:t>出了</w:t>
      </w:r>
      <w:r>
        <w:rPr>
          <w:rFonts w:hint="eastAsia" w:ascii="仿宋_GB2312" w:hAnsi="仿宋_GB2312" w:eastAsia="仿宋_GB2312" w:cs="仿宋_GB2312"/>
        </w:rPr>
        <w:t>新课题，一些领域还有风险隐患。</w:t>
      </w:r>
    </w:p>
    <w:p w14:paraId="5D37A43C">
      <w:pPr>
        <w:bidi w:val="0"/>
        <w:rPr>
          <w:rFonts w:hint="eastAsia" w:ascii="仿宋_GB2312" w:hAnsi="仿宋_GB2312" w:eastAsia="仿宋_GB2312" w:cs="仿宋_GB2312"/>
          <w:lang w:val="en-US" w:eastAsia="zh-CN"/>
        </w:rPr>
      </w:pPr>
      <w:r>
        <w:rPr>
          <w:rFonts w:hint="eastAsia" w:ascii="仿宋_GB2312" w:hAnsi="仿宋_GB2312" w:cs="仿宋_GB2312"/>
          <w:lang w:val="en-US" w:eastAsia="zh-CN"/>
        </w:rPr>
        <w:t>未来五年，</w:t>
      </w:r>
      <w:r>
        <w:rPr>
          <w:rFonts w:hint="eastAsia" w:ascii="仿宋_GB2312" w:hAnsi="仿宋_GB2312" w:eastAsia="仿宋_GB2312" w:cs="仿宋_GB2312"/>
          <w:lang w:val="en-US" w:eastAsia="zh-CN"/>
        </w:rPr>
        <w:t>全市上下要坚决贯彻落实习近平总书记重要讲话重要指示精神，深刻领悟“两个确立”的决定性意义，增强“四个意识”、坚定“四个自信”、做到“两个维护”，保持战略定力，增强必胜信心，积极识变应变求变，敢于斗争、善于斗争，攻坚克难、担当作为，以历史主动精神克难关、战风险、迎挑战，集中力量办好自己的事，不断开创高质量发展、可持续振兴新局面，奋力谱写中国式现代化美好富锦崭新篇章。</w:t>
      </w:r>
    </w:p>
    <w:bookmarkEnd w:id="7"/>
    <w:p w14:paraId="29F1C85E">
      <w:pPr>
        <w:rPr>
          <w:rFonts w:hint="eastAsia" w:ascii="仿宋" w:hAnsi="仿宋" w:eastAsia="仿宋" w:cs="仿宋"/>
        </w:rPr>
      </w:pPr>
      <w:r>
        <w:rPr>
          <w:rFonts w:hint="eastAsia" w:ascii="仿宋" w:hAnsi="仿宋" w:eastAsia="仿宋" w:cs="仿宋"/>
        </w:rPr>
        <w:br w:type="page"/>
      </w:r>
    </w:p>
    <w:p w14:paraId="0FDB70DD">
      <w:pPr>
        <w:pStyle w:val="2"/>
        <w:bidi w:val="0"/>
        <w:ind w:left="0" w:leftChars="0" w:firstLine="0" w:firstLineChars="0"/>
        <w:jc w:val="center"/>
        <w:rPr>
          <w:rFonts w:hint="default" w:ascii="黑体" w:hAnsi="黑体" w:eastAsia="黑体" w:cs="黑体"/>
          <w:sz w:val="36"/>
          <w:szCs w:val="48"/>
          <w:lang w:val="en-US" w:eastAsia="zh-CN"/>
        </w:rPr>
      </w:pPr>
      <w:bookmarkStart w:id="8" w:name="_Toc26781"/>
      <w:r>
        <w:rPr>
          <w:rFonts w:hint="eastAsia" w:ascii="黑体" w:hAnsi="黑体" w:eastAsia="黑体" w:cs="黑体"/>
          <w:sz w:val="36"/>
          <w:szCs w:val="48"/>
          <w:lang w:val="en-US" w:eastAsia="zh-CN"/>
        </w:rPr>
        <w:t>第二章  “十五五”时期经济社会发展的总体要求</w:t>
      </w:r>
      <w:bookmarkEnd w:id="8"/>
    </w:p>
    <w:p w14:paraId="3CF254EA">
      <w:pPr>
        <w:pStyle w:val="3"/>
        <w:bidi w:val="0"/>
        <w:rPr>
          <w:rFonts w:hint="default"/>
          <w:lang w:val="en-US" w:eastAsia="zh-CN"/>
        </w:rPr>
      </w:pPr>
      <w:bookmarkStart w:id="9" w:name="_Toc28522"/>
      <w:r>
        <w:rPr>
          <w:rFonts w:hint="eastAsia"/>
          <w:lang w:val="en-US" w:eastAsia="zh-CN"/>
        </w:rPr>
        <w:t>第一节  指导思想</w:t>
      </w:r>
      <w:bookmarkEnd w:id="9"/>
    </w:p>
    <w:p w14:paraId="2C02342C">
      <w:pPr>
        <w:bidi w:val="0"/>
        <w:rPr>
          <w:rFonts w:hint="eastAsia" w:ascii="仿宋_GB2312" w:hAnsi="仿宋_GB2312" w:eastAsia="仿宋_GB2312" w:cs="仿宋_GB2312"/>
          <w:lang w:val="en-US" w:eastAsia="zh-CN"/>
        </w:rPr>
      </w:pPr>
      <w:r>
        <w:rPr>
          <w:rFonts w:hint="eastAsia" w:ascii="仿宋_GB2312" w:hAnsi="仿宋_GB2312" w:eastAsia="仿宋_GB2312" w:cs="仿宋_GB2312"/>
        </w:rPr>
        <w:t>坚持马克思列宁主义、毛泽东思想、邓小平理论、“三个代表”重要思想、科学发展观，全面贯彻习近平新时代中国特色社会主义思想，深入贯彻党的二十大和二十届历次全会精神，围绕全面建成社会主义现代化强国、实现第二个百年奋斗目标，以中国式现代化全面推进中华民族伟大复兴，统筹推进“五位一体”总体布局，协调推进“四个全面”战略布局，完整准确全面贯彻新发展理念，服务和融入构建新发展格局，坚持稳中求进工作总基调，牢牢把握</w:t>
      </w:r>
      <w:r>
        <w:rPr>
          <w:rFonts w:hint="eastAsia" w:ascii="仿宋_GB2312" w:hAnsi="仿宋_GB2312" w:eastAsia="仿宋_GB2312" w:cs="仿宋_GB2312"/>
          <w:lang w:eastAsia="zh-CN"/>
        </w:rPr>
        <w:t>富锦</w:t>
      </w:r>
      <w:r>
        <w:rPr>
          <w:rFonts w:hint="eastAsia" w:ascii="仿宋_GB2312" w:hAnsi="仿宋_GB2312" w:eastAsia="仿宋_GB2312" w:cs="仿宋_GB2312"/>
        </w:rPr>
        <w:t>在全国、全省、佳木斯市发展中的战略定位，坚决扛起维护国家“五大安全”、建好建强“三基地一屏障一高地”</w:t>
      </w:r>
      <w:r>
        <w:rPr>
          <w:rFonts w:hint="eastAsia" w:ascii="仿宋_GB2312" w:hAnsi="仿宋_GB2312" w:eastAsia="仿宋_GB2312" w:cs="仿宋_GB2312"/>
          <w:lang w:eastAsia="zh-CN"/>
        </w:rPr>
        <w:t>富锦</w:t>
      </w:r>
      <w:r>
        <w:rPr>
          <w:rFonts w:hint="eastAsia" w:ascii="仿宋_GB2312" w:hAnsi="仿宋_GB2312" w:eastAsia="仿宋_GB2312" w:cs="仿宋_GB2312"/>
        </w:rPr>
        <w:t>担当，坚持以经济建设为中心，以推动高质量发展为主题，以改革创新为根本动力，以满足人民日益增长的美好生活需要为根本目的，以全面从严治党为根本保障，</w:t>
      </w:r>
      <w:r>
        <w:rPr>
          <w:rFonts w:hint="eastAsia" w:ascii="仿宋_GB2312" w:hAnsi="仿宋_GB2312" w:eastAsia="仿宋_GB2312" w:cs="仿宋_GB2312"/>
          <w:lang w:val="en-US" w:eastAsia="zh-CN"/>
        </w:rPr>
        <w:t>立足“兴产业、强企业、壮财源、惠民生”实际需求，加快建设“六个美好富锦”，</w:t>
      </w:r>
      <w:r>
        <w:rPr>
          <w:rFonts w:hint="eastAsia" w:ascii="仿宋_GB2312" w:hAnsi="仿宋_GB2312" w:eastAsia="仿宋_GB2312" w:cs="仿宋_GB2312"/>
        </w:rPr>
        <w:t>推动经济实现质的有效提升和量的合理增长，推动人的全面发展、全体人民共同富裕迈出坚实步伐，与全国同步基本实现社会主义现代化取得决定性进展</w:t>
      </w:r>
      <w:r>
        <w:rPr>
          <w:rFonts w:hint="eastAsia" w:ascii="仿宋_GB2312" w:hAnsi="仿宋_GB2312" w:eastAsia="仿宋_GB2312" w:cs="仿宋_GB2312"/>
          <w:lang w:eastAsia="zh-CN"/>
        </w:rPr>
        <w:t>。</w:t>
      </w:r>
    </w:p>
    <w:p w14:paraId="3CAC44E7">
      <w:pPr>
        <w:pStyle w:val="3"/>
        <w:bidi w:val="0"/>
        <w:rPr>
          <w:rFonts w:hint="eastAsia"/>
          <w:lang w:val="en-US" w:eastAsia="zh-CN"/>
        </w:rPr>
      </w:pPr>
      <w:bookmarkStart w:id="10" w:name="_Toc17028"/>
      <w:r>
        <w:rPr>
          <w:rFonts w:hint="eastAsia"/>
          <w:lang w:val="en-US" w:eastAsia="zh-CN"/>
        </w:rPr>
        <w:t>第二节  基本原则</w:t>
      </w:r>
      <w:bookmarkEnd w:id="10"/>
    </w:p>
    <w:p w14:paraId="61675D8A">
      <w:pPr>
        <w:bidi w:val="0"/>
        <w:rPr>
          <w:rFonts w:hint="eastAsia" w:ascii="仿宋_GB2312" w:hAnsi="仿宋_GB2312" w:eastAsia="仿宋_GB2312" w:cs="仿宋_GB2312"/>
        </w:rPr>
      </w:pPr>
      <w:r>
        <w:rPr>
          <w:rFonts w:hint="eastAsia" w:ascii="仿宋_GB2312" w:hAnsi="仿宋_GB2312" w:eastAsia="仿宋_GB2312" w:cs="仿宋_GB2312"/>
          <w:b/>
          <w:bCs/>
        </w:rPr>
        <w:t>——坚持党的全面领导。</w:t>
      </w:r>
      <w:r>
        <w:rPr>
          <w:rFonts w:hint="eastAsia" w:ascii="仿宋_GB2312" w:hAnsi="仿宋_GB2312" w:eastAsia="仿宋_GB2312" w:cs="仿宋_GB2312"/>
        </w:rPr>
        <w:t>坚决维护以习近平同志为核心的党中央权威和集中统一领导，全面贯彻落实习近平总书记重要讲话重要指示精神和党中央决策部署，把党的领导贯穿经济社会发展各方面全过程，为推进中国式现代化</w:t>
      </w:r>
      <w:r>
        <w:rPr>
          <w:rFonts w:hint="eastAsia" w:ascii="仿宋_GB2312" w:hAnsi="仿宋_GB2312" w:eastAsia="仿宋_GB2312" w:cs="仿宋_GB2312"/>
          <w:lang w:eastAsia="zh-CN"/>
        </w:rPr>
        <w:t>美好富锦</w:t>
      </w:r>
      <w:r>
        <w:rPr>
          <w:rFonts w:hint="eastAsia" w:ascii="仿宋_GB2312" w:hAnsi="仿宋_GB2312" w:eastAsia="仿宋_GB2312" w:cs="仿宋_GB2312"/>
        </w:rPr>
        <w:t>实践提供根本保证。</w:t>
      </w:r>
    </w:p>
    <w:p w14:paraId="0517E170">
      <w:pPr>
        <w:bidi w:val="0"/>
        <w:rPr>
          <w:rFonts w:hint="eastAsia" w:ascii="仿宋_GB2312" w:hAnsi="仿宋_GB2312" w:eastAsia="仿宋_GB2312" w:cs="仿宋_GB2312"/>
        </w:rPr>
      </w:pPr>
      <w:r>
        <w:rPr>
          <w:rFonts w:hint="eastAsia" w:ascii="仿宋_GB2312" w:hAnsi="仿宋_GB2312" w:eastAsia="仿宋_GB2312" w:cs="仿宋_GB2312"/>
          <w:b/>
          <w:bCs/>
        </w:rPr>
        <w:t>——坚持人民至上。</w:t>
      </w:r>
      <w:r>
        <w:rPr>
          <w:rFonts w:hint="eastAsia" w:ascii="仿宋_GB2312" w:hAnsi="仿宋_GB2312" w:eastAsia="仿宋_GB2312" w:cs="仿宋_GB2312"/>
        </w:rPr>
        <w:t>始终把人民对美好生活的向往作为奋斗目标，把保障和改善民生作为振兴发展的出发点和落脚点，尊重人民主体地位，紧紧依靠人民，维护人民根本利益，促进社会公平正义，推动经济和社会协调发展、物质文明和精神文明相得益彰，让现代化建设成果更多更公平惠及</w:t>
      </w:r>
      <w:r>
        <w:rPr>
          <w:rFonts w:hint="eastAsia" w:ascii="仿宋_GB2312" w:hAnsi="仿宋_GB2312" w:eastAsia="仿宋_GB2312" w:cs="仿宋_GB2312"/>
          <w:lang w:val="en-US" w:eastAsia="zh-CN"/>
        </w:rPr>
        <w:t>富锦</w:t>
      </w:r>
      <w:r>
        <w:rPr>
          <w:rFonts w:hint="eastAsia" w:ascii="仿宋_GB2312" w:hAnsi="仿宋_GB2312" w:eastAsia="仿宋_GB2312" w:cs="仿宋_GB2312"/>
        </w:rPr>
        <w:t>人民。</w:t>
      </w:r>
    </w:p>
    <w:p w14:paraId="6BCEE351">
      <w:pPr>
        <w:bidi w:val="0"/>
        <w:rPr>
          <w:rFonts w:hint="eastAsia" w:ascii="仿宋_GB2312" w:hAnsi="仿宋_GB2312" w:eastAsia="仿宋_GB2312" w:cs="仿宋_GB2312"/>
        </w:rPr>
      </w:pPr>
      <w:r>
        <w:rPr>
          <w:rFonts w:hint="eastAsia" w:ascii="仿宋_GB2312" w:hAnsi="仿宋_GB2312" w:eastAsia="仿宋_GB2312" w:cs="仿宋_GB2312"/>
          <w:b/>
          <w:bCs/>
        </w:rPr>
        <w:t>——坚持高质量发展。</w:t>
      </w:r>
      <w:r>
        <w:rPr>
          <w:rFonts w:hint="eastAsia" w:ascii="仿宋_GB2312" w:hAnsi="仿宋_GB2312" w:eastAsia="仿宋_GB2312" w:cs="仿宋_GB2312"/>
        </w:rPr>
        <w:t>以新发展理念引领振兴发展，因地制宜发展新质生产力，统筹扩大内需和</w:t>
      </w:r>
      <w:r>
        <w:rPr>
          <w:rFonts w:hint="eastAsia" w:ascii="仿宋_GB2312" w:hAnsi="仿宋_GB2312" w:eastAsia="仿宋_GB2312" w:cs="仿宋_GB2312"/>
          <w:lang w:eastAsia="zh-CN"/>
        </w:rPr>
        <w:t>深化</w:t>
      </w:r>
      <w:r>
        <w:rPr>
          <w:rFonts w:hint="eastAsia" w:ascii="仿宋_GB2312" w:hAnsi="仿宋_GB2312" w:eastAsia="仿宋_GB2312" w:cs="仿宋_GB2312"/>
        </w:rPr>
        <w:t>供给侧结构性改革，加快</w:t>
      </w:r>
      <w:r>
        <w:rPr>
          <w:rFonts w:hint="eastAsia" w:ascii="仿宋_GB2312" w:hAnsi="仿宋_GB2312" w:cs="仿宋_GB2312"/>
          <w:lang w:eastAsia="zh-CN"/>
        </w:rPr>
        <w:t>转方式、调结构、提质量、增效益</w:t>
      </w:r>
      <w:r>
        <w:rPr>
          <w:rFonts w:hint="eastAsia" w:ascii="仿宋_GB2312" w:hAnsi="仿宋_GB2312" w:eastAsia="仿宋_GB2312" w:cs="仿宋_GB2312"/>
        </w:rPr>
        <w:t>，促进经济结构优化升级，培育新动能塑造新优势，推动经济持续健康发展和社会全面进步。</w:t>
      </w:r>
    </w:p>
    <w:p w14:paraId="1B699C8C">
      <w:pPr>
        <w:bidi w:val="0"/>
        <w:rPr>
          <w:rFonts w:hint="eastAsia" w:ascii="仿宋_GB2312" w:hAnsi="仿宋_GB2312" w:eastAsia="仿宋_GB2312" w:cs="仿宋_GB2312"/>
        </w:rPr>
      </w:pPr>
      <w:r>
        <w:rPr>
          <w:rFonts w:hint="eastAsia" w:ascii="仿宋_GB2312" w:hAnsi="仿宋_GB2312" w:eastAsia="仿宋_GB2312" w:cs="仿宋_GB2312"/>
          <w:b/>
          <w:bCs/>
        </w:rPr>
        <w:t>——坚持深化改革开放。</w:t>
      </w:r>
      <w:r>
        <w:rPr>
          <w:rFonts w:hint="eastAsia" w:ascii="仿宋_GB2312" w:hAnsi="仿宋_GB2312" w:eastAsia="仿宋_GB2312" w:cs="仿宋_GB2312"/>
        </w:rPr>
        <w:t>进一步解放思想、更新观念，增强创新意识、前沿意识、开放意识、市场意识、争先意识，推进深层次改革，扩大高水平开放，着力破除制约高质量发展的体制机制障碍，持续为经济社会发展注入新动力新活力。</w:t>
      </w:r>
    </w:p>
    <w:p w14:paraId="14F775D0">
      <w:pPr>
        <w:bidi w:val="0"/>
        <w:rPr>
          <w:rFonts w:hint="eastAsia" w:ascii="仿宋_GB2312" w:hAnsi="仿宋_GB2312" w:eastAsia="仿宋_GB2312" w:cs="仿宋_GB2312"/>
        </w:rPr>
      </w:pPr>
      <w:r>
        <w:rPr>
          <w:rFonts w:hint="eastAsia" w:ascii="仿宋_GB2312" w:hAnsi="仿宋_GB2312" w:eastAsia="仿宋_GB2312" w:cs="仿宋_GB2312"/>
          <w:b/>
          <w:bCs/>
        </w:rPr>
        <w:t>——坚持有效市场和有为政府相结合。</w:t>
      </w:r>
      <w:r>
        <w:rPr>
          <w:rFonts w:hint="eastAsia" w:ascii="仿宋_GB2312" w:hAnsi="仿宋_GB2312" w:eastAsia="仿宋_GB2312" w:cs="仿宋_GB2312"/>
        </w:rPr>
        <w:t>充分发挥市场在资源配置中的决定性作用，更好发挥政府作用，融入和服务构建统一、开放、竞争、有序的市场体系，加快建设法治经济、信用经济，完善政策、诚信体系，打造</w:t>
      </w:r>
      <w:r>
        <w:rPr>
          <w:rFonts w:hint="eastAsia" w:ascii="仿宋_GB2312" w:hAnsi="仿宋_GB2312" w:cs="仿宋_GB2312"/>
          <w:lang w:eastAsia="zh-CN"/>
        </w:rPr>
        <w:t>市场化、法治化、国际化</w:t>
      </w:r>
      <w:r>
        <w:rPr>
          <w:rFonts w:hint="eastAsia" w:ascii="仿宋_GB2312" w:hAnsi="仿宋_GB2312" w:eastAsia="仿宋_GB2312" w:cs="仿宋_GB2312"/>
        </w:rPr>
        <w:t>一流营商环境，形成充满活力、规范有序的经济秩序。</w:t>
      </w:r>
    </w:p>
    <w:p w14:paraId="21C8AB50">
      <w:pPr>
        <w:bidi w:val="0"/>
        <w:rPr>
          <w:rFonts w:hint="eastAsia" w:ascii="仿宋_GB2312" w:hAnsi="仿宋_GB2312" w:eastAsia="仿宋_GB2312" w:cs="仿宋_GB2312"/>
        </w:rPr>
      </w:pPr>
      <w:r>
        <w:rPr>
          <w:rFonts w:hint="eastAsia" w:ascii="仿宋_GB2312" w:hAnsi="仿宋_GB2312" w:eastAsia="仿宋_GB2312" w:cs="仿宋_GB2312"/>
          <w:b/>
          <w:bCs/>
        </w:rPr>
        <w:t>——坚持统筹发展和安全。</w:t>
      </w:r>
      <w:r>
        <w:rPr>
          <w:rFonts w:hint="eastAsia" w:ascii="仿宋_GB2312" w:hAnsi="仿宋_GB2312" w:eastAsia="仿宋_GB2312" w:cs="仿宋_GB2312"/>
        </w:rPr>
        <w:t>贯彻落实总体国家安全观，在发展中固安全，在安全中谋发展，把安全发展贯穿经济社会发展各领域和全过程，强化底线思维，有效防范化解各类风险，提高本质安全水平，增强维护国家“五大安全”能力，增强经济和社会韧性，以新安全格局保障新发展格局。</w:t>
      </w:r>
    </w:p>
    <w:p w14:paraId="02FDF51E">
      <w:pPr>
        <w:bidi w:val="0"/>
        <w:rPr>
          <w:rFonts w:hint="eastAsia" w:ascii="仿宋_GB2312" w:hAnsi="仿宋_GB2312" w:eastAsia="仿宋_GB2312" w:cs="仿宋_GB2312"/>
        </w:rPr>
      </w:pPr>
      <w:r>
        <w:rPr>
          <w:rFonts w:hint="eastAsia" w:ascii="仿宋_GB2312" w:hAnsi="仿宋_GB2312" w:eastAsia="仿宋_GB2312" w:cs="仿宋_GB2312"/>
          <w:b/>
          <w:bCs/>
        </w:rPr>
        <w:t>——坚持创先争优。</w:t>
      </w:r>
      <w:r>
        <w:rPr>
          <w:rFonts w:hint="eastAsia" w:ascii="仿宋_GB2312" w:hAnsi="仿宋_GB2312" w:eastAsia="仿宋_GB2312" w:cs="仿宋_GB2312"/>
        </w:rPr>
        <w:t>加强全局性谋划、整体性推进、创造性落实，昂扬敢闯敢试、敢为人先的精气神，巩固提升稳中有进、进中向好的发展态势，推动在优势领域和关键环节取得重大突破，</w:t>
      </w:r>
      <w:r>
        <w:rPr>
          <w:rFonts w:hint="eastAsia" w:ascii="仿宋_GB2312" w:hAnsi="仿宋_GB2312" w:eastAsia="仿宋_GB2312" w:cs="仿宋_GB2312"/>
          <w:lang w:val="en-US" w:eastAsia="zh-CN"/>
        </w:rPr>
        <w:t>在全佳木斯</w:t>
      </w:r>
      <w:r>
        <w:rPr>
          <w:rFonts w:hint="eastAsia" w:ascii="仿宋_GB2312" w:hAnsi="仿宋_GB2312" w:eastAsia="仿宋_GB2312" w:cs="仿宋_GB2312"/>
        </w:rPr>
        <w:t>当排头、</w:t>
      </w:r>
      <w:r>
        <w:rPr>
          <w:rFonts w:hint="eastAsia" w:ascii="仿宋_GB2312" w:hAnsi="仿宋_GB2312" w:eastAsia="仿宋_GB2312" w:cs="仿宋_GB2312"/>
          <w:lang w:val="en-US" w:eastAsia="zh-CN"/>
        </w:rPr>
        <w:t>全省</w:t>
      </w:r>
      <w:r>
        <w:rPr>
          <w:rFonts w:hint="eastAsia" w:ascii="仿宋_GB2312" w:hAnsi="仿宋_GB2312" w:eastAsia="仿宋_GB2312" w:cs="仿宋_GB2312"/>
        </w:rPr>
        <w:t>争上游，以奋进者的姿态打开高质量振兴发展新天地。</w:t>
      </w:r>
    </w:p>
    <w:p w14:paraId="56CC9091">
      <w:pPr>
        <w:bidi w:val="0"/>
        <w:rPr>
          <w:rFonts w:hint="eastAsia"/>
          <w:lang w:val="en-US" w:eastAsia="zh-CN"/>
        </w:rPr>
      </w:pPr>
      <w:r>
        <w:rPr>
          <w:rFonts w:hint="eastAsia" w:ascii="仿宋_GB2312" w:hAnsi="仿宋_GB2312" w:eastAsia="仿宋_GB2312" w:cs="仿宋_GB2312"/>
          <w:b/>
          <w:bCs/>
        </w:rPr>
        <w:t>——坚持一张蓝图绘到底。</w:t>
      </w:r>
      <w:r>
        <w:rPr>
          <w:rFonts w:hint="eastAsia" w:ascii="仿宋_GB2312" w:hAnsi="仿宋_GB2312" w:eastAsia="仿宋_GB2312" w:cs="仿宋_GB2312"/>
        </w:rPr>
        <w:t>保持定力，务实重干，办好抓机遇用机遇、应变局开新局的事，办好打基础利长远、锻长板补短板的事，办好顺民意解民忧、惠民生暖民心的事，善作善成、再接再厉、接续奋斗、久久为功，一步一个脚印把宏伟蓝图变为美好现实。</w:t>
      </w:r>
    </w:p>
    <w:p w14:paraId="63C2DF79">
      <w:pPr>
        <w:pStyle w:val="3"/>
        <w:keepNext w:val="0"/>
        <w:keepLines w:val="0"/>
        <w:widowControl/>
        <w:spacing w:line="240" w:lineRule="auto"/>
        <w:ind w:left="0" w:leftChars="0" w:firstLine="0" w:firstLineChars="0"/>
        <w:jc w:val="center"/>
        <w:rPr>
          <w:rFonts w:hint="default" w:ascii="Times New Roman" w:hAnsi="Times New Roman" w:eastAsia="楷体_GB2312" w:cs="楷体_GB2312"/>
          <w:lang w:val="en-US" w:eastAsia="zh-CN"/>
        </w:rPr>
      </w:pPr>
      <w:bookmarkStart w:id="11" w:name="_Toc18152"/>
      <w:r>
        <w:rPr>
          <w:rFonts w:hint="eastAsia" w:ascii="Times New Roman" w:hAnsi="Times New Roman" w:eastAsia="楷体_GB2312" w:cs="楷体_GB2312"/>
          <w:lang w:val="en-US" w:eastAsia="zh-CN"/>
        </w:rPr>
        <w:t xml:space="preserve">第三节  </w:t>
      </w:r>
      <w:r>
        <w:rPr>
          <w:rFonts w:hint="eastAsia" w:ascii="Times New Roman" w:hAnsi="Times New Roman" w:cs="楷体_GB2312"/>
          <w:lang w:val="en-US" w:eastAsia="zh-CN"/>
        </w:rPr>
        <w:t>战略</w:t>
      </w:r>
      <w:r>
        <w:rPr>
          <w:rFonts w:hint="eastAsia" w:ascii="Times New Roman" w:hAnsi="Times New Roman" w:eastAsia="楷体_GB2312" w:cs="楷体_GB2312"/>
          <w:lang w:val="en-US" w:eastAsia="zh-CN"/>
        </w:rPr>
        <w:t>定位</w:t>
      </w:r>
      <w:bookmarkEnd w:id="11"/>
    </w:p>
    <w:p w14:paraId="496D98B6">
      <w:pPr>
        <w:bidi w:val="0"/>
        <w:rPr>
          <w:rFonts w:hint="eastAsia"/>
          <w:lang w:val="en-US" w:eastAsia="zh-CN"/>
        </w:rPr>
      </w:pPr>
      <w:r>
        <w:rPr>
          <w:rFonts w:hint="eastAsia"/>
          <w:lang w:val="en-US" w:eastAsia="zh-CN"/>
        </w:rPr>
        <w:t>衔接国土空间总体规划和省政府批复定位，深度融入区域发展大局，奋力打造“两市一高地”。</w:t>
      </w:r>
    </w:p>
    <w:p w14:paraId="3080B9A7">
      <w:pPr>
        <w:bidi w:val="0"/>
        <w:rPr>
          <w:rFonts w:hint="eastAsia" w:ascii="仿宋_GB2312" w:hAnsi="仿宋_GB2312" w:eastAsia="仿宋_GB2312" w:cs="仿宋_GB2312"/>
          <w:lang w:val="en-US" w:eastAsia="zh-CN"/>
        </w:rPr>
      </w:pPr>
      <w:r>
        <w:rPr>
          <w:rFonts w:hint="eastAsia" w:ascii="仿宋_GB2312" w:hAnsi="仿宋_GB2312" w:eastAsia="仿宋_GB2312" w:cs="仿宋_GB2312"/>
          <w:b/>
          <w:bCs/>
        </w:rPr>
        <w:t>——</w:t>
      </w:r>
      <w:r>
        <w:rPr>
          <w:rFonts w:hint="eastAsia" w:ascii="仿宋_GB2312" w:hAnsi="仿宋_GB2312" w:eastAsia="仿宋_GB2312" w:cs="仿宋_GB2312"/>
          <w:b/>
          <w:bCs/>
          <w:lang w:val="en-US" w:eastAsia="zh-CN"/>
        </w:rPr>
        <w:t>现代化农业强市。</w:t>
      </w:r>
      <w:r>
        <w:rPr>
          <w:rFonts w:hint="eastAsia" w:ascii="仿宋_GB2312" w:hAnsi="仿宋_GB2312" w:eastAsia="仿宋_GB2312" w:cs="仿宋_GB2312"/>
          <w:lang w:val="en-US" w:eastAsia="zh-CN"/>
        </w:rPr>
        <w:t>坚决扛牢维护国家粮食安全“压舱石”政治责任，以“四个农业”为引领，通过构建现代农业产业体系、生产体系和经营体系，建设成为全国领先的现代化大农业示范区和绿色农产品生产加工基地。</w:t>
      </w:r>
    </w:p>
    <w:p w14:paraId="40497985">
      <w:pPr>
        <w:bidi w:val="0"/>
        <w:rPr>
          <w:rFonts w:hint="eastAsia" w:ascii="仿宋_GB2312" w:hAnsi="仿宋_GB2312" w:eastAsia="仿宋_GB2312" w:cs="仿宋_GB2312"/>
          <w:lang w:val="en-US" w:eastAsia="zh-CN"/>
        </w:rPr>
      </w:pPr>
      <w:r>
        <w:rPr>
          <w:rFonts w:hint="eastAsia" w:ascii="仿宋_GB2312" w:hAnsi="仿宋_GB2312" w:eastAsia="仿宋_GB2312" w:cs="仿宋_GB2312"/>
          <w:b/>
          <w:bCs/>
        </w:rPr>
        <w:t>——</w:t>
      </w:r>
      <w:r>
        <w:rPr>
          <w:rFonts w:hint="eastAsia" w:ascii="仿宋_GB2312" w:hAnsi="仿宋_GB2312" w:eastAsia="仿宋_GB2312" w:cs="仿宋_GB2312"/>
          <w:b/>
          <w:bCs/>
          <w:lang w:eastAsia="zh-CN"/>
        </w:rPr>
        <w:t>省</w:t>
      </w:r>
      <w:r>
        <w:rPr>
          <w:rFonts w:hint="eastAsia" w:ascii="仿宋_GB2312" w:hAnsi="仿宋_GB2312" w:eastAsia="仿宋_GB2312" w:cs="仿宋_GB2312"/>
          <w:b/>
          <w:bCs/>
          <w:lang w:val="en-US" w:eastAsia="zh-CN"/>
        </w:rPr>
        <w:t>东部地区副中心城市。</w:t>
      </w:r>
      <w:r>
        <w:rPr>
          <w:rFonts w:hint="eastAsia" w:ascii="仿宋_GB2312" w:hAnsi="仿宋_GB2312" w:eastAsia="仿宋_GB2312" w:cs="仿宋_GB2312"/>
          <w:lang w:val="en-US" w:eastAsia="zh-CN"/>
        </w:rPr>
        <w:t>承担黑龙江省东部区域粮食储备、集散分拨、生产服务、消费体验等枢纽职能，辐射带动周边300公里半径县市要素集聚发展。</w:t>
      </w:r>
    </w:p>
    <w:p w14:paraId="0AB1D89D">
      <w:pPr>
        <w:bidi w:val="0"/>
        <w:rPr>
          <w:rFonts w:hint="eastAsia" w:ascii="仿宋_GB2312" w:hAnsi="仿宋_GB2312" w:eastAsia="仿宋_GB2312" w:cs="仿宋_GB2312"/>
          <w:lang w:val="en-US" w:eastAsia="zh-CN"/>
        </w:rPr>
      </w:pPr>
      <w:r>
        <w:rPr>
          <w:rFonts w:hint="eastAsia" w:ascii="仿宋_GB2312" w:hAnsi="仿宋_GB2312" w:eastAsia="仿宋_GB2312" w:cs="仿宋_GB2312"/>
          <w:b/>
          <w:bCs/>
        </w:rPr>
        <w:t>——</w:t>
      </w:r>
      <w:r>
        <w:rPr>
          <w:rFonts w:hint="eastAsia" w:ascii="仿宋_GB2312" w:hAnsi="仿宋_GB2312" w:eastAsia="仿宋_GB2312" w:cs="仿宋_GB2312"/>
          <w:b/>
          <w:bCs/>
          <w:lang w:val="en-US" w:eastAsia="zh-CN"/>
        </w:rPr>
        <w:t>新兴生物经济高地。</w:t>
      </w:r>
      <w:r>
        <w:rPr>
          <w:rFonts w:hint="eastAsia" w:ascii="仿宋_GB2312" w:hAnsi="仿宋_GB2312" w:eastAsia="仿宋_GB2312" w:cs="仿宋_GB2312"/>
          <w:lang w:val="en-US" w:eastAsia="zh-CN"/>
        </w:rPr>
        <w:t>以省级化工园区为载体，以粮食精深加工为主导，以“北方糖都”为目标，聚</w:t>
      </w:r>
      <w:r>
        <w:rPr>
          <w:rFonts w:hint="eastAsia" w:ascii="仿宋_GB2312" w:hAnsi="仿宋_GB2312" w:cs="仿宋_GB2312"/>
          <w:lang w:val="en-US" w:eastAsia="zh-CN"/>
        </w:rPr>
        <w:t>焦</w:t>
      </w:r>
      <w:r>
        <w:rPr>
          <w:rFonts w:hint="eastAsia" w:ascii="仿宋_GB2312" w:hAnsi="仿宋_GB2312" w:eastAsia="仿宋_GB2312" w:cs="仿宋_GB2312"/>
          <w:lang w:val="en-US" w:eastAsia="zh-CN"/>
        </w:rPr>
        <w:t>生物经济新赛道，重点发展生物科技产业，形成百亿级生物经济集群。</w:t>
      </w:r>
    </w:p>
    <w:p w14:paraId="4F2E9B5C">
      <w:pPr>
        <w:pStyle w:val="3"/>
        <w:keepNext w:val="0"/>
        <w:keepLines w:val="0"/>
        <w:widowControl/>
        <w:spacing w:line="240" w:lineRule="auto"/>
        <w:ind w:left="0" w:leftChars="0" w:firstLine="0" w:firstLineChars="0"/>
        <w:jc w:val="center"/>
        <w:rPr>
          <w:rFonts w:hint="default" w:ascii="Times New Roman" w:hAnsi="Times New Roman" w:eastAsia="楷体_GB2312" w:cs="楷体_GB2312"/>
          <w:lang w:val="en-US" w:eastAsia="zh-CN"/>
        </w:rPr>
      </w:pPr>
      <w:bookmarkStart w:id="12" w:name="_Toc25622"/>
      <w:r>
        <w:rPr>
          <w:rFonts w:hint="eastAsia" w:ascii="Times New Roman" w:hAnsi="Times New Roman" w:eastAsia="楷体_GB2312" w:cs="楷体_GB2312"/>
          <w:lang w:val="en-US" w:eastAsia="zh-CN"/>
        </w:rPr>
        <w:t xml:space="preserve">第四节  </w:t>
      </w:r>
      <w:r>
        <w:rPr>
          <w:rFonts w:hint="eastAsia" w:ascii="Times New Roman" w:hAnsi="Times New Roman" w:cs="楷体_GB2312"/>
          <w:lang w:val="en-US" w:eastAsia="zh-CN"/>
        </w:rPr>
        <w:t>主要目标</w:t>
      </w:r>
      <w:bookmarkEnd w:id="12"/>
    </w:p>
    <w:p w14:paraId="300B3B94">
      <w:pPr>
        <w:bidi w:val="0"/>
        <w:rPr>
          <w:rFonts w:hint="eastAsia"/>
        </w:rPr>
      </w:pPr>
      <w:r>
        <w:rPr>
          <w:rFonts w:hint="eastAsia"/>
        </w:rPr>
        <w:t>“十五五”时期，全市上下凝心聚力、创新实干、加压奋进，依托佳木斯建设</w:t>
      </w:r>
      <w:r>
        <w:rPr>
          <w:rFonts w:hint="eastAsia"/>
          <w:lang w:val="en-US" w:eastAsia="zh-CN"/>
        </w:rPr>
        <w:t>黑龙江</w:t>
      </w:r>
      <w:r>
        <w:rPr>
          <w:rFonts w:hint="eastAsia"/>
        </w:rPr>
        <w:t>省东部地区中心城市契机，聚焦“站稳第一方阵、勇夺第一位次”</w:t>
      </w:r>
      <w:r>
        <w:rPr>
          <w:rFonts w:hint="eastAsia"/>
          <w:lang w:val="en-US" w:eastAsia="zh-CN"/>
        </w:rPr>
        <w:t>主线</w:t>
      </w:r>
      <w:r>
        <w:rPr>
          <w:rFonts w:hint="eastAsia"/>
        </w:rPr>
        <w:t>目标，稳步推进“六个美好富锦”高质量发展。按照新思想新时代新目标新征程的要求，综合考虑未来发展趋势和条件，具体发展目标是：</w:t>
      </w:r>
    </w:p>
    <w:p w14:paraId="65C22D91">
      <w:pPr>
        <w:bidi w:val="0"/>
        <w:rPr>
          <w:rFonts w:hint="eastAsia" w:ascii="仿宋_GB2312" w:hAnsi="仿宋_GB2312" w:eastAsia="仿宋_GB2312" w:cs="仿宋_GB2312"/>
          <w:lang w:val="en-US" w:eastAsia="zh-CN"/>
        </w:rPr>
      </w:pPr>
      <w:r>
        <w:rPr>
          <w:rFonts w:hint="eastAsia" w:ascii="仿宋_GB2312" w:hAnsi="仿宋_GB2312" w:eastAsia="仿宋_GB2312" w:cs="仿宋_GB2312"/>
          <w:b/>
          <w:bCs/>
        </w:rPr>
        <w:t>——</w:t>
      </w:r>
      <w:r>
        <w:rPr>
          <w:rFonts w:hint="eastAsia" w:ascii="仿宋_GB2312" w:hAnsi="仿宋_GB2312" w:eastAsia="仿宋_GB2312" w:cs="仿宋_GB2312"/>
          <w:b/>
          <w:bCs/>
          <w:lang w:val="en-US" w:eastAsia="zh-CN"/>
        </w:rPr>
        <w:t>建设“经济振兴美好富锦”。</w:t>
      </w:r>
      <w:r>
        <w:rPr>
          <w:rFonts w:hint="eastAsia" w:ascii="仿宋_GB2312" w:hAnsi="仿宋_GB2312" w:eastAsia="仿宋_GB2312" w:cs="仿宋_GB2312"/>
          <w:lang w:val="en-US" w:eastAsia="zh-CN"/>
        </w:rPr>
        <w:t>经济保持稳定较快增长，</w:t>
      </w:r>
      <w:r>
        <w:rPr>
          <w:rFonts w:hint="eastAsia" w:ascii="仿宋_GB2312" w:hAnsi="仿宋_GB2312" w:cs="仿宋_GB2312"/>
          <w:lang w:val="en-US" w:eastAsia="zh-CN"/>
        </w:rPr>
        <w:t>到二〇三〇年，GDP年均增长6%左右，总量突破280亿元，</w:t>
      </w:r>
      <w:r>
        <w:rPr>
          <w:rFonts w:hint="eastAsia" w:ascii="仿宋_GB2312" w:hAnsi="仿宋_GB2312" w:eastAsia="仿宋_GB2312" w:cs="仿宋_GB2312"/>
          <w:lang w:val="en-US" w:eastAsia="zh-CN"/>
        </w:rPr>
        <w:t>发展质量效益明显提高，粮食综合生产能力持续提升，有效投资对经济发展的支撑作用、扩大消费对经济发展的推动作用持续增强，科技创新和产业创新深度融合，重点领域和关键环节改革取得突破性进展，</w:t>
      </w:r>
      <w:r>
        <w:rPr>
          <w:rFonts w:hint="eastAsia" w:ascii="仿宋_GB2312" w:hAnsi="仿宋_GB2312" w:cs="仿宋_GB2312"/>
          <w:lang w:val="en-US" w:eastAsia="zh-CN"/>
        </w:rPr>
        <w:t>外贸进出口总额年均增长7.5%，</w:t>
      </w:r>
      <w:r>
        <w:rPr>
          <w:rFonts w:hint="eastAsia" w:ascii="仿宋_GB2312" w:hAnsi="仿宋_GB2312" w:eastAsia="仿宋_GB2312" w:cs="仿宋_GB2312"/>
          <w:lang w:val="en-US" w:eastAsia="zh-CN"/>
        </w:rPr>
        <w:t>对内对外开放合作新空间不断拓展，加快构建具有富锦特色的现代化产业体系。</w:t>
      </w:r>
    </w:p>
    <w:p w14:paraId="0ED49F6F">
      <w:pPr>
        <w:bidi w:val="0"/>
        <w:rPr>
          <w:rFonts w:hint="eastAsia" w:ascii="仿宋_GB2312" w:hAnsi="仿宋_GB2312" w:eastAsia="仿宋_GB2312" w:cs="仿宋_GB2312"/>
          <w:lang w:val="en-US" w:eastAsia="zh-CN"/>
        </w:rPr>
      </w:pPr>
      <w:r>
        <w:rPr>
          <w:rFonts w:hint="eastAsia" w:ascii="仿宋_GB2312" w:hAnsi="仿宋_GB2312" w:eastAsia="仿宋_GB2312" w:cs="仿宋_GB2312"/>
          <w:b/>
          <w:bCs/>
        </w:rPr>
        <w:t>——</w:t>
      </w:r>
      <w:r>
        <w:rPr>
          <w:rFonts w:hint="eastAsia" w:ascii="仿宋_GB2312" w:hAnsi="仿宋_GB2312" w:eastAsia="仿宋_GB2312" w:cs="仿宋_GB2312"/>
          <w:b/>
          <w:bCs/>
          <w:lang w:val="en-US" w:eastAsia="zh-CN"/>
        </w:rPr>
        <w:t>建设“政治清明美好富锦”。</w:t>
      </w:r>
      <w:r>
        <w:rPr>
          <w:rFonts w:hint="eastAsia" w:ascii="仿宋_GB2312" w:hAnsi="仿宋_GB2312" w:eastAsia="仿宋_GB2312" w:cs="仿宋_GB2312"/>
          <w:lang w:val="en-US" w:eastAsia="zh-CN"/>
        </w:rPr>
        <w:t>党的领导和党的建设全面加强，各级党组织和党员干部政治判断力、政治领悟力、政治执行力不断提高，全面从严治党体系进一步健全，权力监督、执法执纪、风腐同查同治机制进一步完善，反腐败治理综合效能不断显现，干部队伍纪律规矩意识显著增强、能力作风全面提升、干事创业动力更加强劲，勤廉文化深入人心，社会新风正气更加充盈。</w:t>
      </w:r>
    </w:p>
    <w:p w14:paraId="273A7AB3">
      <w:pPr>
        <w:bidi w:val="0"/>
        <w:rPr>
          <w:rFonts w:hint="eastAsia" w:ascii="仿宋_GB2312" w:hAnsi="仿宋_GB2312" w:eastAsia="仿宋_GB2312" w:cs="仿宋_GB2312"/>
          <w:lang w:val="en-US" w:eastAsia="zh-CN"/>
        </w:rPr>
      </w:pPr>
      <w:r>
        <w:rPr>
          <w:rFonts w:hint="eastAsia" w:ascii="仿宋_GB2312" w:hAnsi="仿宋_GB2312" w:eastAsia="仿宋_GB2312" w:cs="仿宋_GB2312"/>
          <w:b/>
          <w:bCs/>
        </w:rPr>
        <w:t>——</w:t>
      </w:r>
      <w:r>
        <w:rPr>
          <w:rFonts w:hint="eastAsia" w:ascii="仿宋_GB2312" w:hAnsi="仿宋_GB2312" w:eastAsia="仿宋_GB2312" w:cs="仿宋_GB2312"/>
          <w:b/>
          <w:bCs/>
          <w:lang w:val="en-US" w:eastAsia="zh-CN"/>
        </w:rPr>
        <w:t>建设“文化繁荣美好富锦”。</w:t>
      </w:r>
      <w:r>
        <w:rPr>
          <w:rFonts w:hint="eastAsia" w:ascii="仿宋_GB2312" w:hAnsi="仿宋_GB2312" w:eastAsia="仿宋_GB2312" w:cs="仿宋_GB2312"/>
          <w:lang w:val="en-US" w:eastAsia="zh-CN"/>
        </w:rPr>
        <w:t>主流思想舆论不断巩固壮大，社会主义核心价值观广泛践行，文化创新创造活力不断激发，文化事业和文化产业繁荣发展，公共文化服务体系更加健全，人民群众精神文化生活更加丰富，城市知名度、美誉度、影响力不断提升，文化和旅游深度融合发展，特色文化旅游实现全域全季高质量发展。</w:t>
      </w:r>
    </w:p>
    <w:p w14:paraId="3D77C8A0">
      <w:pPr>
        <w:bidi w:val="0"/>
        <w:rPr>
          <w:rFonts w:hint="eastAsia" w:ascii="仿宋_GB2312" w:hAnsi="仿宋_GB2312" w:eastAsia="仿宋_GB2312" w:cs="仿宋_GB2312"/>
          <w:lang w:val="en-US" w:eastAsia="zh-CN"/>
        </w:rPr>
      </w:pPr>
      <w:r>
        <w:rPr>
          <w:rFonts w:hint="eastAsia" w:ascii="仿宋_GB2312" w:hAnsi="仿宋_GB2312" w:eastAsia="仿宋_GB2312" w:cs="仿宋_GB2312"/>
          <w:b/>
          <w:bCs/>
        </w:rPr>
        <w:t>——</w:t>
      </w:r>
      <w:r>
        <w:rPr>
          <w:rFonts w:hint="eastAsia" w:ascii="仿宋_GB2312" w:hAnsi="仿宋_GB2312" w:eastAsia="仿宋_GB2312" w:cs="仿宋_GB2312"/>
          <w:b/>
          <w:bCs/>
          <w:lang w:val="en-US" w:eastAsia="zh-CN"/>
        </w:rPr>
        <w:t>建设“社会和谐美好富锦”。</w:t>
      </w:r>
      <w:r>
        <w:rPr>
          <w:rFonts w:hint="eastAsia" w:ascii="仿宋_GB2312" w:hAnsi="仿宋_GB2312" w:eastAsia="仿宋_GB2312" w:cs="仿宋_GB2312"/>
          <w:lang w:val="en-US" w:eastAsia="zh-CN"/>
        </w:rPr>
        <w:t>依法治市深入推进，民主法治更加健全，社会公平正义进一步彰显，防范化解重大风险、保障安全发展、突发公共事件应急能力切实增强，社会治理和公共治理水平显著提升，自然灾害防御体系更加健全，“平安富锦”建设扎实推进，发展安全保障更加有力。</w:t>
      </w:r>
    </w:p>
    <w:p w14:paraId="77E06760">
      <w:pPr>
        <w:bidi w:val="0"/>
        <w:rPr>
          <w:rFonts w:hint="eastAsia" w:ascii="仿宋_GB2312" w:hAnsi="仿宋_GB2312" w:eastAsia="仿宋_GB2312" w:cs="仿宋_GB2312"/>
          <w:lang w:val="en-US" w:eastAsia="zh-CN"/>
        </w:rPr>
      </w:pPr>
      <w:r>
        <w:rPr>
          <w:rFonts w:hint="eastAsia" w:ascii="仿宋_GB2312" w:hAnsi="仿宋_GB2312" w:eastAsia="仿宋_GB2312" w:cs="仿宋_GB2312"/>
          <w:b/>
          <w:bCs/>
        </w:rPr>
        <w:t>——</w:t>
      </w:r>
      <w:r>
        <w:rPr>
          <w:rFonts w:hint="eastAsia" w:ascii="仿宋_GB2312" w:hAnsi="仿宋_GB2312" w:eastAsia="仿宋_GB2312" w:cs="仿宋_GB2312"/>
          <w:b/>
          <w:bCs/>
          <w:lang w:val="en-US" w:eastAsia="zh-CN"/>
        </w:rPr>
        <w:t>建设“生态宜居美好富锦”。</w:t>
      </w:r>
      <w:r>
        <w:rPr>
          <w:rFonts w:hint="eastAsia" w:ascii="仿宋_GB2312" w:hAnsi="仿宋_GB2312" w:eastAsia="仿宋_GB2312" w:cs="仿宋_GB2312"/>
          <w:lang w:val="en-US" w:eastAsia="zh-CN"/>
        </w:rPr>
        <w:t>大气污染治理、水环境质量改善、土壤污染防治成果得到巩固提升，主要污染物排放总量持续减少，生态保护修复全面加强，生态系统多样性稳定性持续性显著提升，区域空间开发保护格局持续优化，绿色生产生活方式基本形成，资源节约集约利用水平显著提高，生态产业化和产业生态化加快推进，生态价值加快转化，生态环保理念深入人心</w:t>
      </w:r>
      <w:r>
        <w:rPr>
          <w:rFonts w:hint="eastAsia" w:ascii="仿宋_GB2312" w:hAnsi="仿宋_GB2312" w:cs="仿宋_GB2312"/>
          <w:lang w:val="en-US" w:eastAsia="zh-CN"/>
        </w:rPr>
        <w:t>，单位GDP碳排放强度降低完成省市下达目标</w:t>
      </w:r>
      <w:r>
        <w:rPr>
          <w:rFonts w:hint="eastAsia" w:ascii="仿宋_GB2312" w:hAnsi="仿宋_GB2312" w:eastAsia="仿宋_GB2312" w:cs="仿宋_GB2312"/>
          <w:lang w:val="en-US" w:eastAsia="zh-CN"/>
        </w:rPr>
        <w:t>。</w:t>
      </w:r>
    </w:p>
    <w:p w14:paraId="11B60F96">
      <w:pPr>
        <w:bidi w:val="0"/>
        <w:rPr>
          <w:rFonts w:hint="eastAsia" w:ascii="仿宋_GB2312" w:hAnsi="仿宋_GB2312" w:eastAsia="仿宋_GB2312" w:cs="仿宋_GB2312"/>
          <w:lang w:val="en-US" w:eastAsia="zh-CN"/>
        </w:rPr>
      </w:pPr>
      <w:r>
        <w:rPr>
          <w:rFonts w:hint="eastAsia" w:ascii="仿宋_GB2312" w:hAnsi="仿宋_GB2312" w:eastAsia="仿宋_GB2312" w:cs="仿宋_GB2312"/>
          <w:b/>
          <w:bCs/>
        </w:rPr>
        <w:t>——</w:t>
      </w:r>
      <w:r>
        <w:rPr>
          <w:rFonts w:hint="eastAsia" w:ascii="仿宋_GB2312" w:hAnsi="仿宋_GB2312" w:eastAsia="仿宋_GB2312" w:cs="仿宋_GB2312"/>
          <w:b/>
          <w:bCs/>
          <w:lang w:val="en-US" w:eastAsia="zh-CN"/>
        </w:rPr>
        <w:t>建设“人民幸福美好富锦”。</w:t>
      </w:r>
      <w:r>
        <w:rPr>
          <w:rFonts w:hint="eastAsia" w:ascii="仿宋_GB2312" w:hAnsi="仿宋_GB2312" w:eastAsia="仿宋_GB2312" w:cs="仿宋_GB2312"/>
          <w:lang w:val="en-US" w:eastAsia="zh-CN"/>
        </w:rPr>
        <w:t>高质量充分就业取得新进展，城乡居民收入增长与经济增长保持同步，劳动报酬提高和劳动生产率提高同步，分配结构得到优化，中等收入群体持续扩大</w:t>
      </w:r>
      <w:r>
        <w:rPr>
          <w:rFonts w:hint="eastAsia" w:ascii="仿宋_GB2312" w:hAnsi="仿宋_GB2312" w:cs="仿宋_GB2312"/>
          <w:lang w:val="en-US" w:eastAsia="zh-CN"/>
        </w:rPr>
        <w:t>，居民人均可支配收入增速达到6%。</w:t>
      </w:r>
      <w:r>
        <w:rPr>
          <w:rFonts w:hint="eastAsia" w:ascii="仿宋_GB2312" w:hAnsi="仿宋_GB2312" w:eastAsia="仿宋_GB2312" w:cs="仿宋_GB2312"/>
          <w:lang w:val="en-US" w:eastAsia="zh-CN"/>
        </w:rPr>
        <w:t>社会保障制度更加优化更可持续，教育、医疗、社保、住房等公共服务体系更加健全，人民群众的获得感、幸福感显著增强</w:t>
      </w:r>
      <w:r>
        <w:rPr>
          <w:rFonts w:hint="eastAsia" w:ascii="仿宋_GB2312" w:hAnsi="仿宋_GB2312" w:cs="仿宋_GB2312"/>
          <w:lang w:val="en-US" w:eastAsia="zh-CN"/>
        </w:rPr>
        <w:t>，人均预期寿命达到80岁左右</w:t>
      </w:r>
      <w:r>
        <w:rPr>
          <w:rFonts w:hint="eastAsia" w:ascii="仿宋_GB2312" w:hAnsi="仿宋_GB2312" w:eastAsia="仿宋_GB2312" w:cs="仿宋_GB2312"/>
          <w:lang w:val="en-US" w:eastAsia="zh-CN"/>
        </w:rPr>
        <w:t>。</w:t>
      </w:r>
    </w:p>
    <w:p w14:paraId="558DA198">
      <w:pPr>
        <w:bidi w:val="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在此基础上再奋斗五年，到二〇三五年，我市经济实力、科技实力、综合实力取得新突破新跨越，与全国同步基本实现社会主义现代化，在全省发展大局中的地位更加彰显，形成发展质量更高、创新能力更强、营商环境更好、动力活力更足、生态环境更优、人民生活更幸福的现代化美好富锦新局面。</w:t>
      </w:r>
    </w:p>
    <w:p w14:paraId="4188A4FE">
      <w:pPr>
        <w:pStyle w:val="8"/>
        <w:keepNext w:val="0"/>
        <w:keepLines w:val="0"/>
        <w:pageBreakBefore w:val="0"/>
        <w:widowControl w:val="0"/>
        <w:kinsoku/>
        <w:wordWrap/>
        <w:overflowPunct/>
        <w:topLinePunct w:val="0"/>
        <w:autoSpaceDE/>
        <w:autoSpaceDN/>
        <w:bidi w:val="0"/>
        <w:adjustRightInd/>
        <w:snapToGrid/>
        <w:spacing w:after="120"/>
        <w:ind w:firstLine="0" w:firstLineChars="0"/>
        <w:jc w:val="center"/>
        <w:textAlignment w:val="auto"/>
        <w:rPr>
          <w:rFonts w:hint="eastAsia" w:ascii="黑体" w:hAnsi="黑体" w:eastAsia="黑体" w:cs="黑体"/>
          <w:b w:val="0"/>
          <w:bCs w:val="0"/>
          <w:sz w:val="24"/>
          <w:szCs w:val="24"/>
          <w:u w:val="none"/>
          <w:shd w:val="clear" w:fill="auto"/>
          <w:lang w:val="en-US" w:eastAsia="zh-CN"/>
        </w:rPr>
      </w:pPr>
      <w:r>
        <w:rPr>
          <w:rFonts w:hint="eastAsia" w:ascii="黑体" w:hAnsi="黑体" w:eastAsia="黑体" w:cs="黑体"/>
          <w:b w:val="0"/>
          <w:bCs w:val="0"/>
          <w:sz w:val="24"/>
          <w:szCs w:val="24"/>
          <w:u w:val="none"/>
          <w:shd w:val="clear" w:fill="auto"/>
          <w:lang w:val="en-US" w:eastAsia="zh-CN"/>
        </w:rPr>
        <w:t>表1</w:t>
      </w:r>
      <w:r>
        <w:rPr>
          <w:rFonts w:hint="eastAsia" w:ascii="黑体" w:hAnsi="黑体" w:eastAsia="黑体" w:cs="黑体"/>
          <w:b w:val="0"/>
          <w:bCs w:val="0"/>
          <w:sz w:val="24"/>
          <w:szCs w:val="24"/>
          <w:u w:val="none"/>
          <w:shd w:val="clear" w:fill="auto"/>
        </w:rPr>
        <w:t>富锦市“十五五”时期经济社会发展指标</w:t>
      </w:r>
      <w:r>
        <w:rPr>
          <w:rFonts w:hint="eastAsia" w:ascii="黑体" w:hAnsi="黑体" w:eastAsia="黑体" w:cs="黑体"/>
          <w:b w:val="0"/>
          <w:bCs w:val="0"/>
          <w:sz w:val="24"/>
          <w:szCs w:val="24"/>
          <w:u w:val="none"/>
          <w:shd w:val="clear" w:fill="auto"/>
          <w:lang w:val="en-US" w:eastAsia="zh-CN"/>
        </w:rPr>
        <w:t>体系</w:t>
      </w:r>
    </w:p>
    <w:tbl>
      <w:tblPr>
        <w:tblStyle w:val="19"/>
        <w:tblW w:w="80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12"/>
        <w:gridCol w:w="472"/>
        <w:gridCol w:w="1776"/>
        <w:gridCol w:w="1777"/>
        <w:gridCol w:w="1041"/>
        <w:gridCol w:w="1350"/>
        <w:gridCol w:w="1155"/>
      </w:tblGrid>
      <w:tr w14:paraId="726E4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tblHeader/>
          <w:jc w:val="center"/>
        </w:trPr>
        <w:tc>
          <w:tcPr>
            <w:tcW w:w="512" w:type="dxa"/>
            <w:noWrap/>
            <w:tcMar>
              <w:top w:w="15" w:type="dxa"/>
              <w:left w:w="15" w:type="dxa"/>
              <w:bottom w:w="0" w:type="dxa"/>
              <w:right w:w="15" w:type="dxa"/>
            </w:tcMar>
            <w:vAlign w:val="center"/>
          </w:tcPr>
          <w:p w14:paraId="5A102F40">
            <w:pPr>
              <w:pStyle w:val="8"/>
              <w:spacing w:after="0" w:line="240" w:lineRule="auto"/>
              <w:ind w:firstLine="0" w:firstLineChars="0"/>
              <w:jc w:val="center"/>
              <w:rPr>
                <w:rFonts w:hint="eastAsia" w:ascii="楷体_GB2312" w:hAnsi="楷体_GB2312" w:eastAsia="楷体_GB2312" w:cs="楷体_GB2312"/>
                <w:b/>
                <w:bCs/>
                <w:sz w:val="22"/>
                <w:szCs w:val="22"/>
                <w:u w:val="none"/>
                <w:shd w:val="clear" w:fill="auto"/>
              </w:rPr>
            </w:pPr>
            <w:r>
              <w:rPr>
                <w:rFonts w:hint="eastAsia" w:ascii="楷体_GB2312" w:hAnsi="楷体_GB2312" w:eastAsia="楷体_GB2312" w:cs="楷体_GB2312"/>
                <w:b/>
                <w:bCs/>
                <w:sz w:val="22"/>
                <w:szCs w:val="22"/>
                <w:u w:val="none"/>
                <w:shd w:val="clear" w:fill="auto"/>
              </w:rPr>
              <w:t>类别</w:t>
            </w:r>
          </w:p>
        </w:tc>
        <w:tc>
          <w:tcPr>
            <w:tcW w:w="472" w:type="dxa"/>
            <w:noWrap/>
            <w:tcMar>
              <w:top w:w="15" w:type="dxa"/>
              <w:left w:w="15" w:type="dxa"/>
              <w:bottom w:w="0" w:type="dxa"/>
              <w:right w:w="15" w:type="dxa"/>
            </w:tcMar>
            <w:vAlign w:val="center"/>
          </w:tcPr>
          <w:p w14:paraId="50BE1573">
            <w:pPr>
              <w:pStyle w:val="8"/>
              <w:spacing w:after="0" w:line="240" w:lineRule="auto"/>
              <w:ind w:firstLine="0" w:firstLineChars="0"/>
              <w:jc w:val="center"/>
              <w:rPr>
                <w:rFonts w:hint="eastAsia" w:ascii="楷体_GB2312" w:hAnsi="楷体_GB2312" w:eastAsia="楷体_GB2312" w:cs="楷体_GB2312"/>
                <w:b/>
                <w:bCs/>
                <w:sz w:val="22"/>
                <w:szCs w:val="22"/>
                <w:u w:val="none"/>
                <w:shd w:val="clear" w:fill="auto"/>
              </w:rPr>
            </w:pPr>
            <w:r>
              <w:rPr>
                <w:rFonts w:hint="eastAsia" w:ascii="楷体_GB2312" w:hAnsi="楷体_GB2312" w:eastAsia="楷体_GB2312" w:cs="楷体_GB2312"/>
                <w:b/>
                <w:bCs/>
                <w:sz w:val="22"/>
                <w:szCs w:val="22"/>
                <w:u w:val="none"/>
                <w:shd w:val="clear" w:fill="auto"/>
              </w:rPr>
              <w:t>序号</w:t>
            </w:r>
          </w:p>
        </w:tc>
        <w:tc>
          <w:tcPr>
            <w:tcW w:w="3553" w:type="dxa"/>
            <w:gridSpan w:val="2"/>
            <w:noWrap/>
            <w:tcMar>
              <w:top w:w="15" w:type="dxa"/>
              <w:left w:w="15" w:type="dxa"/>
              <w:bottom w:w="0" w:type="dxa"/>
              <w:right w:w="15" w:type="dxa"/>
            </w:tcMar>
            <w:vAlign w:val="center"/>
          </w:tcPr>
          <w:p w14:paraId="1AF9B33F">
            <w:pPr>
              <w:pStyle w:val="8"/>
              <w:spacing w:after="0" w:line="240" w:lineRule="auto"/>
              <w:ind w:firstLine="0" w:firstLineChars="0"/>
              <w:jc w:val="center"/>
              <w:rPr>
                <w:rFonts w:hint="eastAsia" w:ascii="楷体_GB2312" w:hAnsi="楷体_GB2312" w:eastAsia="楷体_GB2312" w:cs="楷体_GB2312"/>
                <w:b/>
                <w:bCs/>
                <w:sz w:val="22"/>
                <w:szCs w:val="22"/>
                <w:u w:val="none"/>
                <w:shd w:val="clear" w:fill="auto"/>
              </w:rPr>
            </w:pPr>
            <w:r>
              <w:rPr>
                <w:rFonts w:hint="eastAsia" w:ascii="楷体_GB2312" w:hAnsi="楷体_GB2312" w:eastAsia="楷体_GB2312" w:cs="楷体_GB2312"/>
                <w:b/>
                <w:bCs/>
                <w:sz w:val="22"/>
                <w:szCs w:val="22"/>
                <w:u w:val="none"/>
                <w:shd w:val="clear" w:fill="auto"/>
              </w:rPr>
              <w:t>指标</w:t>
            </w:r>
          </w:p>
        </w:tc>
        <w:tc>
          <w:tcPr>
            <w:tcW w:w="1041" w:type="dxa"/>
            <w:noWrap/>
            <w:tcMar>
              <w:top w:w="15" w:type="dxa"/>
              <w:left w:w="15" w:type="dxa"/>
              <w:bottom w:w="0" w:type="dxa"/>
              <w:right w:w="15" w:type="dxa"/>
            </w:tcMar>
            <w:vAlign w:val="center"/>
          </w:tcPr>
          <w:p w14:paraId="560B8B54">
            <w:pPr>
              <w:pStyle w:val="8"/>
              <w:spacing w:after="0" w:line="240" w:lineRule="auto"/>
              <w:ind w:firstLine="0" w:firstLineChars="0"/>
              <w:jc w:val="center"/>
              <w:rPr>
                <w:rFonts w:hint="eastAsia" w:ascii="楷体_GB2312" w:hAnsi="楷体_GB2312" w:eastAsia="楷体_GB2312" w:cs="楷体_GB2312"/>
                <w:b/>
                <w:bCs/>
                <w:sz w:val="22"/>
                <w:szCs w:val="22"/>
                <w:u w:val="none"/>
                <w:shd w:val="clear" w:fill="auto"/>
                <w:lang w:val="en-US" w:eastAsia="zh-CN"/>
              </w:rPr>
            </w:pPr>
            <w:r>
              <w:rPr>
                <w:rFonts w:hint="eastAsia" w:ascii="楷体_GB2312" w:hAnsi="楷体_GB2312" w:eastAsia="楷体_GB2312" w:cs="楷体_GB2312"/>
                <w:b/>
                <w:bCs/>
                <w:sz w:val="22"/>
                <w:szCs w:val="22"/>
                <w:u w:val="none"/>
                <w:shd w:val="clear" w:fill="auto"/>
              </w:rPr>
              <w:t>2030年</w:t>
            </w:r>
          </w:p>
        </w:tc>
        <w:tc>
          <w:tcPr>
            <w:tcW w:w="1350" w:type="dxa"/>
            <w:tcMar>
              <w:top w:w="15" w:type="dxa"/>
              <w:left w:w="15" w:type="dxa"/>
              <w:bottom w:w="0" w:type="dxa"/>
              <w:right w:w="15" w:type="dxa"/>
            </w:tcMar>
            <w:vAlign w:val="center"/>
          </w:tcPr>
          <w:p w14:paraId="577C5DC2">
            <w:pPr>
              <w:pStyle w:val="8"/>
              <w:spacing w:after="0" w:line="240" w:lineRule="auto"/>
              <w:ind w:firstLine="0" w:firstLineChars="0"/>
              <w:jc w:val="center"/>
              <w:rPr>
                <w:rFonts w:hint="default" w:ascii="楷体_GB2312" w:hAnsi="楷体_GB2312" w:eastAsia="楷体_GB2312" w:cs="楷体_GB2312"/>
                <w:b/>
                <w:bCs/>
                <w:sz w:val="22"/>
                <w:szCs w:val="22"/>
                <w:u w:val="none"/>
                <w:shd w:val="clear" w:fill="auto"/>
                <w:lang w:val="en-US" w:eastAsia="zh-CN"/>
              </w:rPr>
            </w:pPr>
            <w:r>
              <w:rPr>
                <w:rFonts w:hint="eastAsia" w:ascii="楷体_GB2312" w:hAnsi="楷体_GB2312" w:eastAsia="楷体_GB2312" w:cs="楷体_GB2312"/>
                <w:b/>
                <w:bCs/>
                <w:sz w:val="22"/>
                <w:szCs w:val="22"/>
                <w:u w:val="none"/>
                <w:shd w:val="clear" w:fill="auto"/>
              </w:rPr>
              <w:t>年均</w:t>
            </w:r>
            <w:r>
              <w:rPr>
                <w:rFonts w:hint="eastAsia" w:ascii="楷体_GB2312" w:hAnsi="楷体_GB2312" w:cs="楷体_GB2312"/>
                <w:b/>
                <w:bCs/>
                <w:sz w:val="22"/>
                <w:szCs w:val="22"/>
                <w:u w:val="none"/>
                <w:shd w:val="clear" w:fill="auto"/>
                <w:lang w:val="en-US" w:eastAsia="zh-CN"/>
              </w:rPr>
              <w:t>/累计</w:t>
            </w:r>
          </w:p>
        </w:tc>
        <w:tc>
          <w:tcPr>
            <w:tcW w:w="1155" w:type="dxa"/>
            <w:noWrap/>
            <w:tcMar>
              <w:top w:w="15" w:type="dxa"/>
              <w:left w:w="15" w:type="dxa"/>
              <w:bottom w:w="0" w:type="dxa"/>
              <w:right w:w="15" w:type="dxa"/>
            </w:tcMar>
            <w:vAlign w:val="center"/>
          </w:tcPr>
          <w:p w14:paraId="4D3EE21B">
            <w:pPr>
              <w:pStyle w:val="8"/>
              <w:spacing w:after="0" w:line="240" w:lineRule="auto"/>
              <w:ind w:firstLine="0" w:firstLineChars="0"/>
              <w:jc w:val="center"/>
              <w:rPr>
                <w:rFonts w:hint="eastAsia" w:ascii="楷体_GB2312" w:hAnsi="楷体_GB2312" w:eastAsia="楷体_GB2312" w:cs="楷体_GB2312"/>
                <w:b/>
                <w:bCs/>
                <w:sz w:val="22"/>
                <w:szCs w:val="22"/>
                <w:u w:val="none"/>
                <w:shd w:val="clear" w:fill="auto"/>
              </w:rPr>
            </w:pPr>
            <w:r>
              <w:rPr>
                <w:rFonts w:hint="eastAsia" w:ascii="楷体_GB2312" w:hAnsi="楷体_GB2312" w:eastAsia="楷体_GB2312" w:cs="楷体_GB2312"/>
                <w:b/>
                <w:bCs/>
                <w:sz w:val="22"/>
                <w:szCs w:val="22"/>
                <w:u w:val="none"/>
                <w:shd w:val="clear" w:fill="auto"/>
              </w:rPr>
              <w:t>属性</w:t>
            </w:r>
          </w:p>
        </w:tc>
      </w:tr>
      <w:tr w14:paraId="7AEC9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512" w:type="dxa"/>
            <w:vMerge w:val="restart"/>
            <w:noWrap/>
            <w:tcMar>
              <w:top w:w="15" w:type="dxa"/>
              <w:left w:w="15" w:type="dxa"/>
              <w:bottom w:w="0" w:type="dxa"/>
              <w:right w:w="15" w:type="dxa"/>
            </w:tcMar>
            <w:vAlign w:val="center"/>
          </w:tcPr>
          <w:p w14:paraId="2533835B">
            <w:pPr>
              <w:pStyle w:val="8"/>
              <w:spacing w:after="0" w:line="240" w:lineRule="auto"/>
              <w:ind w:firstLine="0" w:firstLineChars="0"/>
              <w:jc w:val="center"/>
              <w:rPr>
                <w:rFonts w:hint="eastAsia" w:ascii="楷体_GB2312" w:hAnsi="楷体_GB2312" w:eastAsia="楷体_GB2312" w:cs="楷体_GB2312"/>
                <w:b/>
                <w:bCs/>
                <w:sz w:val="24"/>
                <w:szCs w:val="24"/>
                <w:u w:val="none"/>
                <w:shd w:val="clear" w:fill="auto"/>
              </w:rPr>
            </w:pPr>
            <w:r>
              <w:rPr>
                <w:rFonts w:hint="eastAsia" w:ascii="楷体_GB2312" w:hAnsi="楷体_GB2312" w:eastAsia="楷体_GB2312" w:cs="楷体_GB2312"/>
                <w:b/>
                <w:bCs/>
                <w:sz w:val="24"/>
                <w:szCs w:val="24"/>
                <w:u w:val="none"/>
                <w:shd w:val="clear" w:fill="auto"/>
              </w:rPr>
              <w:t>经济</w:t>
            </w:r>
          </w:p>
          <w:p w14:paraId="44957A72">
            <w:pPr>
              <w:pStyle w:val="8"/>
              <w:spacing w:after="0" w:line="240" w:lineRule="auto"/>
              <w:ind w:firstLine="0" w:firstLineChars="0"/>
              <w:jc w:val="center"/>
              <w:rPr>
                <w:rFonts w:hint="eastAsia" w:ascii="楷体_GB2312" w:hAnsi="楷体_GB2312" w:eastAsia="楷体_GB2312" w:cs="楷体_GB2312"/>
                <w:b/>
                <w:bCs/>
                <w:sz w:val="24"/>
                <w:szCs w:val="24"/>
                <w:u w:val="none"/>
                <w:shd w:val="clear" w:fill="auto"/>
              </w:rPr>
            </w:pPr>
            <w:r>
              <w:rPr>
                <w:rFonts w:hint="eastAsia" w:ascii="楷体_GB2312" w:hAnsi="楷体_GB2312" w:eastAsia="楷体_GB2312" w:cs="楷体_GB2312"/>
                <w:b/>
                <w:bCs/>
                <w:sz w:val="24"/>
                <w:szCs w:val="24"/>
                <w:u w:val="none"/>
                <w:shd w:val="clear" w:fill="auto"/>
              </w:rPr>
              <w:t>发展</w:t>
            </w:r>
          </w:p>
        </w:tc>
        <w:tc>
          <w:tcPr>
            <w:tcW w:w="472" w:type="dxa"/>
            <w:tcMar>
              <w:top w:w="15" w:type="dxa"/>
              <w:left w:w="15" w:type="dxa"/>
              <w:bottom w:w="0" w:type="dxa"/>
              <w:right w:w="15" w:type="dxa"/>
            </w:tcMar>
            <w:vAlign w:val="center"/>
          </w:tcPr>
          <w:p w14:paraId="52F58F29">
            <w:pPr>
              <w:pStyle w:val="8"/>
              <w:numPr>
                <w:ilvl w:val="0"/>
                <w:numId w:val="0"/>
              </w:numPr>
              <w:spacing w:after="0" w:line="240" w:lineRule="auto"/>
              <w:ind w:left="0" w:leftChars="0" w:firstLine="0" w:firstLineChars="0"/>
              <w:jc w:val="center"/>
              <w:rPr>
                <w:sz w:val="21"/>
                <w:szCs w:val="21"/>
                <w:u w:val="none"/>
                <w:shd w:val="clear" w:fill="auto"/>
              </w:rPr>
            </w:pPr>
            <w:r>
              <w:rPr>
                <w:rFonts w:hint="eastAsia" w:eastAsia="楷体_GB2312" w:asciiTheme="minorAscii" w:hAnsiTheme="minorAscii" w:cstheme="minorBidi"/>
                <w:kern w:val="0"/>
                <w:sz w:val="21"/>
                <w:szCs w:val="21"/>
                <w:shd w:val="clear" w:fill="auto"/>
                <w:lang w:val="en-US" w:eastAsia="zh-CN" w:bidi="ar-SA"/>
              </w:rPr>
              <w:t>1</w:t>
            </w:r>
          </w:p>
        </w:tc>
        <w:tc>
          <w:tcPr>
            <w:tcW w:w="3553" w:type="dxa"/>
            <w:gridSpan w:val="2"/>
            <w:tcMar>
              <w:top w:w="15" w:type="dxa"/>
              <w:left w:w="15" w:type="dxa"/>
              <w:bottom w:w="0" w:type="dxa"/>
              <w:right w:w="15" w:type="dxa"/>
            </w:tcMar>
            <w:vAlign w:val="center"/>
          </w:tcPr>
          <w:p w14:paraId="77F38D2F">
            <w:pPr>
              <w:pStyle w:val="8"/>
              <w:spacing w:after="0" w:line="240" w:lineRule="auto"/>
              <w:ind w:firstLine="0" w:firstLineChars="0"/>
              <w:rPr>
                <w:rFonts w:hint="eastAsia" w:eastAsia="楷体_GB2312"/>
                <w:sz w:val="21"/>
                <w:szCs w:val="21"/>
                <w:u w:val="none"/>
                <w:shd w:val="clear" w:fill="auto"/>
                <w:lang w:val="en-US" w:eastAsia="zh-CN"/>
              </w:rPr>
            </w:pPr>
            <w:r>
              <w:rPr>
                <w:rFonts w:hint="eastAsia"/>
                <w:sz w:val="21"/>
                <w:szCs w:val="21"/>
                <w:u w:val="none"/>
                <w:shd w:val="clear" w:fill="auto"/>
              </w:rPr>
              <w:t>地区生产总值</w:t>
            </w:r>
            <w:r>
              <w:rPr>
                <w:rFonts w:hint="eastAsia"/>
                <w:sz w:val="21"/>
                <w:szCs w:val="21"/>
                <w:u w:val="none"/>
                <w:shd w:val="clear" w:fill="auto"/>
                <w:lang w:eastAsia="zh-CN"/>
              </w:rPr>
              <w:t>（</w:t>
            </w:r>
            <w:r>
              <w:rPr>
                <w:rFonts w:hint="eastAsia"/>
                <w:sz w:val="21"/>
                <w:szCs w:val="21"/>
                <w:u w:val="none"/>
                <w:shd w:val="clear" w:fill="auto"/>
                <w:lang w:val="en-US" w:eastAsia="zh-CN"/>
              </w:rPr>
              <w:t>GDP</w:t>
            </w:r>
            <w:r>
              <w:rPr>
                <w:rFonts w:hint="eastAsia"/>
                <w:sz w:val="21"/>
                <w:szCs w:val="21"/>
                <w:u w:val="none"/>
                <w:shd w:val="clear" w:fill="auto"/>
                <w:lang w:eastAsia="zh-CN"/>
              </w:rPr>
              <w:t>）</w:t>
            </w:r>
            <w:r>
              <w:rPr>
                <w:rFonts w:hint="eastAsia"/>
                <w:sz w:val="21"/>
                <w:szCs w:val="21"/>
                <w:u w:val="none"/>
                <w:shd w:val="clear" w:fill="auto"/>
                <w:lang w:val="en-US" w:eastAsia="zh-CN"/>
              </w:rPr>
              <w:t>增长（%）</w:t>
            </w:r>
          </w:p>
        </w:tc>
        <w:tc>
          <w:tcPr>
            <w:tcW w:w="1041" w:type="dxa"/>
            <w:noWrap/>
            <w:tcMar>
              <w:top w:w="15" w:type="dxa"/>
              <w:left w:w="15" w:type="dxa"/>
              <w:bottom w:w="0" w:type="dxa"/>
              <w:right w:w="15" w:type="dxa"/>
            </w:tcMar>
            <w:vAlign w:val="center"/>
          </w:tcPr>
          <w:p w14:paraId="375B0884">
            <w:pPr>
              <w:pStyle w:val="8"/>
              <w:spacing w:after="0" w:line="240" w:lineRule="auto"/>
              <w:ind w:firstLine="0" w:firstLineChars="0"/>
              <w:jc w:val="center"/>
              <w:rPr>
                <w:rFonts w:hint="default" w:eastAsia="仿宋_GB2312"/>
                <w:color w:val="auto"/>
                <w:sz w:val="21"/>
                <w:szCs w:val="21"/>
                <w:u w:val="none"/>
                <w:shd w:val="clear" w:fill="auto"/>
                <w:lang w:val="en-US" w:eastAsia="zh-CN"/>
              </w:rPr>
            </w:pPr>
            <w:r>
              <w:rPr>
                <w:rFonts w:hint="eastAsia" w:eastAsia="仿宋_GB2312"/>
                <w:color w:val="auto"/>
                <w:sz w:val="21"/>
                <w:szCs w:val="21"/>
                <w:u w:val="none"/>
                <w:shd w:val="clear" w:fill="auto"/>
                <w:lang w:val="en-US" w:eastAsia="zh-CN"/>
              </w:rPr>
              <w:t>——</w:t>
            </w:r>
          </w:p>
        </w:tc>
        <w:tc>
          <w:tcPr>
            <w:tcW w:w="1350" w:type="dxa"/>
            <w:noWrap/>
            <w:tcMar>
              <w:top w:w="15" w:type="dxa"/>
              <w:left w:w="15" w:type="dxa"/>
              <w:bottom w:w="0" w:type="dxa"/>
              <w:right w:w="15" w:type="dxa"/>
            </w:tcMar>
            <w:vAlign w:val="center"/>
          </w:tcPr>
          <w:p w14:paraId="10CEDA0F">
            <w:pPr>
              <w:pStyle w:val="8"/>
              <w:spacing w:after="0" w:line="240" w:lineRule="auto"/>
              <w:ind w:firstLine="0" w:firstLineChars="0"/>
              <w:jc w:val="center"/>
              <w:rPr>
                <w:rFonts w:hint="default" w:eastAsia="仿宋_GB2312"/>
                <w:color w:val="auto"/>
                <w:sz w:val="21"/>
                <w:szCs w:val="21"/>
                <w:u w:val="none"/>
                <w:shd w:val="clear" w:fill="auto"/>
                <w:lang w:val="en-US" w:eastAsia="zh-CN"/>
              </w:rPr>
            </w:pPr>
            <w:r>
              <w:rPr>
                <w:rFonts w:hint="eastAsia" w:eastAsia="仿宋_GB2312"/>
                <w:color w:val="auto"/>
                <w:sz w:val="21"/>
                <w:szCs w:val="21"/>
                <w:u w:val="none"/>
                <w:shd w:val="clear" w:fill="auto"/>
                <w:lang w:val="en-US" w:eastAsia="zh-CN"/>
              </w:rPr>
              <w:t>6</w:t>
            </w:r>
          </w:p>
        </w:tc>
        <w:tc>
          <w:tcPr>
            <w:tcW w:w="1155" w:type="dxa"/>
            <w:noWrap/>
            <w:tcMar>
              <w:top w:w="15" w:type="dxa"/>
              <w:left w:w="15" w:type="dxa"/>
              <w:bottom w:w="0" w:type="dxa"/>
              <w:right w:w="15" w:type="dxa"/>
            </w:tcMar>
            <w:vAlign w:val="center"/>
          </w:tcPr>
          <w:p w14:paraId="4AA9C86C">
            <w:pPr>
              <w:pStyle w:val="8"/>
              <w:spacing w:after="0" w:line="240" w:lineRule="auto"/>
              <w:ind w:firstLine="0" w:firstLineChars="0"/>
              <w:jc w:val="center"/>
              <w:rPr>
                <w:sz w:val="21"/>
                <w:szCs w:val="21"/>
                <w:u w:val="none"/>
                <w:shd w:val="clear" w:fill="auto"/>
              </w:rPr>
            </w:pPr>
            <w:r>
              <w:rPr>
                <w:rFonts w:hint="eastAsia"/>
                <w:sz w:val="21"/>
                <w:szCs w:val="21"/>
                <w:u w:val="none"/>
                <w:shd w:val="clear" w:fill="auto"/>
              </w:rPr>
              <w:t>预期性</w:t>
            </w:r>
          </w:p>
        </w:tc>
      </w:tr>
      <w:tr w14:paraId="3CEC7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512" w:type="dxa"/>
            <w:vMerge w:val="continue"/>
            <w:noWrap/>
            <w:tcMar>
              <w:top w:w="15" w:type="dxa"/>
              <w:left w:w="15" w:type="dxa"/>
              <w:bottom w:w="0" w:type="dxa"/>
              <w:right w:w="15" w:type="dxa"/>
            </w:tcMar>
            <w:vAlign w:val="center"/>
          </w:tcPr>
          <w:p w14:paraId="2A5C3C79">
            <w:pPr>
              <w:pStyle w:val="8"/>
              <w:spacing w:after="0" w:line="240" w:lineRule="auto"/>
              <w:ind w:firstLine="0" w:firstLineChars="0"/>
              <w:jc w:val="center"/>
              <w:rPr>
                <w:rFonts w:hint="eastAsia" w:ascii="楷体_GB2312" w:hAnsi="楷体_GB2312" w:eastAsia="楷体_GB2312" w:cs="楷体_GB2312"/>
                <w:b/>
                <w:bCs/>
                <w:sz w:val="24"/>
                <w:szCs w:val="24"/>
                <w:u w:val="none"/>
                <w:shd w:val="clear" w:fill="auto"/>
              </w:rPr>
            </w:pPr>
          </w:p>
        </w:tc>
        <w:tc>
          <w:tcPr>
            <w:tcW w:w="472" w:type="dxa"/>
            <w:tcMar>
              <w:top w:w="15" w:type="dxa"/>
              <w:left w:w="15" w:type="dxa"/>
              <w:bottom w:w="0" w:type="dxa"/>
              <w:right w:w="15" w:type="dxa"/>
            </w:tcMar>
            <w:vAlign w:val="center"/>
          </w:tcPr>
          <w:p w14:paraId="60959E8C">
            <w:pPr>
              <w:pStyle w:val="8"/>
              <w:numPr>
                <w:ilvl w:val="0"/>
                <w:numId w:val="0"/>
              </w:numPr>
              <w:spacing w:after="0" w:line="240" w:lineRule="auto"/>
              <w:ind w:left="0" w:leftChars="0" w:firstLine="0" w:firstLineChars="0"/>
              <w:jc w:val="center"/>
              <w:rPr>
                <w:sz w:val="21"/>
                <w:szCs w:val="21"/>
                <w:u w:val="none"/>
                <w:shd w:val="clear" w:fill="auto"/>
              </w:rPr>
            </w:pPr>
            <w:r>
              <w:rPr>
                <w:rFonts w:hint="eastAsia" w:eastAsia="楷体_GB2312" w:asciiTheme="minorAscii" w:hAnsiTheme="minorAscii" w:cstheme="minorBidi"/>
                <w:kern w:val="0"/>
                <w:sz w:val="21"/>
                <w:szCs w:val="21"/>
                <w:shd w:val="clear" w:fill="auto"/>
                <w:lang w:val="en-US" w:eastAsia="zh-CN" w:bidi="ar-SA"/>
              </w:rPr>
              <w:t>2</w:t>
            </w:r>
          </w:p>
        </w:tc>
        <w:tc>
          <w:tcPr>
            <w:tcW w:w="3553" w:type="dxa"/>
            <w:gridSpan w:val="2"/>
            <w:tcMar>
              <w:top w:w="15" w:type="dxa"/>
              <w:left w:w="15" w:type="dxa"/>
              <w:bottom w:w="0" w:type="dxa"/>
              <w:right w:w="15" w:type="dxa"/>
            </w:tcMar>
            <w:vAlign w:val="center"/>
          </w:tcPr>
          <w:p w14:paraId="14A5E039">
            <w:pPr>
              <w:pStyle w:val="8"/>
              <w:numPr>
                <w:ilvl w:val="0"/>
                <w:numId w:val="0"/>
              </w:numPr>
              <w:spacing w:after="0" w:line="240" w:lineRule="auto"/>
              <w:ind w:left="0" w:leftChars="0" w:firstLine="0" w:firstLineChars="0"/>
              <w:jc w:val="both"/>
              <w:rPr>
                <w:rFonts w:hint="default" w:eastAsia="楷体_GB2312"/>
                <w:sz w:val="21"/>
                <w:szCs w:val="21"/>
                <w:u w:val="none"/>
                <w:shd w:val="clear" w:fill="auto"/>
                <w:lang w:val="en-US" w:eastAsia="zh-CN"/>
              </w:rPr>
            </w:pPr>
            <w:r>
              <w:rPr>
                <w:rFonts w:hint="eastAsia"/>
                <w:sz w:val="21"/>
                <w:szCs w:val="21"/>
                <w:u w:val="none"/>
                <w:shd w:val="clear" w:fill="auto"/>
                <w:lang w:val="en-US" w:eastAsia="zh-CN"/>
              </w:rPr>
              <w:t>规模以上制造业增加值（%）</w:t>
            </w:r>
          </w:p>
        </w:tc>
        <w:tc>
          <w:tcPr>
            <w:tcW w:w="1041" w:type="dxa"/>
            <w:noWrap/>
            <w:tcMar>
              <w:top w:w="15" w:type="dxa"/>
              <w:left w:w="15" w:type="dxa"/>
              <w:bottom w:w="0" w:type="dxa"/>
              <w:right w:w="15" w:type="dxa"/>
            </w:tcMar>
            <w:vAlign w:val="center"/>
          </w:tcPr>
          <w:p w14:paraId="463E236C">
            <w:pPr>
              <w:pStyle w:val="8"/>
              <w:spacing w:after="0" w:line="240" w:lineRule="auto"/>
              <w:ind w:firstLine="0" w:firstLineChars="0"/>
              <w:jc w:val="center"/>
              <w:rPr>
                <w:rFonts w:hint="default" w:eastAsia="仿宋_GB2312"/>
                <w:color w:val="auto"/>
                <w:sz w:val="21"/>
                <w:szCs w:val="21"/>
                <w:u w:val="none"/>
                <w:shd w:val="clear" w:fill="auto"/>
                <w:lang w:val="en-US" w:eastAsia="zh-CN"/>
              </w:rPr>
            </w:pPr>
            <w:r>
              <w:rPr>
                <w:rFonts w:hint="eastAsia" w:eastAsia="仿宋_GB2312"/>
                <w:color w:val="auto"/>
                <w:sz w:val="21"/>
                <w:szCs w:val="21"/>
                <w:u w:val="none"/>
                <w:shd w:val="clear" w:fill="auto"/>
                <w:lang w:val="en-US" w:eastAsia="zh-CN"/>
              </w:rPr>
              <w:t>——</w:t>
            </w:r>
          </w:p>
        </w:tc>
        <w:tc>
          <w:tcPr>
            <w:tcW w:w="1350" w:type="dxa"/>
            <w:noWrap/>
            <w:tcMar>
              <w:top w:w="15" w:type="dxa"/>
              <w:left w:w="15" w:type="dxa"/>
              <w:bottom w:w="0" w:type="dxa"/>
              <w:right w:w="15" w:type="dxa"/>
            </w:tcMar>
            <w:vAlign w:val="center"/>
          </w:tcPr>
          <w:p w14:paraId="27566A4B">
            <w:pPr>
              <w:pStyle w:val="8"/>
              <w:spacing w:after="0" w:line="240" w:lineRule="auto"/>
              <w:ind w:firstLine="0" w:firstLineChars="0"/>
              <w:jc w:val="center"/>
              <w:rPr>
                <w:rFonts w:hint="default" w:eastAsia="仿宋_GB2312"/>
                <w:color w:val="auto"/>
                <w:sz w:val="21"/>
                <w:szCs w:val="21"/>
                <w:u w:val="none"/>
                <w:shd w:val="clear" w:fill="auto"/>
                <w:lang w:val="en-US" w:eastAsia="zh-CN"/>
              </w:rPr>
            </w:pPr>
            <w:r>
              <w:rPr>
                <w:rFonts w:hint="eastAsia" w:eastAsia="仿宋_GB2312"/>
                <w:color w:val="auto"/>
                <w:sz w:val="21"/>
                <w:szCs w:val="21"/>
                <w:u w:val="none"/>
                <w:shd w:val="clear" w:fill="auto"/>
                <w:lang w:val="en-US" w:eastAsia="zh-CN"/>
              </w:rPr>
              <w:t>5</w:t>
            </w:r>
          </w:p>
        </w:tc>
        <w:tc>
          <w:tcPr>
            <w:tcW w:w="1155" w:type="dxa"/>
            <w:noWrap/>
            <w:tcMar>
              <w:top w:w="15" w:type="dxa"/>
              <w:left w:w="15" w:type="dxa"/>
              <w:bottom w:w="0" w:type="dxa"/>
              <w:right w:w="15" w:type="dxa"/>
            </w:tcMar>
            <w:vAlign w:val="center"/>
          </w:tcPr>
          <w:p w14:paraId="58BA43DB">
            <w:pPr>
              <w:pStyle w:val="8"/>
              <w:spacing w:after="0" w:line="240" w:lineRule="auto"/>
              <w:ind w:firstLine="0" w:firstLineChars="0"/>
              <w:jc w:val="center"/>
              <w:rPr>
                <w:rFonts w:hint="eastAsia" w:eastAsia="楷体_GB2312"/>
                <w:sz w:val="21"/>
                <w:szCs w:val="21"/>
                <w:u w:val="none"/>
                <w:shd w:val="clear" w:fill="auto"/>
                <w:lang w:val="en-US" w:eastAsia="zh-CN"/>
              </w:rPr>
            </w:pPr>
            <w:r>
              <w:rPr>
                <w:rFonts w:hint="eastAsia"/>
                <w:sz w:val="21"/>
                <w:szCs w:val="21"/>
                <w:u w:val="none"/>
                <w:shd w:val="clear" w:fill="auto"/>
              </w:rPr>
              <w:t>预期性</w:t>
            </w:r>
          </w:p>
        </w:tc>
      </w:tr>
      <w:tr w14:paraId="46D9C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512" w:type="dxa"/>
            <w:vMerge w:val="continue"/>
            <w:noWrap/>
            <w:tcMar>
              <w:top w:w="15" w:type="dxa"/>
              <w:left w:w="15" w:type="dxa"/>
              <w:bottom w:w="0" w:type="dxa"/>
              <w:right w:w="15" w:type="dxa"/>
            </w:tcMar>
            <w:vAlign w:val="center"/>
          </w:tcPr>
          <w:p w14:paraId="7DF18364">
            <w:pPr>
              <w:pStyle w:val="8"/>
              <w:spacing w:after="0" w:line="240" w:lineRule="auto"/>
              <w:ind w:firstLine="0" w:firstLineChars="0"/>
              <w:jc w:val="center"/>
              <w:rPr>
                <w:rFonts w:hint="eastAsia" w:ascii="楷体_GB2312" w:hAnsi="楷体_GB2312" w:eastAsia="楷体_GB2312" w:cs="楷体_GB2312"/>
                <w:b/>
                <w:bCs/>
                <w:sz w:val="24"/>
                <w:szCs w:val="24"/>
                <w:u w:val="none"/>
                <w:shd w:val="clear" w:fill="auto"/>
              </w:rPr>
            </w:pPr>
          </w:p>
        </w:tc>
        <w:tc>
          <w:tcPr>
            <w:tcW w:w="472" w:type="dxa"/>
            <w:tcMar>
              <w:top w:w="15" w:type="dxa"/>
              <w:left w:w="15" w:type="dxa"/>
              <w:bottom w:w="0" w:type="dxa"/>
              <w:right w:w="15" w:type="dxa"/>
            </w:tcMar>
            <w:vAlign w:val="center"/>
          </w:tcPr>
          <w:p w14:paraId="352ABEE7">
            <w:pPr>
              <w:pStyle w:val="8"/>
              <w:numPr>
                <w:ilvl w:val="0"/>
                <w:numId w:val="0"/>
              </w:numPr>
              <w:spacing w:after="0" w:line="240" w:lineRule="auto"/>
              <w:ind w:left="0" w:leftChars="0" w:firstLine="0" w:firstLineChars="0"/>
              <w:jc w:val="center"/>
              <w:rPr>
                <w:rFonts w:hint="default" w:eastAsia="楷体_GB2312" w:asciiTheme="minorAscii" w:hAnsiTheme="minorAscii" w:cstheme="minorBidi"/>
                <w:kern w:val="0"/>
                <w:sz w:val="21"/>
                <w:szCs w:val="21"/>
                <w:shd w:val="clear" w:fill="auto"/>
                <w:lang w:val="en-US" w:eastAsia="zh-CN" w:bidi="ar-SA"/>
              </w:rPr>
            </w:pPr>
            <w:r>
              <w:rPr>
                <w:rFonts w:hint="eastAsia" w:cstheme="minorBidi"/>
                <w:kern w:val="0"/>
                <w:sz w:val="21"/>
                <w:szCs w:val="21"/>
                <w:shd w:val="clear" w:fill="auto"/>
                <w:lang w:val="en-US" w:eastAsia="zh-CN" w:bidi="ar-SA"/>
              </w:rPr>
              <w:t>3</w:t>
            </w:r>
          </w:p>
        </w:tc>
        <w:tc>
          <w:tcPr>
            <w:tcW w:w="3553" w:type="dxa"/>
            <w:gridSpan w:val="2"/>
            <w:tcMar>
              <w:top w:w="15" w:type="dxa"/>
              <w:left w:w="15" w:type="dxa"/>
              <w:bottom w:w="0" w:type="dxa"/>
              <w:right w:w="15" w:type="dxa"/>
            </w:tcMar>
            <w:vAlign w:val="center"/>
          </w:tcPr>
          <w:p w14:paraId="2569B262">
            <w:pPr>
              <w:pStyle w:val="8"/>
              <w:numPr>
                <w:ilvl w:val="0"/>
                <w:numId w:val="0"/>
              </w:numPr>
              <w:spacing w:after="0" w:line="240" w:lineRule="auto"/>
              <w:ind w:left="0" w:leftChars="0" w:firstLine="0" w:firstLineChars="0"/>
              <w:jc w:val="both"/>
              <w:rPr>
                <w:rFonts w:hint="eastAsia"/>
                <w:sz w:val="21"/>
                <w:szCs w:val="21"/>
                <w:u w:val="none"/>
                <w:shd w:val="clear" w:fill="auto"/>
                <w:lang w:val="en-US" w:eastAsia="zh-CN"/>
              </w:rPr>
            </w:pPr>
            <w:r>
              <w:rPr>
                <w:rFonts w:hint="eastAsia"/>
                <w:sz w:val="21"/>
                <w:szCs w:val="21"/>
                <w:highlight w:val="none"/>
                <w:u w:val="none"/>
                <w:shd w:val="clear" w:fill="auto"/>
                <w:lang w:val="en-US" w:eastAsia="zh-CN"/>
              </w:rPr>
              <w:t>民营经济增加值增长</w:t>
            </w:r>
            <w:r>
              <w:rPr>
                <w:rFonts w:hint="eastAsia"/>
                <w:sz w:val="21"/>
                <w:szCs w:val="21"/>
                <w:u w:val="none"/>
                <w:shd w:val="clear" w:fill="auto"/>
                <w:lang w:val="en-US" w:eastAsia="zh-CN"/>
              </w:rPr>
              <w:t>（%）</w:t>
            </w:r>
          </w:p>
        </w:tc>
        <w:tc>
          <w:tcPr>
            <w:tcW w:w="1041" w:type="dxa"/>
            <w:shd w:val="clear" w:color="auto" w:fill="auto"/>
            <w:noWrap/>
            <w:tcMar>
              <w:top w:w="15" w:type="dxa"/>
              <w:left w:w="15" w:type="dxa"/>
              <w:bottom w:w="0" w:type="dxa"/>
              <w:right w:w="15" w:type="dxa"/>
            </w:tcMar>
            <w:vAlign w:val="center"/>
          </w:tcPr>
          <w:p w14:paraId="3ADE91BB">
            <w:pPr>
              <w:pStyle w:val="8"/>
              <w:spacing w:after="0" w:line="240" w:lineRule="auto"/>
              <w:ind w:firstLine="0" w:firstLineChars="0"/>
              <w:jc w:val="center"/>
              <w:rPr>
                <w:rFonts w:hint="eastAsia" w:eastAsia="仿宋_GB2312" w:asciiTheme="minorAscii" w:hAnsiTheme="minorAscii" w:cstheme="minorBidi"/>
                <w:color w:val="auto"/>
                <w:kern w:val="0"/>
                <w:sz w:val="21"/>
                <w:szCs w:val="21"/>
                <w:u w:val="none"/>
                <w:shd w:val="clear" w:fill="auto"/>
                <w:lang w:val="en-US" w:eastAsia="zh-CN" w:bidi="ar-SA"/>
              </w:rPr>
            </w:pPr>
            <w:r>
              <w:rPr>
                <w:rFonts w:hint="eastAsia" w:eastAsia="仿宋_GB2312"/>
                <w:color w:val="auto"/>
                <w:sz w:val="21"/>
                <w:szCs w:val="21"/>
                <w:u w:val="none"/>
                <w:shd w:val="clear" w:fill="auto"/>
                <w:lang w:val="en-US" w:eastAsia="zh-CN"/>
              </w:rPr>
              <w:t>——</w:t>
            </w:r>
          </w:p>
        </w:tc>
        <w:tc>
          <w:tcPr>
            <w:tcW w:w="1350" w:type="dxa"/>
            <w:shd w:val="clear" w:color="auto" w:fill="auto"/>
            <w:noWrap/>
            <w:tcMar>
              <w:top w:w="15" w:type="dxa"/>
              <w:left w:w="15" w:type="dxa"/>
              <w:bottom w:w="0" w:type="dxa"/>
              <w:right w:w="15" w:type="dxa"/>
            </w:tcMar>
            <w:vAlign w:val="center"/>
          </w:tcPr>
          <w:p w14:paraId="38BAB4BF">
            <w:pPr>
              <w:pStyle w:val="8"/>
              <w:spacing w:after="0" w:line="240" w:lineRule="auto"/>
              <w:ind w:firstLine="0" w:firstLineChars="0"/>
              <w:jc w:val="center"/>
              <w:rPr>
                <w:rFonts w:hint="default" w:eastAsia="仿宋_GB2312" w:asciiTheme="minorAscii" w:hAnsiTheme="minorAscii" w:cstheme="minorBidi"/>
                <w:color w:val="auto"/>
                <w:kern w:val="0"/>
                <w:sz w:val="21"/>
                <w:szCs w:val="21"/>
                <w:u w:val="none"/>
                <w:shd w:val="clear" w:fill="auto"/>
                <w:lang w:val="en-US" w:eastAsia="zh-CN" w:bidi="ar-SA"/>
              </w:rPr>
            </w:pPr>
            <w:r>
              <w:rPr>
                <w:rFonts w:hint="eastAsia" w:eastAsia="仿宋_GB2312"/>
                <w:color w:val="auto"/>
                <w:sz w:val="21"/>
                <w:szCs w:val="21"/>
                <w:u w:val="none"/>
                <w:shd w:val="clear" w:fill="auto"/>
                <w:lang w:val="en-US" w:eastAsia="zh-CN"/>
              </w:rPr>
              <w:t>5左右</w:t>
            </w:r>
          </w:p>
        </w:tc>
        <w:tc>
          <w:tcPr>
            <w:tcW w:w="1155" w:type="dxa"/>
            <w:shd w:val="clear" w:color="auto" w:fill="auto"/>
            <w:noWrap/>
            <w:tcMar>
              <w:top w:w="15" w:type="dxa"/>
              <w:left w:w="15" w:type="dxa"/>
              <w:bottom w:w="0" w:type="dxa"/>
              <w:right w:w="15" w:type="dxa"/>
            </w:tcMar>
            <w:vAlign w:val="center"/>
          </w:tcPr>
          <w:p w14:paraId="7D2424A2">
            <w:pPr>
              <w:pStyle w:val="8"/>
              <w:spacing w:after="0" w:line="240" w:lineRule="auto"/>
              <w:ind w:firstLine="0" w:firstLineChars="0"/>
              <w:jc w:val="center"/>
              <w:rPr>
                <w:rFonts w:hint="eastAsia" w:eastAsia="楷体_GB2312" w:asciiTheme="minorAscii" w:hAnsiTheme="minorAscii" w:cstheme="minorBidi"/>
                <w:kern w:val="0"/>
                <w:sz w:val="21"/>
                <w:szCs w:val="21"/>
                <w:u w:val="none"/>
                <w:shd w:val="clear" w:fill="auto"/>
                <w:lang w:val="en-US" w:eastAsia="zh-CN" w:bidi="ar-SA"/>
              </w:rPr>
            </w:pPr>
            <w:r>
              <w:rPr>
                <w:rFonts w:hint="eastAsia"/>
                <w:sz w:val="21"/>
                <w:szCs w:val="21"/>
                <w:u w:val="none"/>
                <w:shd w:val="clear" w:fill="auto"/>
              </w:rPr>
              <w:t>预期性</w:t>
            </w:r>
          </w:p>
        </w:tc>
      </w:tr>
      <w:tr w14:paraId="4EF72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512" w:type="dxa"/>
            <w:vMerge w:val="continue"/>
            <w:noWrap/>
            <w:tcMar>
              <w:top w:w="15" w:type="dxa"/>
              <w:left w:w="15" w:type="dxa"/>
              <w:bottom w:w="0" w:type="dxa"/>
              <w:right w:w="15" w:type="dxa"/>
            </w:tcMar>
            <w:vAlign w:val="center"/>
          </w:tcPr>
          <w:p w14:paraId="3900C5B1">
            <w:pPr>
              <w:pStyle w:val="8"/>
              <w:spacing w:after="0" w:line="240" w:lineRule="auto"/>
              <w:ind w:firstLine="0" w:firstLineChars="0"/>
              <w:jc w:val="center"/>
              <w:rPr>
                <w:rFonts w:hint="eastAsia" w:ascii="楷体_GB2312" w:hAnsi="楷体_GB2312" w:eastAsia="楷体_GB2312" w:cs="楷体_GB2312"/>
                <w:b/>
                <w:bCs/>
                <w:sz w:val="24"/>
                <w:szCs w:val="24"/>
                <w:u w:val="none"/>
                <w:shd w:val="clear" w:fill="auto"/>
              </w:rPr>
            </w:pPr>
          </w:p>
        </w:tc>
        <w:tc>
          <w:tcPr>
            <w:tcW w:w="472" w:type="dxa"/>
            <w:vAlign w:val="center"/>
          </w:tcPr>
          <w:p w14:paraId="47917508">
            <w:pPr>
              <w:pStyle w:val="8"/>
              <w:numPr>
                <w:ilvl w:val="0"/>
                <w:numId w:val="0"/>
              </w:numPr>
              <w:spacing w:after="0" w:line="240" w:lineRule="auto"/>
              <w:ind w:left="0" w:leftChars="0" w:firstLine="0" w:firstLineChars="0"/>
              <w:jc w:val="center"/>
              <w:rPr>
                <w:sz w:val="21"/>
                <w:szCs w:val="21"/>
                <w:u w:val="none"/>
                <w:shd w:val="clear" w:fill="auto"/>
              </w:rPr>
            </w:pPr>
            <w:r>
              <w:rPr>
                <w:rFonts w:hint="eastAsia" w:eastAsia="楷体_GB2312" w:asciiTheme="minorAscii" w:hAnsiTheme="minorAscii" w:cstheme="minorBidi"/>
                <w:kern w:val="0"/>
                <w:sz w:val="21"/>
                <w:szCs w:val="21"/>
                <w:shd w:val="clear" w:fill="auto"/>
                <w:lang w:val="en-US" w:eastAsia="zh-CN" w:bidi="ar-SA"/>
              </w:rPr>
              <w:t>4</w:t>
            </w:r>
          </w:p>
        </w:tc>
        <w:tc>
          <w:tcPr>
            <w:tcW w:w="3553" w:type="dxa"/>
            <w:gridSpan w:val="2"/>
            <w:tcMar>
              <w:top w:w="15" w:type="dxa"/>
              <w:left w:w="15" w:type="dxa"/>
              <w:bottom w:w="0" w:type="dxa"/>
              <w:right w:w="15" w:type="dxa"/>
            </w:tcMar>
            <w:vAlign w:val="center"/>
          </w:tcPr>
          <w:p w14:paraId="194395E4">
            <w:pPr>
              <w:pStyle w:val="8"/>
              <w:spacing w:after="0" w:line="240" w:lineRule="auto"/>
              <w:ind w:firstLine="0" w:firstLineChars="0"/>
              <w:rPr>
                <w:rFonts w:hint="default"/>
                <w:sz w:val="21"/>
                <w:szCs w:val="21"/>
                <w:u w:val="none"/>
                <w:shd w:val="clear" w:fill="auto"/>
                <w:lang w:val="en-US" w:eastAsia="zh-CN"/>
              </w:rPr>
            </w:pPr>
            <w:r>
              <w:rPr>
                <w:rFonts w:hint="eastAsia"/>
                <w:sz w:val="21"/>
                <w:szCs w:val="21"/>
                <w:u w:val="none"/>
                <w:shd w:val="clear" w:fill="auto"/>
                <w:lang w:val="en-US" w:eastAsia="zh-CN"/>
              </w:rPr>
              <w:t>全员劳动生产率增长（%）</w:t>
            </w:r>
          </w:p>
        </w:tc>
        <w:tc>
          <w:tcPr>
            <w:tcW w:w="1041" w:type="dxa"/>
            <w:noWrap/>
            <w:tcMar>
              <w:top w:w="15" w:type="dxa"/>
              <w:left w:w="15" w:type="dxa"/>
              <w:bottom w:w="0" w:type="dxa"/>
              <w:right w:w="15" w:type="dxa"/>
            </w:tcMar>
            <w:vAlign w:val="center"/>
          </w:tcPr>
          <w:p w14:paraId="1373E6CE">
            <w:pPr>
              <w:pStyle w:val="8"/>
              <w:spacing w:after="0" w:line="240" w:lineRule="auto"/>
              <w:ind w:firstLine="0" w:firstLineChars="0"/>
              <w:jc w:val="center"/>
              <w:rPr>
                <w:rFonts w:hint="default" w:eastAsia="仿宋_GB2312"/>
                <w:color w:val="auto"/>
                <w:sz w:val="21"/>
                <w:szCs w:val="21"/>
                <w:u w:val="none"/>
                <w:shd w:val="clear" w:fill="auto"/>
                <w:lang w:val="en-US" w:eastAsia="zh-CN"/>
              </w:rPr>
            </w:pPr>
            <w:r>
              <w:rPr>
                <w:rFonts w:hint="eastAsia" w:eastAsia="仿宋_GB2312"/>
                <w:color w:val="auto"/>
                <w:sz w:val="21"/>
                <w:szCs w:val="21"/>
                <w:u w:val="none"/>
                <w:shd w:val="clear" w:fill="auto"/>
                <w:lang w:val="en-US" w:eastAsia="zh-CN"/>
              </w:rPr>
              <w:t>——</w:t>
            </w:r>
          </w:p>
        </w:tc>
        <w:tc>
          <w:tcPr>
            <w:tcW w:w="1350" w:type="dxa"/>
            <w:noWrap/>
            <w:tcMar>
              <w:top w:w="15" w:type="dxa"/>
              <w:left w:w="15" w:type="dxa"/>
              <w:bottom w:w="0" w:type="dxa"/>
              <w:right w:w="15" w:type="dxa"/>
            </w:tcMar>
            <w:vAlign w:val="center"/>
          </w:tcPr>
          <w:p w14:paraId="1724BE1A">
            <w:pPr>
              <w:pStyle w:val="8"/>
              <w:spacing w:after="0" w:line="240" w:lineRule="auto"/>
              <w:ind w:firstLine="0" w:firstLineChars="0"/>
              <w:jc w:val="center"/>
              <w:rPr>
                <w:rFonts w:hint="default" w:eastAsia="仿宋_GB2312"/>
                <w:color w:val="auto"/>
                <w:sz w:val="21"/>
                <w:szCs w:val="21"/>
                <w:u w:val="none"/>
                <w:shd w:val="clear" w:fill="auto"/>
                <w:lang w:val="en-US" w:eastAsia="zh-CN"/>
              </w:rPr>
            </w:pPr>
            <w:r>
              <w:rPr>
                <w:rFonts w:hint="eastAsia" w:eastAsia="仿宋_GB2312"/>
                <w:color w:val="auto"/>
                <w:sz w:val="21"/>
                <w:szCs w:val="21"/>
                <w:u w:val="none"/>
                <w:shd w:val="clear" w:fill="auto"/>
                <w:lang w:val="en-US" w:eastAsia="zh-CN"/>
              </w:rPr>
              <w:t>6</w:t>
            </w:r>
          </w:p>
        </w:tc>
        <w:tc>
          <w:tcPr>
            <w:tcW w:w="1155" w:type="dxa"/>
            <w:noWrap/>
            <w:tcMar>
              <w:top w:w="15" w:type="dxa"/>
              <w:left w:w="15" w:type="dxa"/>
              <w:bottom w:w="0" w:type="dxa"/>
              <w:right w:w="15" w:type="dxa"/>
            </w:tcMar>
            <w:vAlign w:val="center"/>
          </w:tcPr>
          <w:p w14:paraId="1236048E">
            <w:pPr>
              <w:pStyle w:val="8"/>
              <w:spacing w:after="0" w:line="240" w:lineRule="auto"/>
              <w:ind w:firstLine="0" w:firstLineChars="0"/>
              <w:jc w:val="center"/>
              <w:rPr>
                <w:rFonts w:hint="eastAsia" w:eastAsia="楷体_GB2312"/>
                <w:sz w:val="21"/>
                <w:szCs w:val="21"/>
                <w:u w:val="none"/>
                <w:shd w:val="clear" w:fill="auto"/>
                <w:lang w:val="en-US" w:eastAsia="zh-CN"/>
              </w:rPr>
            </w:pPr>
            <w:r>
              <w:rPr>
                <w:rFonts w:hint="eastAsia"/>
                <w:sz w:val="21"/>
                <w:szCs w:val="21"/>
                <w:u w:val="none"/>
                <w:shd w:val="clear" w:fill="auto"/>
                <w:lang w:val="en-US" w:eastAsia="zh-CN"/>
              </w:rPr>
              <w:t>预期性</w:t>
            </w:r>
          </w:p>
        </w:tc>
      </w:tr>
      <w:tr w14:paraId="192AB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512" w:type="dxa"/>
            <w:vMerge w:val="continue"/>
            <w:noWrap/>
            <w:tcMar>
              <w:top w:w="15" w:type="dxa"/>
              <w:left w:w="15" w:type="dxa"/>
              <w:bottom w:w="0" w:type="dxa"/>
              <w:right w:w="15" w:type="dxa"/>
            </w:tcMar>
            <w:vAlign w:val="center"/>
          </w:tcPr>
          <w:p w14:paraId="112A5EA9">
            <w:pPr>
              <w:pStyle w:val="8"/>
              <w:spacing w:after="0" w:line="240" w:lineRule="auto"/>
              <w:ind w:firstLine="0" w:firstLineChars="0"/>
              <w:jc w:val="center"/>
              <w:rPr>
                <w:rFonts w:hint="eastAsia" w:ascii="楷体_GB2312" w:hAnsi="楷体_GB2312" w:eastAsia="楷体_GB2312" w:cs="楷体_GB2312"/>
                <w:b/>
                <w:bCs/>
                <w:sz w:val="24"/>
                <w:szCs w:val="24"/>
                <w:u w:val="none"/>
                <w:shd w:val="clear" w:fill="auto"/>
              </w:rPr>
            </w:pPr>
          </w:p>
        </w:tc>
        <w:tc>
          <w:tcPr>
            <w:tcW w:w="472" w:type="dxa"/>
            <w:vAlign w:val="center"/>
          </w:tcPr>
          <w:p w14:paraId="65616340">
            <w:pPr>
              <w:pStyle w:val="8"/>
              <w:numPr>
                <w:ilvl w:val="0"/>
                <w:numId w:val="0"/>
              </w:numPr>
              <w:spacing w:after="0" w:line="240" w:lineRule="auto"/>
              <w:ind w:left="0" w:leftChars="0" w:firstLine="0" w:firstLineChars="0"/>
              <w:jc w:val="center"/>
              <w:rPr>
                <w:sz w:val="21"/>
                <w:szCs w:val="21"/>
                <w:u w:val="none"/>
                <w:shd w:val="clear" w:fill="auto"/>
              </w:rPr>
            </w:pPr>
            <w:r>
              <w:rPr>
                <w:rFonts w:hint="eastAsia" w:eastAsia="楷体_GB2312" w:asciiTheme="minorAscii" w:hAnsiTheme="minorAscii" w:cstheme="minorBidi"/>
                <w:kern w:val="0"/>
                <w:sz w:val="21"/>
                <w:szCs w:val="21"/>
                <w:shd w:val="clear" w:fill="auto"/>
                <w:lang w:val="en-US" w:eastAsia="zh-CN" w:bidi="ar-SA"/>
              </w:rPr>
              <w:t>5</w:t>
            </w:r>
          </w:p>
        </w:tc>
        <w:tc>
          <w:tcPr>
            <w:tcW w:w="3553" w:type="dxa"/>
            <w:gridSpan w:val="2"/>
            <w:tcMar>
              <w:top w:w="15" w:type="dxa"/>
              <w:left w:w="15" w:type="dxa"/>
              <w:bottom w:w="0" w:type="dxa"/>
              <w:right w:w="15" w:type="dxa"/>
            </w:tcMar>
            <w:vAlign w:val="center"/>
          </w:tcPr>
          <w:p w14:paraId="5716433A">
            <w:pPr>
              <w:pStyle w:val="8"/>
              <w:spacing w:after="0" w:line="240" w:lineRule="auto"/>
              <w:ind w:firstLine="0" w:firstLineChars="0"/>
              <w:rPr>
                <w:rFonts w:hint="default" w:eastAsia="仿宋_GB2312"/>
                <w:sz w:val="21"/>
                <w:szCs w:val="21"/>
                <w:u w:val="none"/>
                <w:shd w:val="clear" w:fill="auto"/>
                <w:lang w:val="en-US" w:eastAsia="zh-CN"/>
              </w:rPr>
            </w:pPr>
            <w:r>
              <w:rPr>
                <w:rFonts w:hint="eastAsia"/>
                <w:sz w:val="21"/>
                <w:szCs w:val="21"/>
                <w:u w:val="none"/>
                <w:shd w:val="clear" w:fill="auto"/>
                <w:lang w:val="en-US" w:eastAsia="zh-CN"/>
              </w:rPr>
              <w:t>常住人口城镇化率（%）</w:t>
            </w:r>
          </w:p>
        </w:tc>
        <w:tc>
          <w:tcPr>
            <w:tcW w:w="1041" w:type="dxa"/>
            <w:noWrap/>
            <w:tcMar>
              <w:top w:w="15" w:type="dxa"/>
              <w:left w:w="15" w:type="dxa"/>
              <w:bottom w:w="0" w:type="dxa"/>
              <w:right w:w="15" w:type="dxa"/>
            </w:tcMar>
            <w:vAlign w:val="center"/>
          </w:tcPr>
          <w:p w14:paraId="38E8B49B">
            <w:pPr>
              <w:pStyle w:val="8"/>
              <w:spacing w:after="0" w:line="240" w:lineRule="auto"/>
              <w:ind w:firstLine="0" w:firstLineChars="0"/>
              <w:jc w:val="center"/>
              <w:rPr>
                <w:rFonts w:hint="default" w:eastAsia="仿宋_GB2312"/>
                <w:color w:val="auto"/>
                <w:sz w:val="21"/>
                <w:szCs w:val="21"/>
                <w:u w:val="none"/>
                <w:shd w:val="clear" w:fill="auto"/>
                <w:lang w:val="en-US" w:eastAsia="zh-CN"/>
              </w:rPr>
            </w:pPr>
            <w:r>
              <w:rPr>
                <w:rFonts w:hint="eastAsia" w:eastAsia="仿宋_GB2312"/>
                <w:color w:val="auto"/>
                <w:sz w:val="21"/>
                <w:szCs w:val="21"/>
                <w:u w:val="none"/>
                <w:shd w:val="clear" w:fill="auto"/>
                <w:lang w:val="en-US" w:eastAsia="zh-CN"/>
              </w:rPr>
              <w:t>68</w:t>
            </w:r>
          </w:p>
        </w:tc>
        <w:tc>
          <w:tcPr>
            <w:tcW w:w="1350" w:type="dxa"/>
            <w:noWrap/>
            <w:tcMar>
              <w:top w:w="15" w:type="dxa"/>
              <w:left w:w="15" w:type="dxa"/>
              <w:bottom w:w="0" w:type="dxa"/>
              <w:right w:w="15" w:type="dxa"/>
            </w:tcMar>
            <w:vAlign w:val="center"/>
          </w:tcPr>
          <w:p w14:paraId="68379B65">
            <w:pPr>
              <w:pStyle w:val="8"/>
              <w:spacing w:after="0" w:line="240" w:lineRule="auto"/>
              <w:ind w:firstLine="0" w:firstLineChars="0"/>
              <w:jc w:val="center"/>
              <w:rPr>
                <w:rFonts w:hint="default" w:eastAsia="仿宋_GB2312"/>
                <w:color w:val="auto"/>
                <w:sz w:val="21"/>
                <w:szCs w:val="21"/>
                <w:u w:val="none"/>
                <w:shd w:val="clear" w:fill="auto"/>
                <w:lang w:val="en-US" w:eastAsia="zh-CN"/>
              </w:rPr>
            </w:pPr>
            <w:r>
              <w:rPr>
                <w:rFonts w:hint="eastAsia" w:eastAsia="仿宋_GB2312"/>
                <w:color w:val="auto"/>
                <w:sz w:val="21"/>
                <w:szCs w:val="21"/>
                <w:u w:val="none"/>
                <w:shd w:val="clear" w:fill="auto"/>
                <w:lang w:val="en-US" w:eastAsia="zh-CN"/>
              </w:rPr>
              <w:t>——</w:t>
            </w:r>
          </w:p>
        </w:tc>
        <w:tc>
          <w:tcPr>
            <w:tcW w:w="1155" w:type="dxa"/>
            <w:noWrap/>
            <w:tcMar>
              <w:top w:w="15" w:type="dxa"/>
              <w:left w:w="15" w:type="dxa"/>
              <w:bottom w:w="0" w:type="dxa"/>
              <w:right w:w="15" w:type="dxa"/>
            </w:tcMar>
            <w:vAlign w:val="center"/>
          </w:tcPr>
          <w:p w14:paraId="2CCBD295">
            <w:pPr>
              <w:pStyle w:val="8"/>
              <w:spacing w:after="0" w:line="240" w:lineRule="auto"/>
              <w:ind w:firstLine="0" w:firstLineChars="0"/>
              <w:jc w:val="center"/>
              <w:rPr>
                <w:rFonts w:hint="eastAsia" w:eastAsia="仿宋_GB2312"/>
                <w:sz w:val="21"/>
                <w:szCs w:val="21"/>
                <w:u w:val="none"/>
                <w:shd w:val="clear" w:fill="auto"/>
                <w:lang w:val="en-US" w:eastAsia="zh-CN"/>
              </w:rPr>
            </w:pPr>
            <w:r>
              <w:rPr>
                <w:rFonts w:hint="eastAsia"/>
                <w:sz w:val="21"/>
                <w:szCs w:val="21"/>
                <w:u w:val="none"/>
                <w:shd w:val="clear" w:fill="auto"/>
                <w:lang w:val="en-US" w:eastAsia="zh-CN"/>
              </w:rPr>
              <w:t>预期性</w:t>
            </w:r>
          </w:p>
        </w:tc>
      </w:tr>
      <w:tr w14:paraId="66634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512" w:type="dxa"/>
            <w:vMerge w:val="restart"/>
            <w:noWrap/>
            <w:tcMar>
              <w:top w:w="15" w:type="dxa"/>
              <w:left w:w="15" w:type="dxa"/>
              <w:bottom w:w="0" w:type="dxa"/>
              <w:right w:w="15" w:type="dxa"/>
            </w:tcMar>
            <w:vAlign w:val="center"/>
          </w:tcPr>
          <w:p w14:paraId="6ABCE0BA">
            <w:pPr>
              <w:pStyle w:val="8"/>
              <w:spacing w:after="0" w:line="240" w:lineRule="auto"/>
              <w:ind w:firstLine="0" w:firstLineChars="0"/>
              <w:jc w:val="center"/>
              <w:rPr>
                <w:rFonts w:hint="eastAsia" w:ascii="楷体_GB2312" w:hAnsi="楷体_GB2312" w:eastAsia="楷体_GB2312" w:cs="楷体_GB2312"/>
                <w:b/>
                <w:bCs/>
                <w:sz w:val="24"/>
                <w:szCs w:val="24"/>
                <w:u w:val="none"/>
                <w:shd w:val="clear" w:fill="auto"/>
              </w:rPr>
            </w:pPr>
            <w:r>
              <w:rPr>
                <w:rFonts w:hint="eastAsia" w:ascii="楷体_GB2312" w:hAnsi="楷体_GB2312" w:eastAsia="楷体_GB2312" w:cs="楷体_GB2312"/>
                <w:b/>
                <w:bCs/>
                <w:sz w:val="24"/>
                <w:szCs w:val="24"/>
                <w:u w:val="none"/>
                <w:shd w:val="clear" w:fill="auto"/>
              </w:rPr>
              <w:t>创新</w:t>
            </w:r>
          </w:p>
          <w:p w14:paraId="7925CE27">
            <w:pPr>
              <w:pStyle w:val="8"/>
              <w:spacing w:after="0" w:line="240" w:lineRule="auto"/>
              <w:ind w:firstLine="0" w:firstLineChars="0"/>
              <w:jc w:val="center"/>
              <w:rPr>
                <w:rFonts w:hint="eastAsia" w:ascii="楷体_GB2312" w:hAnsi="楷体_GB2312" w:eastAsia="楷体_GB2312" w:cs="楷体_GB2312"/>
                <w:b/>
                <w:bCs/>
                <w:sz w:val="24"/>
                <w:szCs w:val="24"/>
                <w:u w:val="none"/>
                <w:shd w:val="clear" w:fill="auto"/>
              </w:rPr>
            </w:pPr>
            <w:r>
              <w:rPr>
                <w:rFonts w:hint="eastAsia" w:ascii="楷体_GB2312" w:hAnsi="楷体_GB2312" w:eastAsia="楷体_GB2312" w:cs="楷体_GB2312"/>
                <w:b/>
                <w:bCs/>
                <w:sz w:val="24"/>
                <w:szCs w:val="24"/>
                <w:u w:val="none"/>
                <w:shd w:val="clear" w:fill="auto"/>
              </w:rPr>
              <w:t>驱动</w:t>
            </w:r>
          </w:p>
        </w:tc>
        <w:tc>
          <w:tcPr>
            <w:tcW w:w="472" w:type="dxa"/>
            <w:tcMar>
              <w:top w:w="15" w:type="dxa"/>
              <w:left w:w="15" w:type="dxa"/>
              <w:bottom w:w="0" w:type="dxa"/>
              <w:right w:w="15" w:type="dxa"/>
            </w:tcMar>
            <w:vAlign w:val="center"/>
          </w:tcPr>
          <w:p w14:paraId="00D28F54">
            <w:pPr>
              <w:pStyle w:val="8"/>
              <w:numPr>
                <w:ilvl w:val="0"/>
                <w:numId w:val="0"/>
              </w:numPr>
              <w:spacing w:after="0" w:line="240" w:lineRule="auto"/>
              <w:ind w:left="0" w:leftChars="0" w:firstLine="0" w:firstLineChars="0"/>
              <w:jc w:val="center"/>
              <w:rPr>
                <w:sz w:val="21"/>
                <w:szCs w:val="21"/>
                <w:u w:val="none"/>
                <w:shd w:val="clear" w:fill="auto"/>
              </w:rPr>
            </w:pPr>
            <w:r>
              <w:rPr>
                <w:rFonts w:hint="eastAsia" w:eastAsia="楷体_GB2312" w:asciiTheme="minorAscii" w:hAnsiTheme="minorAscii" w:cstheme="minorBidi"/>
                <w:kern w:val="0"/>
                <w:sz w:val="21"/>
                <w:szCs w:val="21"/>
                <w:shd w:val="clear" w:fill="auto"/>
                <w:lang w:val="en-US" w:eastAsia="zh-CN" w:bidi="ar-SA"/>
              </w:rPr>
              <w:t>6</w:t>
            </w:r>
          </w:p>
        </w:tc>
        <w:tc>
          <w:tcPr>
            <w:tcW w:w="3553" w:type="dxa"/>
            <w:gridSpan w:val="2"/>
            <w:tcMar>
              <w:top w:w="15" w:type="dxa"/>
              <w:left w:w="15" w:type="dxa"/>
              <w:bottom w:w="0" w:type="dxa"/>
              <w:right w:w="15" w:type="dxa"/>
            </w:tcMar>
            <w:vAlign w:val="center"/>
          </w:tcPr>
          <w:p w14:paraId="133A6A45">
            <w:pPr>
              <w:pStyle w:val="8"/>
              <w:spacing w:after="0" w:line="240" w:lineRule="auto"/>
              <w:ind w:firstLine="0" w:firstLineChars="0"/>
              <w:rPr>
                <w:rFonts w:hint="default"/>
                <w:sz w:val="21"/>
                <w:szCs w:val="21"/>
                <w:u w:val="none"/>
                <w:shd w:val="clear" w:fill="auto"/>
                <w:lang w:val="en-US" w:eastAsia="zh-CN"/>
              </w:rPr>
            </w:pPr>
            <w:r>
              <w:rPr>
                <w:rFonts w:hint="eastAsia"/>
                <w:sz w:val="21"/>
                <w:szCs w:val="21"/>
                <w:u w:val="none"/>
                <w:shd w:val="clear" w:fill="auto"/>
                <w:lang w:val="en-US" w:eastAsia="zh-CN"/>
              </w:rPr>
              <w:t>全社会研发经费投入增长（%）</w:t>
            </w:r>
          </w:p>
        </w:tc>
        <w:tc>
          <w:tcPr>
            <w:tcW w:w="1041" w:type="dxa"/>
            <w:noWrap/>
            <w:tcMar>
              <w:top w:w="15" w:type="dxa"/>
              <w:left w:w="15" w:type="dxa"/>
              <w:bottom w:w="0" w:type="dxa"/>
              <w:right w:w="15" w:type="dxa"/>
            </w:tcMar>
            <w:vAlign w:val="center"/>
          </w:tcPr>
          <w:p w14:paraId="78AAAE93">
            <w:pPr>
              <w:pStyle w:val="8"/>
              <w:spacing w:after="0" w:line="240" w:lineRule="auto"/>
              <w:ind w:firstLine="0" w:firstLineChars="0"/>
              <w:jc w:val="center"/>
              <w:rPr>
                <w:rFonts w:hint="eastAsia" w:eastAsia="楷体_GB2312"/>
                <w:color w:val="auto"/>
                <w:sz w:val="21"/>
                <w:szCs w:val="21"/>
                <w:u w:val="none"/>
                <w:shd w:val="clear" w:fill="auto"/>
                <w:lang w:eastAsia="zh-CN"/>
              </w:rPr>
            </w:pPr>
            <w:r>
              <w:rPr>
                <w:rFonts w:hint="eastAsia"/>
                <w:color w:val="auto"/>
                <w:sz w:val="21"/>
                <w:szCs w:val="21"/>
                <w:u w:val="none"/>
                <w:shd w:val="clear" w:fill="auto"/>
                <w:lang w:eastAsia="zh-CN"/>
              </w:rPr>
              <w:t>——</w:t>
            </w:r>
          </w:p>
        </w:tc>
        <w:tc>
          <w:tcPr>
            <w:tcW w:w="1350" w:type="dxa"/>
            <w:noWrap/>
            <w:tcMar>
              <w:top w:w="15" w:type="dxa"/>
              <w:left w:w="15" w:type="dxa"/>
              <w:bottom w:w="0" w:type="dxa"/>
              <w:right w:w="15" w:type="dxa"/>
            </w:tcMar>
            <w:vAlign w:val="center"/>
          </w:tcPr>
          <w:p w14:paraId="6A777602">
            <w:pPr>
              <w:pStyle w:val="8"/>
              <w:spacing w:after="0" w:line="240" w:lineRule="auto"/>
              <w:ind w:firstLine="0" w:firstLineChars="0"/>
              <w:jc w:val="center"/>
              <w:rPr>
                <w:rFonts w:hint="default" w:eastAsia="楷体_GB2312"/>
                <w:color w:val="auto"/>
                <w:sz w:val="21"/>
                <w:szCs w:val="21"/>
                <w:u w:val="none"/>
                <w:shd w:val="clear" w:fill="auto"/>
                <w:lang w:val="en-US" w:eastAsia="zh-CN"/>
              </w:rPr>
            </w:pPr>
            <w:r>
              <w:rPr>
                <w:rFonts w:hint="eastAsia"/>
                <w:color w:val="auto"/>
                <w:sz w:val="21"/>
                <w:szCs w:val="21"/>
                <w:u w:val="none"/>
                <w:shd w:val="clear" w:fill="auto"/>
                <w:lang w:val="en-US" w:eastAsia="zh-CN"/>
              </w:rPr>
              <w:t>6</w:t>
            </w:r>
          </w:p>
        </w:tc>
        <w:tc>
          <w:tcPr>
            <w:tcW w:w="1155" w:type="dxa"/>
            <w:noWrap/>
            <w:tcMar>
              <w:top w:w="15" w:type="dxa"/>
              <w:left w:w="15" w:type="dxa"/>
              <w:bottom w:w="0" w:type="dxa"/>
              <w:right w:w="15" w:type="dxa"/>
            </w:tcMar>
            <w:vAlign w:val="center"/>
          </w:tcPr>
          <w:p w14:paraId="7B8D4022">
            <w:pPr>
              <w:pStyle w:val="8"/>
              <w:spacing w:after="0" w:line="240" w:lineRule="auto"/>
              <w:ind w:firstLine="0" w:firstLineChars="0"/>
              <w:jc w:val="center"/>
              <w:rPr>
                <w:rFonts w:hint="eastAsia" w:eastAsia="楷体_GB2312"/>
                <w:sz w:val="21"/>
                <w:szCs w:val="21"/>
                <w:u w:val="none"/>
                <w:shd w:val="clear" w:fill="auto"/>
                <w:lang w:val="en-US" w:eastAsia="zh-CN"/>
              </w:rPr>
            </w:pPr>
            <w:r>
              <w:rPr>
                <w:rFonts w:hint="eastAsia"/>
                <w:sz w:val="21"/>
                <w:szCs w:val="21"/>
                <w:u w:val="none"/>
                <w:shd w:val="clear" w:fill="auto"/>
                <w:lang w:val="en-US" w:eastAsia="zh-CN"/>
              </w:rPr>
              <w:t>预期性</w:t>
            </w:r>
          </w:p>
        </w:tc>
      </w:tr>
      <w:tr w14:paraId="16A79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512" w:type="dxa"/>
            <w:vMerge w:val="continue"/>
            <w:noWrap/>
            <w:tcMar>
              <w:top w:w="15" w:type="dxa"/>
              <w:left w:w="15" w:type="dxa"/>
              <w:bottom w:w="0" w:type="dxa"/>
              <w:right w:w="15" w:type="dxa"/>
            </w:tcMar>
            <w:vAlign w:val="center"/>
          </w:tcPr>
          <w:p w14:paraId="09701A55">
            <w:pPr>
              <w:pStyle w:val="8"/>
              <w:spacing w:after="0" w:line="240" w:lineRule="auto"/>
              <w:ind w:firstLine="0" w:firstLineChars="0"/>
              <w:jc w:val="center"/>
              <w:rPr>
                <w:rFonts w:hint="eastAsia" w:ascii="楷体_GB2312" w:hAnsi="楷体_GB2312" w:eastAsia="楷体_GB2312" w:cs="楷体_GB2312"/>
                <w:b/>
                <w:bCs/>
                <w:sz w:val="24"/>
                <w:szCs w:val="24"/>
                <w:u w:val="none"/>
                <w:shd w:val="clear" w:fill="auto"/>
              </w:rPr>
            </w:pPr>
          </w:p>
        </w:tc>
        <w:tc>
          <w:tcPr>
            <w:tcW w:w="472" w:type="dxa"/>
            <w:vAlign w:val="center"/>
          </w:tcPr>
          <w:p w14:paraId="31336352">
            <w:pPr>
              <w:pStyle w:val="8"/>
              <w:numPr>
                <w:ilvl w:val="0"/>
                <w:numId w:val="0"/>
              </w:numPr>
              <w:spacing w:after="0" w:line="240" w:lineRule="auto"/>
              <w:ind w:left="0" w:leftChars="0" w:firstLine="0" w:firstLineChars="0"/>
              <w:jc w:val="center"/>
              <w:rPr>
                <w:sz w:val="21"/>
                <w:szCs w:val="21"/>
                <w:u w:val="none"/>
                <w:shd w:val="clear" w:fill="auto"/>
              </w:rPr>
            </w:pPr>
            <w:r>
              <w:rPr>
                <w:rFonts w:hint="eastAsia" w:eastAsia="楷体_GB2312" w:asciiTheme="minorAscii" w:hAnsiTheme="minorAscii" w:cstheme="minorBidi"/>
                <w:kern w:val="0"/>
                <w:sz w:val="21"/>
                <w:szCs w:val="21"/>
                <w:shd w:val="clear" w:fill="auto"/>
                <w:lang w:val="en-US" w:eastAsia="zh-CN" w:bidi="ar-SA"/>
              </w:rPr>
              <w:t>7</w:t>
            </w:r>
          </w:p>
        </w:tc>
        <w:tc>
          <w:tcPr>
            <w:tcW w:w="3553" w:type="dxa"/>
            <w:gridSpan w:val="2"/>
            <w:tcMar>
              <w:top w:w="15" w:type="dxa"/>
              <w:left w:w="15" w:type="dxa"/>
              <w:bottom w:w="0" w:type="dxa"/>
              <w:right w:w="15" w:type="dxa"/>
            </w:tcMar>
            <w:vAlign w:val="center"/>
          </w:tcPr>
          <w:p w14:paraId="6CCF8919">
            <w:pPr>
              <w:pStyle w:val="8"/>
              <w:spacing w:after="0" w:line="240" w:lineRule="auto"/>
              <w:ind w:firstLine="0" w:firstLineChars="0"/>
              <w:rPr>
                <w:rFonts w:hint="default"/>
                <w:sz w:val="21"/>
                <w:szCs w:val="21"/>
                <w:u w:val="none"/>
                <w:shd w:val="clear" w:fill="auto"/>
                <w:lang w:val="en-US" w:eastAsia="zh-CN"/>
              </w:rPr>
            </w:pPr>
            <w:r>
              <w:rPr>
                <w:rFonts w:hint="eastAsia"/>
                <w:sz w:val="21"/>
                <w:szCs w:val="21"/>
                <w:u w:val="none"/>
                <w:shd w:val="clear" w:fill="auto"/>
                <w:lang w:val="en-US" w:eastAsia="zh-CN"/>
              </w:rPr>
              <w:t>每万人口高价值发明专利拥有量（件）</w:t>
            </w:r>
          </w:p>
        </w:tc>
        <w:tc>
          <w:tcPr>
            <w:tcW w:w="1041" w:type="dxa"/>
            <w:noWrap/>
            <w:tcMar>
              <w:top w:w="15" w:type="dxa"/>
              <w:left w:w="15" w:type="dxa"/>
              <w:bottom w:w="0" w:type="dxa"/>
              <w:right w:w="15" w:type="dxa"/>
            </w:tcMar>
            <w:vAlign w:val="center"/>
          </w:tcPr>
          <w:p w14:paraId="3FAB1D43">
            <w:pPr>
              <w:pStyle w:val="8"/>
              <w:spacing w:after="0" w:line="240" w:lineRule="auto"/>
              <w:ind w:firstLine="0" w:firstLineChars="0"/>
              <w:jc w:val="center"/>
              <w:rPr>
                <w:rFonts w:hint="default" w:eastAsia="仿宋_GB2312"/>
                <w:color w:val="auto"/>
                <w:sz w:val="21"/>
                <w:szCs w:val="21"/>
                <w:u w:val="none"/>
                <w:shd w:val="clear" w:fill="auto"/>
                <w:lang w:val="en-US" w:eastAsia="zh-CN"/>
              </w:rPr>
            </w:pPr>
            <w:r>
              <w:rPr>
                <w:rFonts w:hint="eastAsia" w:eastAsia="仿宋_GB2312"/>
                <w:color w:val="auto"/>
                <w:sz w:val="21"/>
                <w:szCs w:val="21"/>
                <w:u w:val="none"/>
                <w:shd w:val="clear" w:fill="auto"/>
                <w:lang w:val="en-US" w:eastAsia="zh-CN"/>
              </w:rPr>
              <w:t>1.21</w:t>
            </w:r>
          </w:p>
        </w:tc>
        <w:tc>
          <w:tcPr>
            <w:tcW w:w="1350" w:type="dxa"/>
            <w:noWrap/>
            <w:tcMar>
              <w:top w:w="15" w:type="dxa"/>
              <w:left w:w="15" w:type="dxa"/>
              <w:bottom w:w="0" w:type="dxa"/>
              <w:right w:w="15" w:type="dxa"/>
            </w:tcMar>
            <w:vAlign w:val="center"/>
          </w:tcPr>
          <w:p w14:paraId="56643B1B">
            <w:pPr>
              <w:pStyle w:val="8"/>
              <w:spacing w:after="0" w:line="240" w:lineRule="auto"/>
              <w:ind w:firstLine="0" w:firstLineChars="0"/>
              <w:jc w:val="center"/>
              <w:rPr>
                <w:rFonts w:hint="eastAsia" w:eastAsia="楷体_GB2312"/>
                <w:color w:val="auto"/>
                <w:sz w:val="21"/>
                <w:szCs w:val="21"/>
                <w:u w:val="none"/>
                <w:shd w:val="clear" w:fill="auto"/>
                <w:lang w:eastAsia="zh-CN"/>
              </w:rPr>
            </w:pPr>
            <w:r>
              <w:rPr>
                <w:rFonts w:hint="eastAsia"/>
                <w:color w:val="auto"/>
                <w:sz w:val="21"/>
                <w:szCs w:val="21"/>
                <w:u w:val="none"/>
                <w:shd w:val="clear" w:fill="auto"/>
                <w:lang w:eastAsia="zh-CN"/>
              </w:rPr>
              <w:t>——</w:t>
            </w:r>
          </w:p>
        </w:tc>
        <w:tc>
          <w:tcPr>
            <w:tcW w:w="1155" w:type="dxa"/>
            <w:noWrap/>
            <w:tcMar>
              <w:top w:w="15" w:type="dxa"/>
              <w:left w:w="15" w:type="dxa"/>
              <w:bottom w:w="0" w:type="dxa"/>
              <w:right w:w="15" w:type="dxa"/>
            </w:tcMar>
            <w:vAlign w:val="center"/>
          </w:tcPr>
          <w:p w14:paraId="30DB01A6">
            <w:pPr>
              <w:pStyle w:val="8"/>
              <w:spacing w:after="0" w:line="240" w:lineRule="auto"/>
              <w:ind w:firstLine="0" w:firstLineChars="0"/>
              <w:jc w:val="center"/>
              <w:rPr>
                <w:rFonts w:hint="eastAsia" w:eastAsia="楷体_GB2312"/>
                <w:sz w:val="21"/>
                <w:szCs w:val="21"/>
                <w:u w:val="none"/>
                <w:shd w:val="clear" w:fill="auto"/>
                <w:lang w:val="en-US" w:eastAsia="zh-CN"/>
              </w:rPr>
            </w:pPr>
            <w:r>
              <w:rPr>
                <w:rFonts w:hint="eastAsia"/>
                <w:sz w:val="21"/>
                <w:szCs w:val="21"/>
                <w:u w:val="none"/>
                <w:shd w:val="clear" w:fill="auto"/>
                <w:lang w:val="en-US" w:eastAsia="zh-CN"/>
              </w:rPr>
              <w:t>预期性</w:t>
            </w:r>
          </w:p>
        </w:tc>
      </w:tr>
      <w:tr w14:paraId="7479C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512" w:type="dxa"/>
            <w:vMerge w:val="continue"/>
            <w:noWrap/>
            <w:tcMar>
              <w:top w:w="15" w:type="dxa"/>
              <w:left w:w="15" w:type="dxa"/>
              <w:bottom w:w="0" w:type="dxa"/>
              <w:right w:w="15" w:type="dxa"/>
            </w:tcMar>
            <w:vAlign w:val="center"/>
          </w:tcPr>
          <w:p w14:paraId="115E404C">
            <w:pPr>
              <w:pStyle w:val="8"/>
              <w:spacing w:after="0" w:line="240" w:lineRule="auto"/>
              <w:ind w:firstLine="0" w:firstLineChars="0"/>
              <w:jc w:val="center"/>
              <w:rPr>
                <w:rFonts w:hint="eastAsia" w:ascii="楷体_GB2312" w:hAnsi="楷体_GB2312" w:eastAsia="楷体_GB2312" w:cs="楷体_GB2312"/>
                <w:b/>
                <w:bCs/>
                <w:sz w:val="24"/>
                <w:szCs w:val="24"/>
                <w:u w:val="none"/>
                <w:shd w:val="clear" w:fill="auto"/>
              </w:rPr>
            </w:pPr>
          </w:p>
        </w:tc>
        <w:tc>
          <w:tcPr>
            <w:tcW w:w="472" w:type="dxa"/>
            <w:vAlign w:val="center"/>
          </w:tcPr>
          <w:p w14:paraId="66E8CC49">
            <w:pPr>
              <w:pStyle w:val="8"/>
              <w:numPr>
                <w:ilvl w:val="0"/>
                <w:numId w:val="0"/>
              </w:numPr>
              <w:spacing w:after="0" w:line="240" w:lineRule="auto"/>
              <w:ind w:left="0" w:leftChars="0" w:firstLine="0" w:firstLineChars="0"/>
              <w:jc w:val="center"/>
              <w:rPr>
                <w:sz w:val="21"/>
                <w:szCs w:val="21"/>
                <w:u w:val="none"/>
                <w:shd w:val="clear" w:fill="auto"/>
              </w:rPr>
            </w:pPr>
            <w:r>
              <w:rPr>
                <w:rFonts w:hint="eastAsia" w:eastAsia="楷体_GB2312" w:asciiTheme="minorAscii" w:hAnsiTheme="minorAscii" w:cstheme="minorBidi"/>
                <w:kern w:val="0"/>
                <w:sz w:val="21"/>
                <w:szCs w:val="21"/>
                <w:shd w:val="clear" w:fill="auto"/>
                <w:lang w:val="en-US" w:eastAsia="zh-CN" w:bidi="ar-SA"/>
              </w:rPr>
              <w:t>8</w:t>
            </w:r>
          </w:p>
        </w:tc>
        <w:tc>
          <w:tcPr>
            <w:tcW w:w="3553" w:type="dxa"/>
            <w:gridSpan w:val="2"/>
            <w:tcMar>
              <w:top w:w="15" w:type="dxa"/>
              <w:left w:w="15" w:type="dxa"/>
              <w:bottom w:w="0" w:type="dxa"/>
              <w:right w:w="15" w:type="dxa"/>
            </w:tcMar>
            <w:vAlign w:val="center"/>
          </w:tcPr>
          <w:p w14:paraId="09EE84BE">
            <w:pPr>
              <w:pStyle w:val="8"/>
              <w:spacing w:after="0" w:line="240" w:lineRule="auto"/>
              <w:ind w:firstLine="0" w:firstLineChars="0"/>
              <w:rPr>
                <w:rFonts w:hint="default" w:eastAsia="仿宋_GB2312"/>
                <w:sz w:val="21"/>
                <w:szCs w:val="21"/>
                <w:u w:val="none"/>
                <w:shd w:val="clear" w:fill="auto"/>
                <w:lang w:val="en-US" w:eastAsia="zh-CN"/>
              </w:rPr>
            </w:pPr>
            <w:r>
              <w:rPr>
                <w:rFonts w:hint="eastAsia"/>
                <w:sz w:val="21"/>
                <w:szCs w:val="21"/>
                <w:u w:val="none"/>
                <w:shd w:val="clear" w:fill="auto"/>
                <w:lang w:val="en-US" w:eastAsia="zh-CN"/>
              </w:rPr>
              <w:t>数字经济核心产业增加值占地区生产总值比重（%）</w:t>
            </w:r>
          </w:p>
        </w:tc>
        <w:tc>
          <w:tcPr>
            <w:tcW w:w="2391" w:type="dxa"/>
            <w:gridSpan w:val="2"/>
            <w:noWrap/>
            <w:tcMar>
              <w:top w:w="15" w:type="dxa"/>
              <w:left w:w="15" w:type="dxa"/>
              <w:bottom w:w="0" w:type="dxa"/>
              <w:right w:w="15" w:type="dxa"/>
            </w:tcMar>
            <w:vAlign w:val="center"/>
          </w:tcPr>
          <w:p w14:paraId="6B24D594">
            <w:pPr>
              <w:pStyle w:val="8"/>
              <w:spacing w:after="0" w:line="240" w:lineRule="auto"/>
              <w:ind w:firstLine="0" w:firstLineChars="0"/>
              <w:jc w:val="center"/>
              <w:rPr>
                <w:rFonts w:hint="eastAsia" w:eastAsia="楷体_GB2312"/>
                <w:color w:val="auto"/>
                <w:sz w:val="21"/>
                <w:szCs w:val="21"/>
                <w:u w:val="none"/>
                <w:shd w:val="clear" w:fill="auto"/>
                <w:lang w:eastAsia="zh-CN"/>
              </w:rPr>
            </w:pPr>
            <w:r>
              <w:rPr>
                <w:rFonts w:hint="eastAsia" w:eastAsia="仿宋_GB2312"/>
                <w:color w:val="auto"/>
                <w:sz w:val="21"/>
                <w:szCs w:val="21"/>
                <w:u w:val="none"/>
                <w:shd w:val="clear" w:fill="auto"/>
                <w:lang w:val="en-US" w:eastAsia="zh-CN"/>
              </w:rPr>
              <w:t>与佳木斯市目标保持一致</w:t>
            </w:r>
          </w:p>
        </w:tc>
        <w:tc>
          <w:tcPr>
            <w:tcW w:w="1155" w:type="dxa"/>
            <w:noWrap/>
            <w:tcMar>
              <w:top w:w="15" w:type="dxa"/>
              <w:left w:w="15" w:type="dxa"/>
              <w:bottom w:w="0" w:type="dxa"/>
              <w:right w:w="15" w:type="dxa"/>
            </w:tcMar>
            <w:vAlign w:val="center"/>
          </w:tcPr>
          <w:p w14:paraId="23D5606E">
            <w:pPr>
              <w:pStyle w:val="8"/>
              <w:spacing w:after="0" w:line="240" w:lineRule="auto"/>
              <w:ind w:firstLine="0" w:firstLineChars="0"/>
              <w:jc w:val="center"/>
              <w:rPr>
                <w:sz w:val="21"/>
                <w:szCs w:val="21"/>
                <w:u w:val="none"/>
                <w:shd w:val="clear" w:fill="auto"/>
              </w:rPr>
            </w:pPr>
            <w:r>
              <w:rPr>
                <w:rFonts w:hint="eastAsia"/>
                <w:sz w:val="21"/>
                <w:szCs w:val="21"/>
                <w:u w:val="none"/>
                <w:shd w:val="clear" w:fill="auto"/>
              </w:rPr>
              <w:t>预期性</w:t>
            </w:r>
          </w:p>
        </w:tc>
      </w:tr>
      <w:tr w14:paraId="04666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512" w:type="dxa"/>
            <w:vMerge w:val="continue"/>
            <w:noWrap/>
            <w:tcMar>
              <w:top w:w="15" w:type="dxa"/>
              <w:left w:w="15" w:type="dxa"/>
              <w:bottom w:w="0" w:type="dxa"/>
              <w:right w:w="15" w:type="dxa"/>
            </w:tcMar>
            <w:vAlign w:val="center"/>
          </w:tcPr>
          <w:p w14:paraId="10318E93">
            <w:pPr>
              <w:pStyle w:val="8"/>
              <w:spacing w:after="0" w:line="240" w:lineRule="auto"/>
              <w:ind w:firstLine="0" w:firstLineChars="0"/>
              <w:jc w:val="center"/>
              <w:rPr>
                <w:rFonts w:hint="eastAsia" w:ascii="楷体_GB2312" w:hAnsi="楷体_GB2312" w:eastAsia="楷体_GB2312" w:cs="楷体_GB2312"/>
                <w:b/>
                <w:bCs/>
                <w:sz w:val="24"/>
                <w:szCs w:val="24"/>
                <w:u w:val="none"/>
                <w:shd w:val="clear" w:fill="auto"/>
              </w:rPr>
            </w:pPr>
          </w:p>
        </w:tc>
        <w:tc>
          <w:tcPr>
            <w:tcW w:w="472" w:type="dxa"/>
            <w:vAlign w:val="center"/>
          </w:tcPr>
          <w:p w14:paraId="0D0F0CC3">
            <w:pPr>
              <w:pStyle w:val="8"/>
              <w:numPr>
                <w:ilvl w:val="0"/>
                <w:numId w:val="0"/>
              </w:numPr>
              <w:spacing w:after="0" w:line="240" w:lineRule="auto"/>
              <w:ind w:left="0" w:leftChars="0" w:firstLine="0" w:firstLineChars="0"/>
              <w:jc w:val="center"/>
              <w:rPr>
                <w:rFonts w:hint="default" w:eastAsia="楷体_GB2312" w:asciiTheme="minorAscii" w:hAnsiTheme="minorAscii" w:cstheme="minorBidi"/>
                <w:kern w:val="0"/>
                <w:sz w:val="21"/>
                <w:szCs w:val="21"/>
                <w:shd w:val="clear" w:fill="auto"/>
                <w:lang w:val="en-US" w:eastAsia="zh-CN" w:bidi="ar-SA"/>
              </w:rPr>
            </w:pPr>
            <w:r>
              <w:rPr>
                <w:rFonts w:hint="eastAsia" w:cstheme="minorBidi"/>
                <w:kern w:val="0"/>
                <w:sz w:val="21"/>
                <w:szCs w:val="21"/>
                <w:shd w:val="clear" w:fill="auto"/>
                <w:lang w:val="en-US" w:eastAsia="zh-CN" w:bidi="ar-SA"/>
              </w:rPr>
              <w:t>9</w:t>
            </w:r>
          </w:p>
        </w:tc>
        <w:tc>
          <w:tcPr>
            <w:tcW w:w="3553" w:type="dxa"/>
            <w:gridSpan w:val="2"/>
            <w:tcMar>
              <w:top w:w="15" w:type="dxa"/>
              <w:left w:w="15" w:type="dxa"/>
              <w:bottom w:w="0" w:type="dxa"/>
              <w:right w:w="15" w:type="dxa"/>
            </w:tcMar>
            <w:vAlign w:val="center"/>
          </w:tcPr>
          <w:p w14:paraId="3A2E745E">
            <w:pPr>
              <w:pStyle w:val="8"/>
              <w:spacing w:after="0" w:line="240" w:lineRule="auto"/>
              <w:ind w:firstLine="0" w:firstLineChars="0"/>
              <w:rPr>
                <w:rFonts w:hint="eastAsia"/>
                <w:sz w:val="21"/>
                <w:szCs w:val="21"/>
                <w:u w:val="none"/>
                <w:shd w:val="clear" w:fill="auto"/>
                <w:lang w:val="en-US" w:eastAsia="zh-CN"/>
              </w:rPr>
            </w:pPr>
            <w:r>
              <w:rPr>
                <w:rFonts w:hint="eastAsia"/>
                <w:sz w:val="21"/>
                <w:szCs w:val="21"/>
                <w:u w:val="none"/>
                <w:shd w:val="clear" w:fill="auto"/>
                <w:lang w:val="en-US" w:eastAsia="zh-CN"/>
              </w:rPr>
              <w:t>工业战略性新兴产业总产值占工业总产值比重（%）</w:t>
            </w:r>
          </w:p>
        </w:tc>
        <w:tc>
          <w:tcPr>
            <w:tcW w:w="1041" w:type="dxa"/>
            <w:noWrap/>
            <w:tcMar>
              <w:top w:w="15" w:type="dxa"/>
              <w:left w:w="15" w:type="dxa"/>
              <w:bottom w:w="0" w:type="dxa"/>
              <w:right w:w="15" w:type="dxa"/>
            </w:tcMar>
            <w:vAlign w:val="center"/>
          </w:tcPr>
          <w:p w14:paraId="479AD82A">
            <w:pPr>
              <w:pStyle w:val="8"/>
              <w:spacing w:after="0" w:line="240" w:lineRule="auto"/>
              <w:ind w:firstLine="0" w:firstLineChars="0"/>
              <w:jc w:val="center"/>
              <w:rPr>
                <w:rFonts w:hint="default" w:eastAsia="仿宋_GB2312"/>
                <w:color w:val="auto"/>
                <w:sz w:val="21"/>
                <w:szCs w:val="21"/>
                <w:u w:val="none"/>
                <w:shd w:val="clear" w:fill="auto"/>
                <w:lang w:val="en-US" w:eastAsia="zh-CN"/>
              </w:rPr>
            </w:pPr>
            <w:r>
              <w:rPr>
                <w:rFonts w:hint="eastAsia" w:eastAsia="仿宋_GB2312"/>
                <w:color w:val="auto"/>
                <w:sz w:val="21"/>
                <w:szCs w:val="21"/>
                <w:u w:val="none"/>
                <w:shd w:val="clear" w:fill="auto"/>
                <w:lang w:val="en-US" w:eastAsia="zh-CN"/>
              </w:rPr>
              <w:t>19</w:t>
            </w:r>
          </w:p>
        </w:tc>
        <w:tc>
          <w:tcPr>
            <w:tcW w:w="1350" w:type="dxa"/>
            <w:shd w:val="clear" w:color="auto" w:fill="auto"/>
            <w:noWrap/>
            <w:tcMar>
              <w:top w:w="15" w:type="dxa"/>
              <w:left w:w="15" w:type="dxa"/>
              <w:bottom w:w="0" w:type="dxa"/>
              <w:right w:w="15" w:type="dxa"/>
            </w:tcMar>
            <w:vAlign w:val="center"/>
          </w:tcPr>
          <w:p w14:paraId="13F2C281">
            <w:pPr>
              <w:pStyle w:val="8"/>
              <w:spacing w:after="0" w:line="240" w:lineRule="auto"/>
              <w:ind w:firstLine="0" w:firstLineChars="0"/>
              <w:jc w:val="center"/>
              <w:rPr>
                <w:rFonts w:hint="eastAsia" w:eastAsia="楷体_GB2312" w:asciiTheme="minorAscii" w:hAnsiTheme="minorAscii" w:cstheme="minorBidi"/>
                <w:color w:val="auto"/>
                <w:kern w:val="0"/>
                <w:sz w:val="21"/>
                <w:szCs w:val="21"/>
                <w:u w:val="none"/>
                <w:shd w:val="clear" w:fill="auto"/>
                <w:lang w:val="en-US" w:eastAsia="zh-CN" w:bidi="ar-SA"/>
              </w:rPr>
            </w:pPr>
            <w:r>
              <w:rPr>
                <w:rFonts w:hint="eastAsia"/>
                <w:color w:val="auto"/>
                <w:sz w:val="21"/>
                <w:szCs w:val="21"/>
                <w:u w:val="none"/>
                <w:shd w:val="clear" w:fill="auto"/>
                <w:lang w:eastAsia="zh-CN"/>
              </w:rPr>
              <w:t>——</w:t>
            </w:r>
          </w:p>
        </w:tc>
        <w:tc>
          <w:tcPr>
            <w:tcW w:w="1155" w:type="dxa"/>
            <w:shd w:val="clear" w:color="auto" w:fill="auto"/>
            <w:noWrap/>
            <w:tcMar>
              <w:top w:w="15" w:type="dxa"/>
              <w:left w:w="15" w:type="dxa"/>
              <w:bottom w:w="0" w:type="dxa"/>
              <w:right w:w="15" w:type="dxa"/>
            </w:tcMar>
            <w:vAlign w:val="center"/>
          </w:tcPr>
          <w:p w14:paraId="43C43883">
            <w:pPr>
              <w:pStyle w:val="8"/>
              <w:spacing w:after="0" w:line="240" w:lineRule="auto"/>
              <w:ind w:firstLine="0" w:firstLineChars="0"/>
              <w:jc w:val="center"/>
              <w:rPr>
                <w:rFonts w:hint="eastAsia" w:eastAsia="楷体_GB2312" w:asciiTheme="minorAscii" w:hAnsiTheme="minorAscii" w:cstheme="minorBidi"/>
                <w:kern w:val="0"/>
                <w:sz w:val="21"/>
                <w:szCs w:val="21"/>
                <w:u w:val="none"/>
                <w:shd w:val="clear" w:fill="auto"/>
                <w:lang w:val="en-US" w:eastAsia="zh-CN" w:bidi="ar-SA"/>
              </w:rPr>
            </w:pPr>
            <w:r>
              <w:rPr>
                <w:rFonts w:hint="eastAsia"/>
                <w:sz w:val="21"/>
                <w:szCs w:val="21"/>
                <w:u w:val="none"/>
                <w:shd w:val="clear" w:fill="auto"/>
              </w:rPr>
              <w:t>预期性</w:t>
            </w:r>
          </w:p>
        </w:tc>
      </w:tr>
      <w:tr w14:paraId="14B5B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512" w:type="dxa"/>
            <w:vMerge w:val="restart"/>
            <w:noWrap/>
            <w:tcMar>
              <w:top w:w="15" w:type="dxa"/>
              <w:left w:w="15" w:type="dxa"/>
              <w:bottom w:w="0" w:type="dxa"/>
              <w:right w:w="15" w:type="dxa"/>
            </w:tcMar>
            <w:vAlign w:val="center"/>
          </w:tcPr>
          <w:p w14:paraId="7C083995">
            <w:pPr>
              <w:pStyle w:val="8"/>
              <w:spacing w:after="0" w:line="240" w:lineRule="auto"/>
              <w:ind w:firstLine="0" w:firstLineChars="0"/>
              <w:jc w:val="center"/>
              <w:rPr>
                <w:rFonts w:hint="eastAsia" w:ascii="楷体_GB2312" w:hAnsi="楷体_GB2312" w:eastAsia="楷体_GB2312" w:cs="楷体_GB2312"/>
                <w:b/>
                <w:bCs/>
                <w:sz w:val="24"/>
                <w:szCs w:val="24"/>
                <w:u w:val="none"/>
                <w:shd w:val="clear" w:fill="auto"/>
                <w:lang w:val="en-US" w:eastAsia="zh-CN"/>
              </w:rPr>
            </w:pPr>
            <w:r>
              <w:rPr>
                <w:rFonts w:hint="eastAsia" w:ascii="楷体_GB2312" w:hAnsi="楷体_GB2312" w:cs="楷体_GB2312"/>
                <w:b/>
                <w:bCs/>
                <w:sz w:val="24"/>
                <w:szCs w:val="24"/>
                <w:u w:val="none"/>
                <w:shd w:val="clear" w:fill="auto"/>
                <w:lang w:val="en-US" w:eastAsia="zh-CN"/>
              </w:rPr>
              <w:t>民生福祉</w:t>
            </w:r>
          </w:p>
        </w:tc>
        <w:tc>
          <w:tcPr>
            <w:tcW w:w="472" w:type="dxa"/>
            <w:vAlign w:val="center"/>
          </w:tcPr>
          <w:p w14:paraId="1A0993F1">
            <w:pPr>
              <w:pStyle w:val="8"/>
              <w:numPr>
                <w:ilvl w:val="0"/>
                <w:numId w:val="0"/>
              </w:numPr>
              <w:spacing w:after="0" w:line="240" w:lineRule="auto"/>
              <w:ind w:left="0" w:leftChars="0" w:firstLine="0" w:firstLineChars="0"/>
              <w:jc w:val="center"/>
              <w:rPr>
                <w:rFonts w:hint="default"/>
                <w:sz w:val="21"/>
                <w:szCs w:val="21"/>
                <w:u w:val="none"/>
                <w:shd w:val="clear" w:fill="auto"/>
                <w:lang w:val="en-US"/>
              </w:rPr>
            </w:pPr>
            <w:r>
              <w:rPr>
                <w:rFonts w:hint="eastAsia" w:cstheme="minorBidi"/>
                <w:kern w:val="0"/>
                <w:sz w:val="21"/>
                <w:szCs w:val="21"/>
                <w:shd w:val="clear" w:fill="auto"/>
                <w:lang w:val="en-US" w:eastAsia="zh-CN" w:bidi="ar-SA"/>
              </w:rPr>
              <w:t>10</w:t>
            </w:r>
          </w:p>
        </w:tc>
        <w:tc>
          <w:tcPr>
            <w:tcW w:w="3553" w:type="dxa"/>
            <w:gridSpan w:val="2"/>
            <w:tcMar>
              <w:top w:w="15" w:type="dxa"/>
              <w:left w:w="15" w:type="dxa"/>
              <w:bottom w:w="0" w:type="dxa"/>
              <w:right w:w="15" w:type="dxa"/>
            </w:tcMar>
            <w:vAlign w:val="center"/>
          </w:tcPr>
          <w:p w14:paraId="2B3785CA">
            <w:pPr>
              <w:pStyle w:val="8"/>
              <w:spacing w:after="0" w:line="240" w:lineRule="auto"/>
              <w:ind w:firstLine="0" w:firstLineChars="0"/>
              <w:rPr>
                <w:rFonts w:hint="default"/>
                <w:sz w:val="21"/>
                <w:szCs w:val="21"/>
                <w:u w:val="none"/>
                <w:shd w:val="clear" w:fill="auto"/>
                <w:lang w:val="en-US" w:eastAsia="zh-CN"/>
              </w:rPr>
            </w:pPr>
            <w:r>
              <w:rPr>
                <w:rFonts w:hint="eastAsia"/>
                <w:sz w:val="21"/>
                <w:szCs w:val="21"/>
                <w:u w:val="none"/>
                <w:shd w:val="clear" w:fill="auto"/>
                <w:lang w:val="en-US" w:eastAsia="zh-CN"/>
              </w:rPr>
              <w:t>城镇调查失业率（%）</w:t>
            </w:r>
          </w:p>
        </w:tc>
        <w:tc>
          <w:tcPr>
            <w:tcW w:w="1041" w:type="dxa"/>
            <w:noWrap/>
            <w:tcMar>
              <w:top w:w="15" w:type="dxa"/>
              <w:left w:w="15" w:type="dxa"/>
              <w:bottom w:w="0" w:type="dxa"/>
              <w:right w:w="15" w:type="dxa"/>
            </w:tcMar>
            <w:vAlign w:val="center"/>
          </w:tcPr>
          <w:p w14:paraId="0C18432E">
            <w:pPr>
              <w:pStyle w:val="8"/>
              <w:spacing w:after="0" w:line="240" w:lineRule="auto"/>
              <w:ind w:firstLine="0" w:firstLineChars="0"/>
              <w:jc w:val="center"/>
              <w:rPr>
                <w:rFonts w:hint="default" w:eastAsia="仿宋_GB2312"/>
                <w:color w:val="auto"/>
                <w:sz w:val="21"/>
                <w:szCs w:val="21"/>
                <w:u w:val="none"/>
                <w:shd w:val="clear" w:fill="auto"/>
                <w:lang w:val="en-US" w:eastAsia="zh-CN"/>
              </w:rPr>
            </w:pPr>
            <w:r>
              <w:rPr>
                <w:rFonts w:hint="eastAsia"/>
                <w:color w:val="auto"/>
                <w:sz w:val="21"/>
                <w:szCs w:val="21"/>
                <w:u w:val="none"/>
                <w:shd w:val="clear" w:fill="auto"/>
                <w:lang w:eastAsia="zh-CN"/>
              </w:rPr>
              <w:t>——</w:t>
            </w:r>
          </w:p>
        </w:tc>
        <w:tc>
          <w:tcPr>
            <w:tcW w:w="1350" w:type="dxa"/>
            <w:noWrap/>
            <w:tcMar>
              <w:top w:w="15" w:type="dxa"/>
              <w:left w:w="15" w:type="dxa"/>
              <w:bottom w:w="0" w:type="dxa"/>
              <w:right w:w="15" w:type="dxa"/>
            </w:tcMar>
            <w:vAlign w:val="center"/>
          </w:tcPr>
          <w:p w14:paraId="52B7FA0F">
            <w:pPr>
              <w:pStyle w:val="8"/>
              <w:spacing w:after="0" w:line="240" w:lineRule="auto"/>
              <w:ind w:firstLine="0" w:firstLineChars="0"/>
              <w:jc w:val="center"/>
              <w:rPr>
                <w:rFonts w:hint="default" w:eastAsia="楷体_GB2312"/>
                <w:color w:val="auto"/>
                <w:sz w:val="21"/>
                <w:szCs w:val="21"/>
                <w:u w:val="none"/>
                <w:shd w:val="clear" w:fill="auto"/>
                <w:lang w:val="en-US" w:eastAsia="zh-CN"/>
              </w:rPr>
            </w:pPr>
            <w:r>
              <w:rPr>
                <w:rFonts w:hint="eastAsia"/>
                <w:color w:val="auto"/>
                <w:sz w:val="21"/>
                <w:szCs w:val="21"/>
                <w:u w:val="none"/>
                <w:shd w:val="clear" w:fill="auto"/>
                <w:lang w:val="en-US" w:eastAsia="zh-CN"/>
              </w:rPr>
              <w:t>5.5</w:t>
            </w:r>
          </w:p>
        </w:tc>
        <w:tc>
          <w:tcPr>
            <w:tcW w:w="1155" w:type="dxa"/>
            <w:noWrap/>
            <w:tcMar>
              <w:top w:w="15" w:type="dxa"/>
              <w:left w:w="15" w:type="dxa"/>
              <w:bottom w:w="0" w:type="dxa"/>
              <w:right w:w="15" w:type="dxa"/>
            </w:tcMar>
            <w:vAlign w:val="center"/>
          </w:tcPr>
          <w:p w14:paraId="1B58C634">
            <w:pPr>
              <w:pStyle w:val="8"/>
              <w:spacing w:after="0" w:line="240" w:lineRule="auto"/>
              <w:ind w:firstLine="0" w:firstLineChars="0"/>
              <w:jc w:val="center"/>
              <w:rPr>
                <w:rFonts w:hint="eastAsia" w:eastAsia="楷体_GB2312"/>
                <w:sz w:val="21"/>
                <w:szCs w:val="21"/>
                <w:u w:val="none"/>
                <w:shd w:val="clear" w:fill="auto"/>
                <w:lang w:val="en-US" w:eastAsia="zh-CN"/>
              </w:rPr>
            </w:pPr>
            <w:r>
              <w:rPr>
                <w:rFonts w:hint="eastAsia"/>
                <w:sz w:val="21"/>
                <w:szCs w:val="21"/>
                <w:u w:val="none"/>
                <w:shd w:val="clear" w:fill="auto"/>
                <w:lang w:val="en-US" w:eastAsia="zh-CN"/>
              </w:rPr>
              <w:t>预期性</w:t>
            </w:r>
          </w:p>
        </w:tc>
      </w:tr>
      <w:tr w14:paraId="0345A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512" w:type="dxa"/>
            <w:vMerge w:val="continue"/>
            <w:noWrap/>
            <w:tcMar>
              <w:top w:w="15" w:type="dxa"/>
              <w:left w:w="15" w:type="dxa"/>
              <w:bottom w:w="0" w:type="dxa"/>
              <w:right w:w="15" w:type="dxa"/>
            </w:tcMar>
            <w:vAlign w:val="center"/>
          </w:tcPr>
          <w:p w14:paraId="65C624ED">
            <w:pPr>
              <w:pStyle w:val="8"/>
              <w:spacing w:after="0" w:line="240" w:lineRule="auto"/>
              <w:ind w:firstLine="0" w:firstLineChars="0"/>
              <w:jc w:val="center"/>
              <w:rPr>
                <w:rFonts w:hint="eastAsia" w:ascii="楷体_GB2312" w:hAnsi="楷体_GB2312" w:eastAsia="楷体_GB2312" w:cs="楷体_GB2312"/>
                <w:b/>
                <w:bCs/>
                <w:sz w:val="24"/>
                <w:szCs w:val="24"/>
                <w:u w:val="none"/>
                <w:shd w:val="clear" w:fill="auto"/>
              </w:rPr>
            </w:pPr>
          </w:p>
        </w:tc>
        <w:tc>
          <w:tcPr>
            <w:tcW w:w="472" w:type="dxa"/>
            <w:vAlign w:val="center"/>
          </w:tcPr>
          <w:p w14:paraId="0EDFA08E">
            <w:pPr>
              <w:pStyle w:val="8"/>
              <w:numPr>
                <w:ilvl w:val="0"/>
                <w:numId w:val="0"/>
              </w:numPr>
              <w:spacing w:after="0" w:line="240" w:lineRule="auto"/>
              <w:ind w:left="0" w:leftChars="0" w:firstLine="0" w:firstLineChars="0"/>
              <w:jc w:val="center"/>
              <w:rPr>
                <w:rFonts w:hint="default"/>
                <w:sz w:val="21"/>
                <w:szCs w:val="21"/>
                <w:u w:val="none"/>
                <w:shd w:val="clear" w:fill="auto"/>
                <w:lang w:val="en-US"/>
              </w:rPr>
            </w:pPr>
            <w:r>
              <w:rPr>
                <w:rFonts w:hint="eastAsia" w:cstheme="minorBidi"/>
                <w:kern w:val="0"/>
                <w:sz w:val="21"/>
                <w:szCs w:val="21"/>
                <w:shd w:val="clear" w:fill="auto"/>
                <w:lang w:val="en-US" w:eastAsia="zh-CN" w:bidi="ar-SA"/>
              </w:rPr>
              <w:t>11</w:t>
            </w:r>
          </w:p>
        </w:tc>
        <w:tc>
          <w:tcPr>
            <w:tcW w:w="3553" w:type="dxa"/>
            <w:gridSpan w:val="2"/>
            <w:tcMar>
              <w:top w:w="15" w:type="dxa"/>
              <w:left w:w="15" w:type="dxa"/>
              <w:bottom w:w="0" w:type="dxa"/>
              <w:right w:w="15" w:type="dxa"/>
            </w:tcMar>
            <w:vAlign w:val="center"/>
          </w:tcPr>
          <w:p w14:paraId="06DDCEEE">
            <w:pPr>
              <w:pStyle w:val="8"/>
              <w:spacing w:after="0" w:line="240" w:lineRule="auto"/>
              <w:ind w:firstLine="0" w:firstLineChars="0"/>
              <w:rPr>
                <w:rFonts w:hint="default"/>
                <w:sz w:val="21"/>
                <w:szCs w:val="21"/>
                <w:u w:val="none"/>
                <w:shd w:val="clear" w:fill="auto"/>
                <w:lang w:val="en-US" w:eastAsia="zh-CN"/>
              </w:rPr>
            </w:pPr>
            <w:r>
              <w:rPr>
                <w:rFonts w:hint="eastAsia"/>
                <w:sz w:val="21"/>
                <w:szCs w:val="21"/>
                <w:u w:val="none"/>
                <w:shd w:val="clear" w:fill="auto"/>
                <w:lang w:val="en-US" w:eastAsia="zh-CN"/>
              </w:rPr>
              <w:t>居民人均可支配收入增长（%）</w:t>
            </w:r>
          </w:p>
        </w:tc>
        <w:tc>
          <w:tcPr>
            <w:tcW w:w="1041" w:type="dxa"/>
            <w:noWrap/>
            <w:tcMar>
              <w:top w:w="15" w:type="dxa"/>
              <w:left w:w="15" w:type="dxa"/>
              <w:bottom w:w="0" w:type="dxa"/>
              <w:right w:w="15" w:type="dxa"/>
            </w:tcMar>
            <w:vAlign w:val="center"/>
          </w:tcPr>
          <w:p w14:paraId="1C9E72C9">
            <w:pPr>
              <w:pStyle w:val="8"/>
              <w:spacing w:after="0" w:line="240" w:lineRule="auto"/>
              <w:ind w:firstLine="0" w:firstLineChars="0"/>
              <w:jc w:val="center"/>
              <w:rPr>
                <w:rFonts w:hint="default" w:eastAsia="仿宋_GB2312"/>
                <w:color w:val="auto"/>
                <w:sz w:val="21"/>
                <w:szCs w:val="21"/>
                <w:u w:val="none"/>
                <w:shd w:val="clear" w:fill="auto"/>
                <w:lang w:val="en-US" w:eastAsia="zh-CN"/>
              </w:rPr>
            </w:pPr>
            <w:r>
              <w:rPr>
                <w:rFonts w:hint="eastAsia"/>
                <w:color w:val="auto"/>
                <w:sz w:val="21"/>
                <w:szCs w:val="21"/>
                <w:u w:val="none"/>
                <w:shd w:val="clear" w:fill="auto"/>
                <w:lang w:eastAsia="zh-CN"/>
              </w:rPr>
              <w:t>——</w:t>
            </w:r>
          </w:p>
        </w:tc>
        <w:tc>
          <w:tcPr>
            <w:tcW w:w="1350" w:type="dxa"/>
            <w:noWrap/>
            <w:tcMar>
              <w:top w:w="15" w:type="dxa"/>
              <w:left w:w="15" w:type="dxa"/>
              <w:bottom w:w="0" w:type="dxa"/>
              <w:right w:w="15" w:type="dxa"/>
            </w:tcMar>
            <w:vAlign w:val="center"/>
          </w:tcPr>
          <w:p w14:paraId="21ECD978">
            <w:pPr>
              <w:pStyle w:val="8"/>
              <w:spacing w:after="0" w:line="240" w:lineRule="auto"/>
              <w:ind w:firstLine="0" w:firstLineChars="0"/>
              <w:jc w:val="center"/>
              <w:rPr>
                <w:rFonts w:hint="eastAsia" w:eastAsia="楷体_GB2312"/>
                <w:color w:val="auto"/>
                <w:sz w:val="21"/>
                <w:szCs w:val="21"/>
                <w:u w:val="none"/>
                <w:shd w:val="clear" w:fill="auto"/>
                <w:lang w:eastAsia="zh-CN"/>
              </w:rPr>
            </w:pPr>
            <w:r>
              <w:rPr>
                <w:rFonts w:hint="eastAsia"/>
                <w:color w:val="auto"/>
                <w:sz w:val="21"/>
                <w:szCs w:val="21"/>
                <w:u w:val="none"/>
                <w:shd w:val="clear" w:fill="auto"/>
                <w:lang w:val="en-US" w:eastAsia="zh-CN"/>
              </w:rPr>
              <w:t>6</w:t>
            </w:r>
          </w:p>
        </w:tc>
        <w:tc>
          <w:tcPr>
            <w:tcW w:w="1155" w:type="dxa"/>
            <w:noWrap/>
            <w:tcMar>
              <w:top w:w="15" w:type="dxa"/>
              <w:left w:w="15" w:type="dxa"/>
              <w:bottom w:w="0" w:type="dxa"/>
              <w:right w:w="15" w:type="dxa"/>
            </w:tcMar>
            <w:vAlign w:val="center"/>
          </w:tcPr>
          <w:p w14:paraId="6FC1733B">
            <w:pPr>
              <w:pStyle w:val="8"/>
              <w:spacing w:after="0" w:line="240" w:lineRule="auto"/>
              <w:ind w:firstLine="0" w:firstLineChars="0"/>
              <w:jc w:val="center"/>
              <w:rPr>
                <w:rFonts w:hint="default" w:eastAsia="楷体_GB2312"/>
                <w:sz w:val="21"/>
                <w:szCs w:val="21"/>
                <w:u w:val="none"/>
                <w:shd w:val="clear" w:fill="auto"/>
                <w:lang w:val="en-US" w:eastAsia="zh-CN"/>
              </w:rPr>
            </w:pPr>
            <w:r>
              <w:rPr>
                <w:rFonts w:hint="eastAsia"/>
                <w:sz w:val="21"/>
                <w:szCs w:val="21"/>
                <w:u w:val="none"/>
                <w:shd w:val="clear" w:fill="auto"/>
                <w:lang w:val="en-US" w:eastAsia="zh-CN"/>
              </w:rPr>
              <w:t>预期性</w:t>
            </w:r>
          </w:p>
        </w:tc>
      </w:tr>
      <w:tr w14:paraId="3732E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512" w:type="dxa"/>
            <w:vMerge w:val="continue"/>
            <w:noWrap/>
            <w:tcMar>
              <w:top w:w="15" w:type="dxa"/>
              <w:left w:w="15" w:type="dxa"/>
              <w:bottom w:w="0" w:type="dxa"/>
              <w:right w:w="15" w:type="dxa"/>
            </w:tcMar>
            <w:vAlign w:val="center"/>
          </w:tcPr>
          <w:p w14:paraId="4375EBB8">
            <w:pPr>
              <w:pStyle w:val="8"/>
              <w:spacing w:after="0" w:line="240" w:lineRule="auto"/>
              <w:ind w:firstLine="0" w:firstLineChars="0"/>
              <w:jc w:val="center"/>
              <w:rPr>
                <w:rFonts w:hint="eastAsia" w:ascii="楷体_GB2312" w:hAnsi="楷体_GB2312" w:eastAsia="楷体_GB2312" w:cs="楷体_GB2312"/>
                <w:b/>
                <w:bCs/>
                <w:sz w:val="24"/>
                <w:szCs w:val="24"/>
                <w:u w:val="none"/>
                <w:shd w:val="clear" w:fill="auto"/>
              </w:rPr>
            </w:pPr>
          </w:p>
        </w:tc>
        <w:tc>
          <w:tcPr>
            <w:tcW w:w="472" w:type="dxa"/>
            <w:vAlign w:val="center"/>
          </w:tcPr>
          <w:p w14:paraId="0F6DC270">
            <w:pPr>
              <w:pStyle w:val="8"/>
              <w:numPr>
                <w:ilvl w:val="0"/>
                <w:numId w:val="0"/>
              </w:numPr>
              <w:spacing w:after="0" w:line="240" w:lineRule="auto"/>
              <w:ind w:left="0" w:leftChars="0" w:firstLine="0" w:firstLineChars="0"/>
              <w:jc w:val="center"/>
              <w:rPr>
                <w:rFonts w:hint="default"/>
                <w:sz w:val="21"/>
                <w:szCs w:val="21"/>
                <w:u w:val="none"/>
                <w:shd w:val="clear" w:fill="auto"/>
                <w:lang w:val="en-US"/>
              </w:rPr>
            </w:pPr>
            <w:r>
              <w:rPr>
                <w:rFonts w:hint="eastAsia" w:cstheme="minorBidi"/>
                <w:kern w:val="0"/>
                <w:sz w:val="21"/>
                <w:szCs w:val="21"/>
                <w:shd w:val="clear" w:fill="auto"/>
                <w:lang w:val="en-US" w:eastAsia="zh-CN" w:bidi="ar-SA"/>
              </w:rPr>
              <w:t>12</w:t>
            </w:r>
          </w:p>
        </w:tc>
        <w:tc>
          <w:tcPr>
            <w:tcW w:w="3553" w:type="dxa"/>
            <w:gridSpan w:val="2"/>
            <w:tcMar>
              <w:top w:w="15" w:type="dxa"/>
              <w:left w:w="15" w:type="dxa"/>
              <w:bottom w:w="0" w:type="dxa"/>
              <w:right w:w="15" w:type="dxa"/>
            </w:tcMar>
            <w:vAlign w:val="center"/>
          </w:tcPr>
          <w:p w14:paraId="507EF682">
            <w:pPr>
              <w:pStyle w:val="8"/>
              <w:spacing w:after="0" w:line="240" w:lineRule="auto"/>
              <w:ind w:firstLine="0" w:firstLineChars="0"/>
              <w:rPr>
                <w:rFonts w:hint="default"/>
                <w:sz w:val="21"/>
                <w:szCs w:val="21"/>
                <w:u w:val="none"/>
                <w:shd w:val="clear" w:fill="auto"/>
                <w:lang w:val="en-US" w:eastAsia="zh-CN"/>
              </w:rPr>
            </w:pPr>
            <w:r>
              <w:rPr>
                <w:rFonts w:hint="eastAsia"/>
                <w:sz w:val="21"/>
                <w:szCs w:val="21"/>
                <w:u w:val="none"/>
                <w:shd w:val="clear" w:fill="auto"/>
                <w:lang w:val="en-US" w:eastAsia="zh-CN"/>
              </w:rPr>
              <w:t>劳动年龄人口平均受教育年限（年）</w:t>
            </w:r>
          </w:p>
        </w:tc>
        <w:tc>
          <w:tcPr>
            <w:tcW w:w="1041" w:type="dxa"/>
            <w:noWrap/>
            <w:tcMar>
              <w:top w:w="15" w:type="dxa"/>
              <w:left w:w="15" w:type="dxa"/>
              <w:bottom w:w="0" w:type="dxa"/>
              <w:right w:w="15" w:type="dxa"/>
            </w:tcMar>
            <w:vAlign w:val="center"/>
          </w:tcPr>
          <w:p w14:paraId="4B3E692A">
            <w:pPr>
              <w:pStyle w:val="8"/>
              <w:spacing w:after="0" w:line="240" w:lineRule="auto"/>
              <w:ind w:firstLine="0" w:firstLineChars="0"/>
              <w:jc w:val="center"/>
              <w:rPr>
                <w:rFonts w:hint="default" w:eastAsia="仿宋_GB2312"/>
                <w:color w:val="auto"/>
                <w:sz w:val="21"/>
                <w:szCs w:val="21"/>
                <w:u w:val="none"/>
                <w:shd w:val="clear" w:fill="auto"/>
                <w:lang w:val="en-US" w:eastAsia="zh-CN"/>
              </w:rPr>
            </w:pPr>
            <w:r>
              <w:rPr>
                <w:rFonts w:hint="eastAsia" w:eastAsia="仿宋_GB2312"/>
                <w:color w:val="auto"/>
                <w:sz w:val="21"/>
                <w:szCs w:val="21"/>
                <w:u w:val="none"/>
                <w:shd w:val="clear" w:fill="auto"/>
                <w:lang w:val="en-US" w:eastAsia="zh-CN"/>
              </w:rPr>
              <w:t>12以上</w:t>
            </w:r>
          </w:p>
        </w:tc>
        <w:tc>
          <w:tcPr>
            <w:tcW w:w="1350" w:type="dxa"/>
            <w:noWrap/>
            <w:tcMar>
              <w:top w:w="15" w:type="dxa"/>
              <w:left w:w="15" w:type="dxa"/>
              <w:bottom w:w="0" w:type="dxa"/>
              <w:right w:w="15" w:type="dxa"/>
            </w:tcMar>
            <w:vAlign w:val="center"/>
          </w:tcPr>
          <w:p w14:paraId="6DE5BE70">
            <w:pPr>
              <w:pStyle w:val="8"/>
              <w:spacing w:after="0" w:line="240" w:lineRule="auto"/>
              <w:ind w:firstLine="0" w:firstLineChars="0"/>
              <w:jc w:val="center"/>
              <w:rPr>
                <w:rFonts w:hint="eastAsia" w:eastAsia="楷体_GB2312"/>
                <w:color w:val="auto"/>
                <w:sz w:val="21"/>
                <w:szCs w:val="21"/>
                <w:u w:val="none"/>
                <w:shd w:val="clear" w:fill="auto"/>
                <w:lang w:eastAsia="zh-CN"/>
              </w:rPr>
            </w:pPr>
            <w:r>
              <w:rPr>
                <w:rFonts w:hint="eastAsia"/>
                <w:color w:val="auto"/>
                <w:sz w:val="21"/>
                <w:szCs w:val="21"/>
                <w:u w:val="none"/>
                <w:shd w:val="clear" w:fill="auto"/>
                <w:lang w:eastAsia="zh-CN"/>
              </w:rPr>
              <w:t>——</w:t>
            </w:r>
          </w:p>
        </w:tc>
        <w:tc>
          <w:tcPr>
            <w:tcW w:w="1155" w:type="dxa"/>
            <w:noWrap/>
            <w:tcMar>
              <w:top w:w="15" w:type="dxa"/>
              <w:left w:w="15" w:type="dxa"/>
              <w:bottom w:w="0" w:type="dxa"/>
              <w:right w:w="15" w:type="dxa"/>
            </w:tcMar>
            <w:vAlign w:val="center"/>
          </w:tcPr>
          <w:p w14:paraId="511CB414">
            <w:pPr>
              <w:pStyle w:val="8"/>
              <w:spacing w:after="0" w:line="240" w:lineRule="auto"/>
              <w:ind w:firstLine="0" w:firstLineChars="0"/>
              <w:jc w:val="center"/>
              <w:rPr>
                <w:rFonts w:hint="default" w:eastAsia="楷体_GB2312"/>
                <w:sz w:val="21"/>
                <w:szCs w:val="21"/>
                <w:u w:val="none"/>
                <w:shd w:val="clear" w:fill="auto"/>
                <w:lang w:val="en-US" w:eastAsia="zh-CN"/>
              </w:rPr>
            </w:pPr>
            <w:r>
              <w:rPr>
                <w:rFonts w:hint="eastAsia"/>
                <w:sz w:val="21"/>
                <w:szCs w:val="21"/>
                <w:u w:val="none"/>
                <w:shd w:val="clear" w:fill="auto"/>
                <w:lang w:val="en-US" w:eastAsia="zh-CN"/>
              </w:rPr>
              <w:t>约束性</w:t>
            </w:r>
          </w:p>
        </w:tc>
      </w:tr>
      <w:tr w14:paraId="55CBE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512" w:type="dxa"/>
            <w:vMerge w:val="continue"/>
            <w:noWrap/>
            <w:tcMar>
              <w:top w:w="15" w:type="dxa"/>
              <w:left w:w="15" w:type="dxa"/>
              <w:bottom w:w="0" w:type="dxa"/>
              <w:right w:w="15" w:type="dxa"/>
            </w:tcMar>
            <w:vAlign w:val="center"/>
          </w:tcPr>
          <w:p w14:paraId="5DE33C2C">
            <w:pPr>
              <w:pStyle w:val="8"/>
              <w:spacing w:after="0" w:line="240" w:lineRule="auto"/>
              <w:ind w:firstLine="0" w:firstLineChars="0"/>
              <w:jc w:val="center"/>
              <w:rPr>
                <w:rFonts w:hint="eastAsia" w:ascii="楷体_GB2312" w:hAnsi="楷体_GB2312" w:eastAsia="楷体_GB2312" w:cs="楷体_GB2312"/>
                <w:b/>
                <w:bCs/>
                <w:sz w:val="24"/>
                <w:szCs w:val="24"/>
                <w:u w:val="none"/>
                <w:shd w:val="clear" w:fill="auto"/>
              </w:rPr>
            </w:pPr>
          </w:p>
        </w:tc>
        <w:tc>
          <w:tcPr>
            <w:tcW w:w="472" w:type="dxa"/>
            <w:vAlign w:val="center"/>
          </w:tcPr>
          <w:p w14:paraId="084F7B14">
            <w:pPr>
              <w:pStyle w:val="8"/>
              <w:numPr>
                <w:ilvl w:val="0"/>
                <w:numId w:val="0"/>
              </w:numPr>
              <w:spacing w:after="0" w:line="240" w:lineRule="auto"/>
              <w:ind w:left="0" w:leftChars="0" w:firstLine="0" w:firstLineChars="0"/>
              <w:jc w:val="center"/>
              <w:rPr>
                <w:rFonts w:hint="default"/>
                <w:sz w:val="21"/>
                <w:szCs w:val="21"/>
                <w:u w:val="none"/>
                <w:shd w:val="clear" w:fill="auto"/>
                <w:lang w:val="en-US"/>
              </w:rPr>
            </w:pPr>
            <w:r>
              <w:rPr>
                <w:rFonts w:hint="eastAsia" w:cstheme="minorBidi"/>
                <w:kern w:val="0"/>
                <w:sz w:val="21"/>
                <w:szCs w:val="21"/>
                <w:shd w:val="clear" w:fill="auto"/>
                <w:lang w:val="en-US" w:eastAsia="zh-CN" w:bidi="ar-SA"/>
              </w:rPr>
              <w:t>13</w:t>
            </w:r>
          </w:p>
        </w:tc>
        <w:tc>
          <w:tcPr>
            <w:tcW w:w="3553" w:type="dxa"/>
            <w:gridSpan w:val="2"/>
            <w:tcMar>
              <w:top w:w="15" w:type="dxa"/>
              <w:left w:w="15" w:type="dxa"/>
              <w:bottom w:w="0" w:type="dxa"/>
              <w:right w:w="15" w:type="dxa"/>
            </w:tcMar>
            <w:vAlign w:val="center"/>
          </w:tcPr>
          <w:p w14:paraId="0EFD8C76">
            <w:pPr>
              <w:pStyle w:val="8"/>
              <w:spacing w:after="0" w:line="240" w:lineRule="auto"/>
              <w:ind w:firstLine="0" w:firstLineChars="0"/>
              <w:rPr>
                <w:rFonts w:hint="default"/>
                <w:sz w:val="21"/>
                <w:szCs w:val="21"/>
                <w:u w:val="none"/>
                <w:shd w:val="clear" w:fill="auto"/>
                <w:lang w:val="en-US" w:eastAsia="zh-CN"/>
              </w:rPr>
            </w:pPr>
            <w:r>
              <w:rPr>
                <w:rFonts w:hint="eastAsia"/>
                <w:sz w:val="21"/>
                <w:szCs w:val="21"/>
                <w:u w:val="none"/>
                <w:shd w:val="clear" w:fill="auto"/>
                <w:lang w:val="en-US" w:eastAsia="zh-CN"/>
              </w:rPr>
              <w:t>人均预期寿命（岁）</w:t>
            </w:r>
          </w:p>
        </w:tc>
        <w:tc>
          <w:tcPr>
            <w:tcW w:w="1041" w:type="dxa"/>
            <w:noWrap/>
            <w:tcMar>
              <w:top w:w="15" w:type="dxa"/>
              <w:left w:w="15" w:type="dxa"/>
              <w:bottom w:w="0" w:type="dxa"/>
              <w:right w:w="15" w:type="dxa"/>
            </w:tcMar>
            <w:vAlign w:val="center"/>
          </w:tcPr>
          <w:p w14:paraId="62D95A97">
            <w:pPr>
              <w:pStyle w:val="8"/>
              <w:spacing w:after="0" w:line="240" w:lineRule="auto"/>
              <w:ind w:firstLine="0" w:firstLineChars="0"/>
              <w:jc w:val="center"/>
              <w:rPr>
                <w:rFonts w:hint="default" w:eastAsia="仿宋_GB2312"/>
                <w:color w:val="auto"/>
                <w:sz w:val="21"/>
                <w:szCs w:val="21"/>
                <w:u w:val="none"/>
                <w:shd w:val="clear" w:fill="auto"/>
                <w:lang w:val="en-US" w:eastAsia="zh-CN"/>
              </w:rPr>
            </w:pPr>
            <w:r>
              <w:rPr>
                <w:rFonts w:hint="eastAsia" w:eastAsia="仿宋_GB2312"/>
                <w:color w:val="auto"/>
                <w:sz w:val="21"/>
                <w:szCs w:val="21"/>
                <w:u w:val="none"/>
                <w:shd w:val="clear" w:fill="auto"/>
                <w:lang w:val="en-US" w:eastAsia="zh-CN"/>
              </w:rPr>
              <w:t>79.98</w:t>
            </w:r>
          </w:p>
        </w:tc>
        <w:tc>
          <w:tcPr>
            <w:tcW w:w="1350" w:type="dxa"/>
            <w:noWrap/>
            <w:tcMar>
              <w:top w:w="15" w:type="dxa"/>
              <w:left w:w="15" w:type="dxa"/>
              <w:bottom w:w="0" w:type="dxa"/>
              <w:right w:w="15" w:type="dxa"/>
            </w:tcMar>
            <w:vAlign w:val="center"/>
          </w:tcPr>
          <w:p w14:paraId="298FA7DC">
            <w:pPr>
              <w:pStyle w:val="8"/>
              <w:spacing w:after="0" w:line="240" w:lineRule="auto"/>
              <w:ind w:firstLine="0" w:firstLineChars="0"/>
              <w:jc w:val="center"/>
              <w:rPr>
                <w:rFonts w:hint="eastAsia" w:eastAsia="楷体_GB2312"/>
                <w:color w:val="auto"/>
                <w:sz w:val="21"/>
                <w:szCs w:val="21"/>
                <w:u w:val="none"/>
                <w:shd w:val="clear" w:fill="auto"/>
                <w:lang w:eastAsia="zh-CN"/>
              </w:rPr>
            </w:pPr>
            <w:r>
              <w:rPr>
                <w:rFonts w:hint="eastAsia"/>
                <w:color w:val="auto"/>
                <w:sz w:val="21"/>
                <w:szCs w:val="21"/>
                <w:u w:val="none"/>
                <w:shd w:val="clear" w:fill="auto"/>
                <w:lang w:eastAsia="zh-CN"/>
              </w:rPr>
              <w:t>——</w:t>
            </w:r>
          </w:p>
        </w:tc>
        <w:tc>
          <w:tcPr>
            <w:tcW w:w="1155" w:type="dxa"/>
            <w:noWrap/>
            <w:tcMar>
              <w:top w:w="15" w:type="dxa"/>
              <w:left w:w="15" w:type="dxa"/>
              <w:bottom w:w="0" w:type="dxa"/>
              <w:right w:w="15" w:type="dxa"/>
            </w:tcMar>
            <w:vAlign w:val="center"/>
          </w:tcPr>
          <w:p w14:paraId="24FE64A7">
            <w:pPr>
              <w:pStyle w:val="8"/>
              <w:spacing w:after="0" w:line="240" w:lineRule="auto"/>
              <w:ind w:firstLine="0" w:firstLineChars="0"/>
              <w:jc w:val="center"/>
              <w:rPr>
                <w:rFonts w:hint="eastAsia" w:eastAsia="楷体_GB2312"/>
                <w:sz w:val="21"/>
                <w:szCs w:val="21"/>
                <w:u w:val="none"/>
                <w:shd w:val="clear" w:fill="auto"/>
                <w:lang w:val="en-US" w:eastAsia="zh-CN"/>
              </w:rPr>
            </w:pPr>
            <w:r>
              <w:rPr>
                <w:rFonts w:hint="eastAsia"/>
                <w:sz w:val="21"/>
                <w:szCs w:val="21"/>
                <w:u w:val="none"/>
                <w:shd w:val="clear" w:fill="auto"/>
                <w:lang w:val="en-US" w:eastAsia="zh-CN"/>
              </w:rPr>
              <w:t>预期性</w:t>
            </w:r>
          </w:p>
        </w:tc>
      </w:tr>
      <w:tr w14:paraId="0E4E2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512" w:type="dxa"/>
            <w:vMerge w:val="continue"/>
            <w:noWrap/>
            <w:tcMar>
              <w:top w:w="15" w:type="dxa"/>
              <w:left w:w="15" w:type="dxa"/>
              <w:bottom w:w="0" w:type="dxa"/>
              <w:right w:w="15" w:type="dxa"/>
            </w:tcMar>
            <w:vAlign w:val="center"/>
          </w:tcPr>
          <w:p w14:paraId="7624D9B6">
            <w:pPr>
              <w:pStyle w:val="8"/>
              <w:spacing w:after="0" w:line="240" w:lineRule="auto"/>
              <w:ind w:firstLine="0" w:firstLineChars="0"/>
              <w:jc w:val="center"/>
              <w:rPr>
                <w:rFonts w:hint="eastAsia" w:ascii="楷体_GB2312" w:hAnsi="楷体_GB2312" w:eastAsia="楷体_GB2312" w:cs="楷体_GB2312"/>
                <w:b/>
                <w:bCs/>
                <w:sz w:val="24"/>
                <w:szCs w:val="24"/>
                <w:u w:val="none"/>
                <w:shd w:val="clear" w:fill="auto"/>
              </w:rPr>
            </w:pPr>
          </w:p>
        </w:tc>
        <w:tc>
          <w:tcPr>
            <w:tcW w:w="472" w:type="dxa"/>
            <w:vMerge w:val="restart"/>
            <w:vAlign w:val="center"/>
          </w:tcPr>
          <w:p w14:paraId="11CFF4C7">
            <w:pPr>
              <w:pStyle w:val="8"/>
              <w:numPr>
                <w:ilvl w:val="0"/>
                <w:numId w:val="0"/>
              </w:numPr>
              <w:spacing w:after="0" w:line="240" w:lineRule="auto"/>
              <w:ind w:left="0" w:leftChars="0" w:firstLine="0" w:firstLineChars="0"/>
              <w:jc w:val="center"/>
              <w:rPr>
                <w:rFonts w:hint="default"/>
                <w:sz w:val="21"/>
                <w:szCs w:val="21"/>
                <w:u w:val="none"/>
                <w:shd w:val="clear" w:fill="auto"/>
                <w:lang w:val="en-US"/>
              </w:rPr>
            </w:pPr>
            <w:r>
              <w:rPr>
                <w:rFonts w:hint="eastAsia" w:cstheme="minorBidi"/>
                <w:kern w:val="0"/>
                <w:sz w:val="21"/>
                <w:szCs w:val="21"/>
                <w:shd w:val="clear" w:fill="auto"/>
                <w:lang w:val="en-US" w:eastAsia="zh-CN" w:bidi="ar-SA"/>
              </w:rPr>
              <w:t>14</w:t>
            </w:r>
          </w:p>
        </w:tc>
        <w:tc>
          <w:tcPr>
            <w:tcW w:w="1776" w:type="dxa"/>
            <w:vMerge w:val="restart"/>
            <w:tcMar>
              <w:top w:w="15" w:type="dxa"/>
              <w:left w:w="15" w:type="dxa"/>
              <w:bottom w:w="0" w:type="dxa"/>
              <w:right w:w="15" w:type="dxa"/>
            </w:tcMar>
            <w:vAlign w:val="center"/>
          </w:tcPr>
          <w:p w14:paraId="1604CC93">
            <w:pPr>
              <w:pStyle w:val="8"/>
              <w:spacing w:after="0" w:line="240" w:lineRule="auto"/>
              <w:ind w:firstLine="0" w:firstLineChars="0"/>
              <w:rPr>
                <w:rFonts w:hint="default"/>
                <w:sz w:val="21"/>
                <w:szCs w:val="21"/>
                <w:u w:val="none"/>
                <w:shd w:val="clear" w:fill="auto"/>
                <w:lang w:val="en-US" w:eastAsia="zh-CN"/>
              </w:rPr>
            </w:pPr>
            <w:r>
              <w:rPr>
                <w:rFonts w:hint="eastAsia"/>
                <w:sz w:val="21"/>
                <w:szCs w:val="21"/>
                <w:u w:val="none"/>
                <w:shd w:val="clear" w:fill="auto"/>
                <w:lang w:val="en-US" w:eastAsia="zh-CN"/>
              </w:rPr>
              <w:t>每千人口拥有医护人员数</w:t>
            </w:r>
          </w:p>
        </w:tc>
        <w:tc>
          <w:tcPr>
            <w:tcW w:w="1777" w:type="dxa"/>
            <w:tcMar>
              <w:top w:w="15" w:type="dxa"/>
              <w:left w:w="15" w:type="dxa"/>
              <w:bottom w:w="0" w:type="dxa"/>
              <w:right w:w="15" w:type="dxa"/>
            </w:tcMar>
            <w:vAlign w:val="center"/>
          </w:tcPr>
          <w:p w14:paraId="52EAF25F">
            <w:pPr>
              <w:pStyle w:val="8"/>
              <w:spacing w:after="0" w:line="240" w:lineRule="auto"/>
              <w:ind w:firstLine="0" w:firstLineChars="0"/>
              <w:rPr>
                <w:rFonts w:hint="default"/>
                <w:sz w:val="21"/>
                <w:szCs w:val="21"/>
                <w:u w:val="none"/>
                <w:shd w:val="clear" w:fill="auto"/>
                <w:lang w:val="en-US" w:eastAsia="zh-CN"/>
              </w:rPr>
            </w:pPr>
            <w:r>
              <w:rPr>
                <w:rFonts w:hint="eastAsia"/>
                <w:sz w:val="21"/>
                <w:szCs w:val="21"/>
                <w:u w:val="none"/>
                <w:shd w:val="clear" w:fill="auto"/>
                <w:lang w:val="en-US" w:eastAsia="zh-CN"/>
              </w:rPr>
              <w:t>执业医师数（人）</w:t>
            </w:r>
          </w:p>
        </w:tc>
        <w:tc>
          <w:tcPr>
            <w:tcW w:w="1041" w:type="dxa"/>
            <w:noWrap/>
            <w:tcMar>
              <w:top w:w="15" w:type="dxa"/>
              <w:left w:w="15" w:type="dxa"/>
              <w:bottom w:w="0" w:type="dxa"/>
              <w:right w:w="15" w:type="dxa"/>
            </w:tcMar>
            <w:vAlign w:val="center"/>
          </w:tcPr>
          <w:p w14:paraId="3E266E07">
            <w:pPr>
              <w:pStyle w:val="8"/>
              <w:spacing w:after="0" w:line="240" w:lineRule="auto"/>
              <w:ind w:firstLine="0" w:firstLineChars="0"/>
              <w:jc w:val="center"/>
              <w:rPr>
                <w:rFonts w:hint="default" w:eastAsia="仿宋_GB2312"/>
                <w:color w:val="auto"/>
                <w:sz w:val="21"/>
                <w:szCs w:val="21"/>
                <w:u w:val="none"/>
                <w:shd w:val="clear" w:fill="auto"/>
                <w:lang w:val="en-US" w:eastAsia="zh-CN"/>
              </w:rPr>
            </w:pPr>
            <w:r>
              <w:rPr>
                <w:rFonts w:hint="eastAsia" w:eastAsia="仿宋_GB2312"/>
                <w:color w:val="auto"/>
                <w:sz w:val="21"/>
                <w:szCs w:val="21"/>
                <w:u w:val="none"/>
                <w:shd w:val="clear" w:fill="auto"/>
                <w:lang w:val="en-US" w:eastAsia="zh-CN"/>
              </w:rPr>
              <w:t>3.2</w:t>
            </w:r>
          </w:p>
        </w:tc>
        <w:tc>
          <w:tcPr>
            <w:tcW w:w="1350" w:type="dxa"/>
            <w:noWrap/>
            <w:tcMar>
              <w:top w:w="15" w:type="dxa"/>
              <w:left w:w="15" w:type="dxa"/>
              <w:bottom w:w="0" w:type="dxa"/>
              <w:right w:w="15" w:type="dxa"/>
            </w:tcMar>
            <w:vAlign w:val="center"/>
          </w:tcPr>
          <w:p w14:paraId="2DD64C79">
            <w:pPr>
              <w:pStyle w:val="8"/>
              <w:spacing w:after="0" w:line="240" w:lineRule="auto"/>
              <w:ind w:firstLine="0" w:firstLineChars="0"/>
              <w:jc w:val="center"/>
              <w:rPr>
                <w:rFonts w:hint="eastAsia" w:eastAsia="楷体_GB2312"/>
                <w:color w:val="auto"/>
                <w:sz w:val="21"/>
                <w:szCs w:val="21"/>
                <w:u w:val="none"/>
                <w:shd w:val="clear" w:fill="auto"/>
                <w:lang w:eastAsia="zh-CN"/>
              </w:rPr>
            </w:pPr>
            <w:r>
              <w:rPr>
                <w:rFonts w:hint="eastAsia"/>
                <w:color w:val="auto"/>
                <w:sz w:val="21"/>
                <w:szCs w:val="21"/>
                <w:u w:val="none"/>
                <w:shd w:val="clear" w:fill="auto"/>
                <w:lang w:eastAsia="zh-CN"/>
              </w:rPr>
              <w:t>——</w:t>
            </w:r>
          </w:p>
        </w:tc>
        <w:tc>
          <w:tcPr>
            <w:tcW w:w="1155" w:type="dxa"/>
            <w:noWrap/>
            <w:tcMar>
              <w:top w:w="15" w:type="dxa"/>
              <w:left w:w="15" w:type="dxa"/>
              <w:bottom w:w="0" w:type="dxa"/>
              <w:right w:w="15" w:type="dxa"/>
            </w:tcMar>
            <w:vAlign w:val="center"/>
          </w:tcPr>
          <w:p w14:paraId="39660464">
            <w:pPr>
              <w:pStyle w:val="8"/>
              <w:spacing w:after="0" w:line="240" w:lineRule="auto"/>
              <w:ind w:firstLine="0" w:firstLineChars="0"/>
              <w:jc w:val="center"/>
              <w:rPr>
                <w:rFonts w:hint="eastAsia" w:eastAsia="楷体_GB2312"/>
                <w:sz w:val="21"/>
                <w:szCs w:val="21"/>
                <w:u w:val="none"/>
                <w:shd w:val="clear" w:fill="auto"/>
                <w:lang w:val="en-US" w:eastAsia="zh-CN"/>
              </w:rPr>
            </w:pPr>
            <w:r>
              <w:rPr>
                <w:rFonts w:hint="eastAsia"/>
                <w:sz w:val="21"/>
                <w:szCs w:val="21"/>
                <w:u w:val="none"/>
                <w:shd w:val="clear" w:fill="auto"/>
                <w:lang w:val="en-US" w:eastAsia="zh-CN"/>
              </w:rPr>
              <w:t>预期性</w:t>
            </w:r>
          </w:p>
        </w:tc>
      </w:tr>
      <w:tr w14:paraId="1C9B2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512" w:type="dxa"/>
            <w:vMerge w:val="continue"/>
            <w:noWrap/>
            <w:tcMar>
              <w:top w:w="15" w:type="dxa"/>
              <w:left w:w="15" w:type="dxa"/>
              <w:bottom w:w="0" w:type="dxa"/>
              <w:right w:w="15" w:type="dxa"/>
            </w:tcMar>
            <w:vAlign w:val="center"/>
          </w:tcPr>
          <w:p w14:paraId="121EFF5E">
            <w:pPr>
              <w:pStyle w:val="8"/>
              <w:spacing w:after="0" w:line="240" w:lineRule="auto"/>
              <w:ind w:firstLine="0" w:firstLineChars="0"/>
              <w:jc w:val="center"/>
              <w:rPr>
                <w:rFonts w:hint="eastAsia" w:ascii="楷体_GB2312" w:hAnsi="楷体_GB2312" w:eastAsia="楷体_GB2312" w:cs="楷体_GB2312"/>
                <w:b/>
                <w:bCs/>
                <w:sz w:val="24"/>
                <w:szCs w:val="24"/>
                <w:u w:val="none"/>
                <w:shd w:val="clear" w:fill="auto"/>
              </w:rPr>
            </w:pPr>
          </w:p>
        </w:tc>
        <w:tc>
          <w:tcPr>
            <w:tcW w:w="472" w:type="dxa"/>
            <w:vMerge w:val="continue"/>
            <w:vAlign w:val="center"/>
          </w:tcPr>
          <w:p w14:paraId="26E343D3">
            <w:pPr>
              <w:pStyle w:val="8"/>
              <w:spacing w:after="0" w:line="240" w:lineRule="auto"/>
              <w:ind w:firstLineChars="0"/>
              <w:jc w:val="center"/>
              <w:rPr>
                <w:sz w:val="21"/>
                <w:szCs w:val="21"/>
                <w:u w:val="none"/>
                <w:shd w:val="clear" w:fill="auto"/>
              </w:rPr>
            </w:pPr>
          </w:p>
        </w:tc>
        <w:tc>
          <w:tcPr>
            <w:tcW w:w="1776" w:type="dxa"/>
            <w:vMerge w:val="continue"/>
            <w:tcMar>
              <w:top w:w="15" w:type="dxa"/>
              <w:left w:w="15" w:type="dxa"/>
              <w:bottom w:w="0" w:type="dxa"/>
              <w:right w:w="15" w:type="dxa"/>
            </w:tcMar>
            <w:vAlign w:val="center"/>
          </w:tcPr>
          <w:p w14:paraId="0659C985">
            <w:pPr>
              <w:pStyle w:val="8"/>
              <w:spacing w:after="0" w:line="240" w:lineRule="auto"/>
              <w:ind w:firstLine="0" w:firstLineChars="0"/>
              <w:rPr>
                <w:rFonts w:hint="eastAsia"/>
                <w:sz w:val="21"/>
                <w:szCs w:val="21"/>
                <w:u w:val="none"/>
                <w:shd w:val="clear" w:fill="auto"/>
                <w:lang w:val="en-US" w:eastAsia="zh-CN"/>
              </w:rPr>
            </w:pPr>
          </w:p>
        </w:tc>
        <w:tc>
          <w:tcPr>
            <w:tcW w:w="1777" w:type="dxa"/>
            <w:tcMar>
              <w:top w:w="15" w:type="dxa"/>
              <w:left w:w="15" w:type="dxa"/>
              <w:bottom w:w="0" w:type="dxa"/>
              <w:right w:w="15" w:type="dxa"/>
            </w:tcMar>
            <w:vAlign w:val="center"/>
          </w:tcPr>
          <w:p w14:paraId="2DE06B7E">
            <w:pPr>
              <w:pStyle w:val="8"/>
              <w:spacing w:after="0" w:line="240" w:lineRule="auto"/>
              <w:ind w:firstLine="0" w:firstLineChars="0"/>
              <w:rPr>
                <w:rFonts w:hint="default"/>
                <w:sz w:val="21"/>
                <w:szCs w:val="21"/>
                <w:u w:val="none"/>
                <w:shd w:val="clear" w:fill="auto"/>
                <w:lang w:val="en-US" w:eastAsia="zh-CN"/>
              </w:rPr>
            </w:pPr>
            <w:r>
              <w:rPr>
                <w:rFonts w:hint="eastAsia"/>
                <w:sz w:val="21"/>
                <w:szCs w:val="21"/>
                <w:u w:val="none"/>
                <w:shd w:val="clear" w:fill="auto"/>
                <w:lang w:val="en-US" w:eastAsia="zh-CN"/>
              </w:rPr>
              <w:t>注册护士数（人）</w:t>
            </w:r>
          </w:p>
        </w:tc>
        <w:tc>
          <w:tcPr>
            <w:tcW w:w="1041" w:type="dxa"/>
            <w:noWrap/>
            <w:tcMar>
              <w:top w:w="15" w:type="dxa"/>
              <w:left w:w="15" w:type="dxa"/>
              <w:bottom w:w="0" w:type="dxa"/>
              <w:right w:w="15" w:type="dxa"/>
            </w:tcMar>
            <w:vAlign w:val="center"/>
          </w:tcPr>
          <w:p w14:paraId="77ABDF7A">
            <w:pPr>
              <w:pStyle w:val="8"/>
              <w:spacing w:after="0" w:line="240" w:lineRule="auto"/>
              <w:ind w:firstLine="0" w:firstLineChars="0"/>
              <w:jc w:val="center"/>
              <w:rPr>
                <w:rFonts w:hint="default" w:eastAsia="仿宋_GB2312"/>
                <w:color w:val="auto"/>
                <w:sz w:val="21"/>
                <w:szCs w:val="21"/>
                <w:u w:val="none"/>
                <w:shd w:val="clear" w:fill="auto"/>
                <w:lang w:val="en-US" w:eastAsia="zh-CN"/>
              </w:rPr>
            </w:pPr>
            <w:r>
              <w:rPr>
                <w:rFonts w:hint="eastAsia" w:eastAsia="仿宋_GB2312"/>
                <w:color w:val="auto"/>
                <w:sz w:val="21"/>
                <w:szCs w:val="21"/>
                <w:u w:val="none"/>
                <w:shd w:val="clear" w:fill="auto"/>
                <w:lang w:val="en-US" w:eastAsia="zh-CN"/>
              </w:rPr>
              <w:t>4.45</w:t>
            </w:r>
          </w:p>
        </w:tc>
        <w:tc>
          <w:tcPr>
            <w:tcW w:w="1350" w:type="dxa"/>
            <w:noWrap/>
            <w:tcMar>
              <w:top w:w="15" w:type="dxa"/>
              <w:left w:w="15" w:type="dxa"/>
              <w:bottom w:w="0" w:type="dxa"/>
              <w:right w:w="15" w:type="dxa"/>
            </w:tcMar>
            <w:vAlign w:val="center"/>
          </w:tcPr>
          <w:p w14:paraId="255FF6EB">
            <w:pPr>
              <w:pStyle w:val="8"/>
              <w:spacing w:after="0" w:line="240" w:lineRule="auto"/>
              <w:ind w:firstLine="0" w:firstLineChars="0"/>
              <w:jc w:val="center"/>
              <w:rPr>
                <w:rFonts w:hint="eastAsia" w:eastAsia="楷体_GB2312"/>
                <w:color w:val="auto"/>
                <w:sz w:val="21"/>
                <w:szCs w:val="21"/>
                <w:u w:val="none"/>
                <w:shd w:val="clear" w:fill="auto"/>
                <w:lang w:eastAsia="zh-CN"/>
              </w:rPr>
            </w:pPr>
            <w:r>
              <w:rPr>
                <w:rFonts w:hint="eastAsia"/>
                <w:color w:val="auto"/>
                <w:sz w:val="21"/>
                <w:szCs w:val="21"/>
                <w:u w:val="none"/>
                <w:shd w:val="clear" w:fill="auto"/>
                <w:lang w:eastAsia="zh-CN"/>
              </w:rPr>
              <w:t>——</w:t>
            </w:r>
          </w:p>
        </w:tc>
        <w:tc>
          <w:tcPr>
            <w:tcW w:w="1155" w:type="dxa"/>
            <w:noWrap/>
            <w:tcMar>
              <w:top w:w="15" w:type="dxa"/>
              <w:left w:w="15" w:type="dxa"/>
              <w:bottom w:w="0" w:type="dxa"/>
              <w:right w:w="15" w:type="dxa"/>
            </w:tcMar>
            <w:vAlign w:val="center"/>
          </w:tcPr>
          <w:p w14:paraId="1D18B75E">
            <w:pPr>
              <w:pStyle w:val="8"/>
              <w:spacing w:after="0" w:line="240" w:lineRule="auto"/>
              <w:ind w:firstLine="0" w:firstLineChars="0"/>
              <w:jc w:val="center"/>
              <w:rPr>
                <w:rFonts w:hint="eastAsia" w:eastAsia="楷体_GB2312"/>
                <w:sz w:val="21"/>
                <w:szCs w:val="21"/>
                <w:u w:val="none"/>
                <w:shd w:val="clear" w:fill="auto"/>
                <w:lang w:val="en-US" w:eastAsia="zh-CN"/>
              </w:rPr>
            </w:pPr>
            <w:r>
              <w:rPr>
                <w:rFonts w:hint="eastAsia"/>
                <w:sz w:val="21"/>
                <w:szCs w:val="21"/>
                <w:u w:val="none"/>
                <w:shd w:val="clear" w:fill="auto"/>
                <w:lang w:val="en-US" w:eastAsia="zh-CN"/>
              </w:rPr>
              <w:t>预期性</w:t>
            </w:r>
          </w:p>
        </w:tc>
      </w:tr>
      <w:tr w14:paraId="04396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512" w:type="dxa"/>
            <w:vMerge w:val="continue"/>
            <w:noWrap/>
            <w:tcMar>
              <w:top w:w="15" w:type="dxa"/>
              <w:left w:w="15" w:type="dxa"/>
              <w:bottom w:w="0" w:type="dxa"/>
              <w:right w:w="15" w:type="dxa"/>
            </w:tcMar>
            <w:vAlign w:val="center"/>
          </w:tcPr>
          <w:p w14:paraId="6BC5D624">
            <w:pPr>
              <w:pStyle w:val="8"/>
              <w:spacing w:after="0" w:line="240" w:lineRule="auto"/>
              <w:ind w:firstLine="0" w:firstLineChars="0"/>
              <w:jc w:val="center"/>
              <w:rPr>
                <w:rFonts w:hint="eastAsia" w:ascii="楷体_GB2312" w:hAnsi="楷体_GB2312" w:eastAsia="楷体_GB2312" w:cs="楷体_GB2312"/>
                <w:b/>
                <w:bCs/>
                <w:sz w:val="24"/>
                <w:szCs w:val="24"/>
                <w:u w:val="none"/>
                <w:shd w:val="clear" w:fill="auto"/>
              </w:rPr>
            </w:pPr>
          </w:p>
        </w:tc>
        <w:tc>
          <w:tcPr>
            <w:tcW w:w="472" w:type="dxa"/>
            <w:vAlign w:val="center"/>
          </w:tcPr>
          <w:p w14:paraId="2C9CD2CC">
            <w:pPr>
              <w:pStyle w:val="8"/>
              <w:numPr>
                <w:ilvl w:val="0"/>
                <w:numId w:val="0"/>
              </w:numPr>
              <w:spacing w:after="0" w:line="240" w:lineRule="auto"/>
              <w:ind w:left="0" w:leftChars="0" w:firstLine="0" w:firstLineChars="0"/>
              <w:jc w:val="center"/>
              <w:rPr>
                <w:rFonts w:hint="default"/>
                <w:sz w:val="21"/>
                <w:szCs w:val="21"/>
                <w:u w:val="none"/>
                <w:shd w:val="clear" w:fill="auto"/>
                <w:lang w:val="en-US"/>
              </w:rPr>
            </w:pPr>
            <w:r>
              <w:rPr>
                <w:rFonts w:hint="eastAsia" w:cstheme="minorBidi"/>
                <w:kern w:val="0"/>
                <w:sz w:val="21"/>
                <w:szCs w:val="21"/>
                <w:shd w:val="clear" w:fill="auto"/>
                <w:lang w:val="en-US" w:eastAsia="zh-CN" w:bidi="ar-SA"/>
              </w:rPr>
              <w:t>15</w:t>
            </w:r>
          </w:p>
        </w:tc>
        <w:tc>
          <w:tcPr>
            <w:tcW w:w="3553" w:type="dxa"/>
            <w:gridSpan w:val="2"/>
            <w:tcMar>
              <w:top w:w="15" w:type="dxa"/>
              <w:left w:w="15" w:type="dxa"/>
              <w:bottom w:w="0" w:type="dxa"/>
              <w:right w:w="15" w:type="dxa"/>
            </w:tcMar>
            <w:vAlign w:val="center"/>
          </w:tcPr>
          <w:p w14:paraId="22800C3E">
            <w:pPr>
              <w:pStyle w:val="8"/>
              <w:spacing w:after="0" w:line="240" w:lineRule="auto"/>
              <w:ind w:firstLine="0" w:firstLineChars="0"/>
              <w:rPr>
                <w:rFonts w:hint="default"/>
                <w:sz w:val="21"/>
                <w:szCs w:val="21"/>
                <w:u w:val="none"/>
                <w:shd w:val="clear" w:fill="auto"/>
                <w:lang w:val="en-US" w:eastAsia="zh-CN"/>
              </w:rPr>
            </w:pPr>
            <w:r>
              <w:rPr>
                <w:rFonts w:hint="eastAsia"/>
                <w:sz w:val="21"/>
                <w:szCs w:val="21"/>
                <w:u w:val="none"/>
                <w:shd w:val="clear" w:fill="auto"/>
                <w:lang w:val="en-US" w:eastAsia="zh-CN"/>
              </w:rPr>
              <w:t>养老机构护理型床位占比（%）</w:t>
            </w:r>
          </w:p>
        </w:tc>
        <w:tc>
          <w:tcPr>
            <w:tcW w:w="1041" w:type="dxa"/>
            <w:noWrap/>
            <w:tcMar>
              <w:top w:w="15" w:type="dxa"/>
              <w:left w:w="15" w:type="dxa"/>
              <w:bottom w:w="0" w:type="dxa"/>
              <w:right w:w="15" w:type="dxa"/>
            </w:tcMar>
            <w:vAlign w:val="center"/>
          </w:tcPr>
          <w:p w14:paraId="0CDB365D">
            <w:pPr>
              <w:pStyle w:val="8"/>
              <w:spacing w:after="0" w:line="240" w:lineRule="auto"/>
              <w:ind w:firstLine="0" w:firstLineChars="0"/>
              <w:jc w:val="center"/>
              <w:rPr>
                <w:rFonts w:hint="default" w:eastAsia="仿宋_GB2312"/>
                <w:color w:val="auto"/>
                <w:sz w:val="21"/>
                <w:szCs w:val="21"/>
                <w:u w:val="none"/>
                <w:shd w:val="clear" w:fill="auto"/>
                <w:lang w:val="en-US" w:eastAsia="zh-CN"/>
              </w:rPr>
            </w:pPr>
            <w:r>
              <w:rPr>
                <w:rFonts w:hint="eastAsia" w:eastAsia="仿宋_GB2312"/>
                <w:color w:val="auto"/>
                <w:sz w:val="21"/>
                <w:szCs w:val="21"/>
                <w:u w:val="none"/>
                <w:shd w:val="clear" w:fill="auto"/>
                <w:lang w:val="en-US" w:eastAsia="zh-CN"/>
              </w:rPr>
              <w:t>80</w:t>
            </w:r>
          </w:p>
        </w:tc>
        <w:tc>
          <w:tcPr>
            <w:tcW w:w="1350" w:type="dxa"/>
            <w:noWrap/>
            <w:tcMar>
              <w:top w:w="15" w:type="dxa"/>
              <w:left w:w="15" w:type="dxa"/>
              <w:bottom w:w="0" w:type="dxa"/>
              <w:right w:w="15" w:type="dxa"/>
            </w:tcMar>
            <w:vAlign w:val="center"/>
          </w:tcPr>
          <w:p w14:paraId="74EDF886">
            <w:pPr>
              <w:pStyle w:val="8"/>
              <w:spacing w:after="0" w:line="240" w:lineRule="auto"/>
              <w:ind w:firstLine="0" w:firstLineChars="0"/>
              <w:jc w:val="center"/>
              <w:rPr>
                <w:rFonts w:hint="default" w:eastAsia="楷体_GB2312"/>
                <w:color w:val="auto"/>
                <w:sz w:val="21"/>
                <w:szCs w:val="21"/>
                <w:u w:val="none"/>
                <w:shd w:val="clear" w:fill="auto"/>
                <w:lang w:val="en-US" w:eastAsia="zh-CN"/>
              </w:rPr>
            </w:pPr>
            <w:r>
              <w:rPr>
                <w:rFonts w:hint="eastAsia"/>
                <w:color w:val="auto"/>
                <w:sz w:val="21"/>
                <w:szCs w:val="21"/>
                <w:u w:val="none"/>
                <w:shd w:val="clear" w:fill="auto"/>
                <w:lang w:eastAsia="zh-CN"/>
              </w:rPr>
              <w:t>——</w:t>
            </w:r>
          </w:p>
        </w:tc>
        <w:tc>
          <w:tcPr>
            <w:tcW w:w="1155" w:type="dxa"/>
            <w:noWrap/>
            <w:tcMar>
              <w:top w:w="15" w:type="dxa"/>
              <w:left w:w="15" w:type="dxa"/>
              <w:bottom w:w="0" w:type="dxa"/>
              <w:right w:w="15" w:type="dxa"/>
            </w:tcMar>
            <w:vAlign w:val="center"/>
          </w:tcPr>
          <w:p w14:paraId="24CAA6F5">
            <w:pPr>
              <w:pStyle w:val="8"/>
              <w:spacing w:after="0" w:line="240" w:lineRule="auto"/>
              <w:ind w:firstLine="0" w:firstLineChars="0"/>
              <w:jc w:val="center"/>
              <w:rPr>
                <w:rFonts w:hint="eastAsia" w:eastAsia="楷体_GB2312"/>
                <w:sz w:val="21"/>
                <w:szCs w:val="21"/>
                <w:u w:val="none"/>
                <w:shd w:val="clear" w:fill="auto"/>
                <w:lang w:val="en-US" w:eastAsia="zh-CN"/>
              </w:rPr>
            </w:pPr>
            <w:r>
              <w:rPr>
                <w:rFonts w:hint="eastAsia"/>
                <w:sz w:val="21"/>
                <w:szCs w:val="21"/>
                <w:u w:val="none"/>
                <w:shd w:val="clear" w:fill="auto"/>
                <w:lang w:val="en-US" w:eastAsia="zh-CN"/>
              </w:rPr>
              <w:t>预期性</w:t>
            </w:r>
          </w:p>
        </w:tc>
      </w:tr>
      <w:tr w14:paraId="692B0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512" w:type="dxa"/>
            <w:vMerge w:val="continue"/>
            <w:noWrap/>
            <w:tcMar>
              <w:top w:w="15" w:type="dxa"/>
              <w:left w:w="15" w:type="dxa"/>
              <w:bottom w:w="0" w:type="dxa"/>
              <w:right w:w="15" w:type="dxa"/>
            </w:tcMar>
            <w:vAlign w:val="center"/>
          </w:tcPr>
          <w:p w14:paraId="591162D4">
            <w:pPr>
              <w:pStyle w:val="8"/>
              <w:spacing w:after="0" w:line="240" w:lineRule="auto"/>
              <w:ind w:firstLine="0" w:firstLineChars="0"/>
              <w:jc w:val="center"/>
              <w:rPr>
                <w:rFonts w:hint="eastAsia" w:ascii="楷体_GB2312" w:hAnsi="楷体_GB2312" w:eastAsia="楷体_GB2312" w:cs="楷体_GB2312"/>
                <w:b/>
                <w:bCs/>
                <w:sz w:val="24"/>
                <w:szCs w:val="24"/>
                <w:u w:val="none"/>
                <w:shd w:val="clear" w:fill="auto"/>
              </w:rPr>
            </w:pPr>
          </w:p>
        </w:tc>
        <w:tc>
          <w:tcPr>
            <w:tcW w:w="472" w:type="dxa"/>
            <w:vAlign w:val="center"/>
          </w:tcPr>
          <w:p w14:paraId="01976826">
            <w:pPr>
              <w:pStyle w:val="8"/>
              <w:numPr>
                <w:ilvl w:val="0"/>
                <w:numId w:val="0"/>
              </w:numPr>
              <w:spacing w:after="0" w:line="240" w:lineRule="auto"/>
              <w:ind w:left="0" w:leftChars="0" w:firstLine="0" w:firstLineChars="0"/>
              <w:jc w:val="center"/>
              <w:rPr>
                <w:rFonts w:hint="default"/>
                <w:sz w:val="21"/>
                <w:szCs w:val="21"/>
                <w:u w:val="none"/>
                <w:shd w:val="clear" w:fill="auto"/>
                <w:lang w:val="en-US"/>
              </w:rPr>
            </w:pPr>
            <w:r>
              <w:rPr>
                <w:rFonts w:hint="eastAsia" w:cstheme="minorBidi"/>
                <w:kern w:val="0"/>
                <w:sz w:val="21"/>
                <w:szCs w:val="21"/>
                <w:shd w:val="clear" w:fill="auto"/>
                <w:lang w:val="en-US" w:eastAsia="zh-CN" w:bidi="ar-SA"/>
              </w:rPr>
              <w:t>16</w:t>
            </w:r>
          </w:p>
        </w:tc>
        <w:tc>
          <w:tcPr>
            <w:tcW w:w="3553" w:type="dxa"/>
            <w:gridSpan w:val="2"/>
            <w:tcMar>
              <w:top w:w="15" w:type="dxa"/>
              <w:left w:w="15" w:type="dxa"/>
              <w:bottom w:w="0" w:type="dxa"/>
              <w:right w:w="15" w:type="dxa"/>
            </w:tcMar>
            <w:vAlign w:val="center"/>
          </w:tcPr>
          <w:p w14:paraId="6EECCEB0">
            <w:pPr>
              <w:pStyle w:val="8"/>
              <w:spacing w:after="0" w:line="240" w:lineRule="auto"/>
              <w:ind w:firstLine="0" w:firstLineChars="0"/>
              <w:rPr>
                <w:rFonts w:hint="default"/>
                <w:sz w:val="21"/>
                <w:szCs w:val="21"/>
                <w:u w:val="none"/>
                <w:shd w:val="clear" w:fill="auto"/>
                <w:lang w:val="en-US" w:eastAsia="zh-CN"/>
              </w:rPr>
            </w:pPr>
            <w:r>
              <w:rPr>
                <w:rFonts w:hint="eastAsia"/>
                <w:sz w:val="21"/>
                <w:szCs w:val="21"/>
                <w:u w:val="none"/>
                <w:shd w:val="clear" w:fill="auto"/>
                <w:lang w:val="en-US" w:eastAsia="zh-CN"/>
              </w:rPr>
              <w:t>1-3岁婴幼儿入托率（%）</w:t>
            </w:r>
          </w:p>
        </w:tc>
        <w:tc>
          <w:tcPr>
            <w:tcW w:w="1041" w:type="dxa"/>
            <w:noWrap/>
            <w:tcMar>
              <w:top w:w="15" w:type="dxa"/>
              <w:left w:w="15" w:type="dxa"/>
              <w:bottom w:w="0" w:type="dxa"/>
              <w:right w:w="15" w:type="dxa"/>
            </w:tcMar>
            <w:vAlign w:val="center"/>
          </w:tcPr>
          <w:p w14:paraId="3A1EF849">
            <w:pPr>
              <w:pStyle w:val="8"/>
              <w:spacing w:after="0" w:line="240" w:lineRule="auto"/>
              <w:ind w:firstLine="0" w:firstLineChars="0"/>
              <w:jc w:val="center"/>
              <w:rPr>
                <w:rFonts w:hint="default" w:eastAsia="仿宋_GB2312"/>
                <w:color w:val="auto"/>
                <w:sz w:val="21"/>
                <w:szCs w:val="21"/>
                <w:u w:val="none"/>
                <w:shd w:val="clear" w:fill="auto"/>
                <w:lang w:val="en-US" w:eastAsia="zh-CN"/>
              </w:rPr>
            </w:pPr>
            <w:r>
              <w:rPr>
                <w:rFonts w:hint="eastAsia" w:eastAsia="仿宋_GB2312"/>
                <w:color w:val="auto"/>
                <w:sz w:val="21"/>
                <w:szCs w:val="21"/>
                <w:u w:val="none"/>
                <w:shd w:val="clear" w:fill="auto"/>
                <w:lang w:val="en-US" w:eastAsia="zh-CN"/>
              </w:rPr>
              <w:t>12.5</w:t>
            </w:r>
          </w:p>
        </w:tc>
        <w:tc>
          <w:tcPr>
            <w:tcW w:w="1350" w:type="dxa"/>
            <w:noWrap/>
            <w:tcMar>
              <w:top w:w="15" w:type="dxa"/>
              <w:left w:w="15" w:type="dxa"/>
              <w:bottom w:w="0" w:type="dxa"/>
              <w:right w:w="15" w:type="dxa"/>
            </w:tcMar>
            <w:vAlign w:val="center"/>
          </w:tcPr>
          <w:p w14:paraId="3BEF2E15">
            <w:pPr>
              <w:pStyle w:val="8"/>
              <w:spacing w:after="0" w:line="240" w:lineRule="auto"/>
              <w:ind w:firstLine="0" w:firstLineChars="0"/>
              <w:jc w:val="center"/>
              <w:rPr>
                <w:rFonts w:hint="eastAsia" w:eastAsia="楷体_GB2312"/>
                <w:color w:val="auto"/>
                <w:sz w:val="21"/>
                <w:szCs w:val="21"/>
                <w:u w:val="none"/>
                <w:shd w:val="clear" w:fill="auto"/>
                <w:lang w:eastAsia="zh-CN"/>
              </w:rPr>
            </w:pPr>
            <w:r>
              <w:rPr>
                <w:rFonts w:hint="eastAsia"/>
                <w:color w:val="auto"/>
                <w:sz w:val="21"/>
                <w:szCs w:val="21"/>
                <w:u w:val="none"/>
                <w:shd w:val="clear" w:fill="auto"/>
                <w:lang w:eastAsia="zh-CN"/>
              </w:rPr>
              <w:t>——</w:t>
            </w:r>
          </w:p>
        </w:tc>
        <w:tc>
          <w:tcPr>
            <w:tcW w:w="1155" w:type="dxa"/>
            <w:noWrap/>
            <w:tcMar>
              <w:top w:w="15" w:type="dxa"/>
              <w:left w:w="15" w:type="dxa"/>
              <w:bottom w:w="0" w:type="dxa"/>
              <w:right w:w="15" w:type="dxa"/>
            </w:tcMar>
            <w:vAlign w:val="center"/>
          </w:tcPr>
          <w:p w14:paraId="6EB54595">
            <w:pPr>
              <w:pStyle w:val="8"/>
              <w:spacing w:after="0" w:line="240" w:lineRule="auto"/>
              <w:ind w:firstLine="0" w:firstLineChars="0"/>
              <w:jc w:val="center"/>
              <w:rPr>
                <w:rFonts w:hint="eastAsia" w:eastAsia="楷体_GB2312"/>
                <w:sz w:val="21"/>
                <w:szCs w:val="21"/>
                <w:u w:val="none"/>
                <w:shd w:val="clear" w:fill="auto"/>
                <w:lang w:val="en-US" w:eastAsia="zh-CN"/>
              </w:rPr>
            </w:pPr>
            <w:r>
              <w:rPr>
                <w:rFonts w:hint="eastAsia"/>
                <w:sz w:val="21"/>
                <w:szCs w:val="21"/>
                <w:u w:val="none"/>
                <w:shd w:val="clear" w:fill="auto"/>
                <w:lang w:val="en-US" w:eastAsia="zh-CN"/>
              </w:rPr>
              <w:t>预期性</w:t>
            </w:r>
          </w:p>
        </w:tc>
      </w:tr>
      <w:tr w14:paraId="21FD5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512" w:type="dxa"/>
            <w:vMerge w:val="restart"/>
            <w:noWrap/>
            <w:tcMar>
              <w:top w:w="15" w:type="dxa"/>
              <w:left w:w="15" w:type="dxa"/>
              <w:bottom w:w="0" w:type="dxa"/>
              <w:right w:w="15" w:type="dxa"/>
            </w:tcMar>
            <w:vAlign w:val="center"/>
          </w:tcPr>
          <w:p w14:paraId="6815828E">
            <w:pPr>
              <w:pStyle w:val="8"/>
              <w:spacing w:after="0" w:line="240" w:lineRule="auto"/>
              <w:ind w:firstLine="0" w:firstLineChars="0"/>
              <w:jc w:val="center"/>
              <w:rPr>
                <w:rFonts w:hint="eastAsia" w:ascii="楷体_GB2312" w:hAnsi="楷体_GB2312" w:cs="楷体_GB2312"/>
                <w:b/>
                <w:bCs/>
                <w:sz w:val="24"/>
                <w:szCs w:val="24"/>
                <w:u w:val="none"/>
                <w:shd w:val="clear" w:fill="auto"/>
                <w:lang w:val="en-US" w:eastAsia="zh-CN"/>
              </w:rPr>
            </w:pPr>
            <w:r>
              <w:rPr>
                <w:rFonts w:hint="eastAsia" w:ascii="楷体_GB2312" w:hAnsi="楷体_GB2312" w:cs="楷体_GB2312"/>
                <w:b/>
                <w:bCs/>
                <w:sz w:val="24"/>
                <w:szCs w:val="24"/>
                <w:u w:val="none"/>
                <w:shd w:val="clear" w:fill="auto"/>
                <w:lang w:val="en-US" w:eastAsia="zh-CN"/>
              </w:rPr>
              <w:t>绿色</w:t>
            </w:r>
          </w:p>
          <w:p w14:paraId="7C8C2793">
            <w:pPr>
              <w:pStyle w:val="8"/>
              <w:spacing w:after="0" w:line="240" w:lineRule="auto"/>
              <w:ind w:firstLine="0" w:firstLineChars="0"/>
              <w:jc w:val="center"/>
              <w:rPr>
                <w:rFonts w:hint="default" w:ascii="楷体_GB2312" w:hAnsi="楷体_GB2312" w:eastAsia="楷体_GB2312" w:cs="楷体_GB2312"/>
                <w:b/>
                <w:bCs/>
                <w:sz w:val="24"/>
                <w:szCs w:val="24"/>
                <w:u w:val="none"/>
                <w:shd w:val="clear" w:fill="auto"/>
                <w:lang w:val="en-US" w:eastAsia="zh-CN"/>
              </w:rPr>
            </w:pPr>
            <w:r>
              <w:rPr>
                <w:rFonts w:hint="eastAsia" w:ascii="楷体_GB2312" w:hAnsi="楷体_GB2312" w:cs="楷体_GB2312"/>
                <w:b/>
                <w:bCs/>
                <w:sz w:val="24"/>
                <w:szCs w:val="24"/>
                <w:u w:val="none"/>
                <w:shd w:val="clear" w:fill="auto"/>
                <w:lang w:val="en-US" w:eastAsia="zh-CN"/>
              </w:rPr>
              <w:t>低碳</w:t>
            </w:r>
          </w:p>
        </w:tc>
        <w:tc>
          <w:tcPr>
            <w:tcW w:w="472" w:type="dxa"/>
            <w:vAlign w:val="center"/>
          </w:tcPr>
          <w:p w14:paraId="3E40749F">
            <w:pPr>
              <w:pStyle w:val="8"/>
              <w:numPr>
                <w:ilvl w:val="0"/>
                <w:numId w:val="0"/>
              </w:numPr>
              <w:spacing w:after="0" w:line="240" w:lineRule="auto"/>
              <w:ind w:left="0" w:leftChars="0" w:firstLine="0" w:firstLineChars="0"/>
              <w:jc w:val="center"/>
              <w:rPr>
                <w:rFonts w:hint="default"/>
                <w:sz w:val="21"/>
                <w:szCs w:val="21"/>
                <w:u w:val="none"/>
                <w:shd w:val="clear" w:fill="auto"/>
                <w:lang w:val="en-US"/>
              </w:rPr>
            </w:pPr>
            <w:r>
              <w:rPr>
                <w:rFonts w:hint="eastAsia" w:cstheme="minorBidi"/>
                <w:kern w:val="0"/>
                <w:sz w:val="21"/>
                <w:szCs w:val="21"/>
                <w:shd w:val="clear" w:fill="auto"/>
                <w:lang w:val="en-US" w:eastAsia="zh-CN" w:bidi="ar-SA"/>
              </w:rPr>
              <w:t>17</w:t>
            </w:r>
          </w:p>
        </w:tc>
        <w:tc>
          <w:tcPr>
            <w:tcW w:w="3553" w:type="dxa"/>
            <w:gridSpan w:val="2"/>
            <w:tcMar>
              <w:top w:w="15" w:type="dxa"/>
              <w:left w:w="15" w:type="dxa"/>
              <w:bottom w:w="0" w:type="dxa"/>
              <w:right w:w="15" w:type="dxa"/>
            </w:tcMar>
            <w:vAlign w:val="center"/>
          </w:tcPr>
          <w:p w14:paraId="2A4F9303">
            <w:pPr>
              <w:pStyle w:val="8"/>
              <w:spacing w:after="0" w:line="240" w:lineRule="auto"/>
              <w:ind w:firstLine="0" w:firstLineChars="0"/>
              <w:rPr>
                <w:rFonts w:hint="default"/>
                <w:sz w:val="21"/>
                <w:szCs w:val="21"/>
                <w:u w:val="none"/>
                <w:shd w:val="clear" w:fill="auto"/>
                <w:lang w:val="en-US" w:eastAsia="zh-CN"/>
              </w:rPr>
            </w:pPr>
            <w:r>
              <w:rPr>
                <w:rFonts w:hint="eastAsia"/>
                <w:sz w:val="21"/>
                <w:szCs w:val="21"/>
                <w:u w:val="none"/>
                <w:shd w:val="clear" w:fill="auto"/>
                <w:lang w:val="en-US" w:eastAsia="zh-CN"/>
              </w:rPr>
              <w:t>单位GDP碳排放强度降低（%）</w:t>
            </w:r>
          </w:p>
        </w:tc>
        <w:tc>
          <w:tcPr>
            <w:tcW w:w="2391" w:type="dxa"/>
            <w:gridSpan w:val="2"/>
            <w:noWrap/>
            <w:tcMar>
              <w:top w:w="15" w:type="dxa"/>
              <w:left w:w="15" w:type="dxa"/>
              <w:bottom w:w="0" w:type="dxa"/>
              <w:right w:w="15" w:type="dxa"/>
            </w:tcMar>
            <w:vAlign w:val="center"/>
          </w:tcPr>
          <w:p w14:paraId="46F7C9BF">
            <w:pPr>
              <w:pStyle w:val="8"/>
              <w:spacing w:after="0" w:line="240" w:lineRule="auto"/>
              <w:ind w:firstLine="0" w:firstLineChars="0"/>
              <w:jc w:val="center"/>
              <w:rPr>
                <w:rFonts w:hint="default" w:eastAsia="楷体_GB2312"/>
                <w:color w:val="auto"/>
                <w:sz w:val="21"/>
                <w:szCs w:val="21"/>
                <w:u w:val="none"/>
                <w:shd w:val="clear" w:fill="auto"/>
                <w:lang w:val="en-US" w:eastAsia="zh-CN"/>
              </w:rPr>
            </w:pPr>
            <w:r>
              <w:rPr>
                <w:rFonts w:hint="eastAsia" w:eastAsia="仿宋_GB2312"/>
                <w:color w:val="auto"/>
                <w:sz w:val="21"/>
                <w:szCs w:val="21"/>
                <w:u w:val="none"/>
                <w:shd w:val="clear" w:fill="auto"/>
                <w:lang w:val="en-US" w:eastAsia="zh-CN"/>
              </w:rPr>
              <w:t>完成省市下达目标</w:t>
            </w:r>
          </w:p>
        </w:tc>
        <w:tc>
          <w:tcPr>
            <w:tcW w:w="1155" w:type="dxa"/>
            <w:noWrap/>
            <w:tcMar>
              <w:top w:w="15" w:type="dxa"/>
              <w:left w:w="15" w:type="dxa"/>
              <w:bottom w:w="0" w:type="dxa"/>
              <w:right w:w="15" w:type="dxa"/>
            </w:tcMar>
            <w:vAlign w:val="center"/>
          </w:tcPr>
          <w:p w14:paraId="2F38C415">
            <w:pPr>
              <w:pStyle w:val="8"/>
              <w:spacing w:after="0" w:line="240" w:lineRule="auto"/>
              <w:ind w:firstLine="0" w:firstLineChars="0"/>
              <w:jc w:val="center"/>
              <w:rPr>
                <w:rFonts w:hint="default"/>
                <w:sz w:val="21"/>
                <w:szCs w:val="21"/>
                <w:u w:val="none"/>
                <w:shd w:val="clear" w:fill="auto"/>
                <w:lang w:val="en-US" w:eastAsia="zh-CN"/>
              </w:rPr>
            </w:pPr>
            <w:r>
              <w:rPr>
                <w:rFonts w:hint="eastAsia"/>
                <w:sz w:val="21"/>
                <w:szCs w:val="21"/>
                <w:u w:val="none"/>
                <w:shd w:val="clear" w:fill="auto"/>
                <w:lang w:val="en-US" w:eastAsia="zh-CN"/>
              </w:rPr>
              <w:t>约束性</w:t>
            </w:r>
          </w:p>
        </w:tc>
      </w:tr>
      <w:tr w14:paraId="045B1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512" w:type="dxa"/>
            <w:vMerge w:val="continue"/>
            <w:noWrap/>
            <w:tcMar>
              <w:top w:w="15" w:type="dxa"/>
              <w:left w:w="15" w:type="dxa"/>
              <w:bottom w:w="0" w:type="dxa"/>
              <w:right w:w="15" w:type="dxa"/>
            </w:tcMar>
            <w:vAlign w:val="center"/>
          </w:tcPr>
          <w:p w14:paraId="6F51B147">
            <w:pPr>
              <w:pStyle w:val="8"/>
              <w:spacing w:after="0" w:line="240" w:lineRule="auto"/>
              <w:ind w:firstLine="0" w:firstLineChars="0"/>
              <w:jc w:val="center"/>
              <w:rPr>
                <w:rFonts w:hint="eastAsia" w:ascii="楷体_GB2312" w:hAnsi="楷体_GB2312" w:eastAsia="楷体_GB2312" w:cs="楷体_GB2312"/>
                <w:b/>
                <w:bCs/>
                <w:sz w:val="24"/>
                <w:szCs w:val="24"/>
                <w:u w:val="none"/>
                <w:shd w:val="clear" w:fill="auto"/>
              </w:rPr>
            </w:pPr>
          </w:p>
        </w:tc>
        <w:tc>
          <w:tcPr>
            <w:tcW w:w="472" w:type="dxa"/>
            <w:vAlign w:val="center"/>
          </w:tcPr>
          <w:p w14:paraId="6B539B40">
            <w:pPr>
              <w:pStyle w:val="8"/>
              <w:numPr>
                <w:ilvl w:val="0"/>
                <w:numId w:val="0"/>
              </w:numPr>
              <w:spacing w:after="0" w:line="240" w:lineRule="auto"/>
              <w:ind w:left="0" w:leftChars="0" w:firstLine="0" w:firstLineChars="0"/>
              <w:jc w:val="center"/>
              <w:rPr>
                <w:rFonts w:hint="default"/>
                <w:sz w:val="21"/>
                <w:szCs w:val="21"/>
                <w:u w:val="none"/>
                <w:shd w:val="clear" w:fill="auto"/>
                <w:lang w:val="en-US"/>
              </w:rPr>
            </w:pPr>
            <w:r>
              <w:rPr>
                <w:rFonts w:hint="eastAsia" w:cstheme="minorBidi"/>
                <w:kern w:val="0"/>
                <w:sz w:val="21"/>
                <w:szCs w:val="21"/>
                <w:shd w:val="clear" w:fill="auto"/>
                <w:lang w:val="en-US" w:eastAsia="zh-CN" w:bidi="ar-SA"/>
              </w:rPr>
              <w:t>18</w:t>
            </w:r>
          </w:p>
        </w:tc>
        <w:tc>
          <w:tcPr>
            <w:tcW w:w="3553" w:type="dxa"/>
            <w:gridSpan w:val="2"/>
            <w:tcMar>
              <w:top w:w="15" w:type="dxa"/>
              <w:left w:w="15" w:type="dxa"/>
              <w:bottom w:w="0" w:type="dxa"/>
              <w:right w:w="15" w:type="dxa"/>
            </w:tcMar>
            <w:vAlign w:val="center"/>
          </w:tcPr>
          <w:p w14:paraId="16655D56">
            <w:pPr>
              <w:pStyle w:val="8"/>
              <w:spacing w:after="0" w:line="240" w:lineRule="auto"/>
              <w:ind w:firstLine="0" w:firstLineChars="0"/>
              <w:rPr>
                <w:rFonts w:hint="default"/>
                <w:sz w:val="21"/>
                <w:szCs w:val="21"/>
                <w:u w:val="none"/>
                <w:shd w:val="clear" w:fill="auto"/>
                <w:lang w:val="en-US" w:eastAsia="zh-CN"/>
              </w:rPr>
            </w:pPr>
            <w:r>
              <w:rPr>
                <w:rFonts w:hint="eastAsia"/>
                <w:sz w:val="21"/>
                <w:szCs w:val="21"/>
                <w:u w:val="none"/>
                <w:shd w:val="clear" w:fill="auto"/>
                <w:lang w:val="en-US" w:eastAsia="zh-CN"/>
              </w:rPr>
              <w:t>非化石能源占能源消费总量比重（%）</w:t>
            </w:r>
          </w:p>
        </w:tc>
        <w:tc>
          <w:tcPr>
            <w:tcW w:w="1041" w:type="dxa"/>
            <w:noWrap/>
            <w:tcMar>
              <w:top w:w="15" w:type="dxa"/>
              <w:left w:w="15" w:type="dxa"/>
              <w:bottom w:w="0" w:type="dxa"/>
              <w:right w:w="15" w:type="dxa"/>
            </w:tcMar>
            <w:vAlign w:val="center"/>
          </w:tcPr>
          <w:p w14:paraId="7B1DBC95">
            <w:pPr>
              <w:pStyle w:val="8"/>
              <w:spacing w:after="0" w:line="240" w:lineRule="auto"/>
              <w:ind w:firstLine="0" w:firstLineChars="0"/>
              <w:jc w:val="center"/>
              <w:rPr>
                <w:rFonts w:hint="default" w:eastAsia="仿宋_GB2312"/>
                <w:color w:val="auto"/>
                <w:sz w:val="21"/>
                <w:szCs w:val="21"/>
                <w:u w:val="none"/>
                <w:shd w:val="clear" w:fill="auto"/>
                <w:lang w:val="en-US" w:eastAsia="zh-CN"/>
              </w:rPr>
            </w:pPr>
            <w:r>
              <w:rPr>
                <w:rFonts w:hint="eastAsia" w:eastAsia="仿宋_GB2312"/>
                <w:color w:val="auto"/>
                <w:sz w:val="21"/>
                <w:szCs w:val="21"/>
                <w:u w:val="none"/>
                <w:shd w:val="clear" w:fill="auto"/>
                <w:lang w:val="en-US" w:eastAsia="zh-CN"/>
              </w:rPr>
              <w:t>25.16</w:t>
            </w:r>
          </w:p>
        </w:tc>
        <w:tc>
          <w:tcPr>
            <w:tcW w:w="1350" w:type="dxa"/>
            <w:noWrap/>
            <w:tcMar>
              <w:top w:w="15" w:type="dxa"/>
              <w:left w:w="15" w:type="dxa"/>
              <w:bottom w:w="0" w:type="dxa"/>
              <w:right w:w="15" w:type="dxa"/>
            </w:tcMar>
            <w:vAlign w:val="center"/>
          </w:tcPr>
          <w:p w14:paraId="67EE9A75">
            <w:pPr>
              <w:pStyle w:val="8"/>
              <w:spacing w:after="0" w:line="240" w:lineRule="auto"/>
              <w:ind w:firstLine="0" w:firstLineChars="0"/>
              <w:jc w:val="center"/>
              <w:rPr>
                <w:rFonts w:hint="default" w:eastAsia="楷体_GB2312"/>
                <w:color w:val="auto"/>
                <w:sz w:val="21"/>
                <w:szCs w:val="21"/>
                <w:u w:val="none"/>
                <w:shd w:val="clear" w:fill="auto"/>
                <w:lang w:val="en-US" w:eastAsia="zh-CN"/>
              </w:rPr>
            </w:pPr>
            <w:r>
              <w:rPr>
                <w:rFonts w:hint="eastAsia"/>
                <w:color w:val="auto"/>
                <w:sz w:val="21"/>
                <w:szCs w:val="21"/>
                <w:u w:val="none"/>
                <w:shd w:val="clear" w:fill="auto"/>
                <w:lang w:val="en-US" w:eastAsia="zh-CN"/>
              </w:rPr>
              <w:t>——</w:t>
            </w:r>
          </w:p>
        </w:tc>
        <w:tc>
          <w:tcPr>
            <w:tcW w:w="1155" w:type="dxa"/>
            <w:noWrap/>
            <w:tcMar>
              <w:top w:w="15" w:type="dxa"/>
              <w:left w:w="15" w:type="dxa"/>
              <w:bottom w:w="0" w:type="dxa"/>
              <w:right w:w="15" w:type="dxa"/>
            </w:tcMar>
            <w:vAlign w:val="center"/>
          </w:tcPr>
          <w:p w14:paraId="15AAB410">
            <w:pPr>
              <w:pStyle w:val="8"/>
              <w:spacing w:after="0" w:line="240" w:lineRule="auto"/>
              <w:ind w:firstLine="0" w:firstLineChars="0"/>
              <w:jc w:val="center"/>
              <w:rPr>
                <w:rFonts w:hint="default"/>
                <w:sz w:val="21"/>
                <w:szCs w:val="21"/>
                <w:u w:val="none"/>
                <w:shd w:val="clear" w:fill="auto"/>
                <w:lang w:val="en-US" w:eastAsia="zh-CN"/>
              </w:rPr>
            </w:pPr>
            <w:r>
              <w:rPr>
                <w:rFonts w:hint="eastAsia"/>
                <w:sz w:val="21"/>
                <w:szCs w:val="21"/>
                <w:u w:val="none"/>
                <w:shd w:val="clear" w:fill="auto"/>
                <w:lang w:val="en-US" w:eastAsia="zh-CN"/>
              </w:rPr>
              <w:t>约束性</w:t>
            </w:r>
          </w:p>
        </w:tc>
      </w:tr>
      <w:tr w14:paraId="6F512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512" w:type="dxa"/>
            <w:vMerge w:val="continue"/>
            <w:noWrap/>
            <w:tcMar>
              <w:top w:w="15" w:type="dxa"/>
              <w:left w:w="15" w:type="dxa"/>
              <w:bottom w:w="0" w:type="dxa"/>
              <w:right w:w="15" w:type="dxa"/>
            </w:tcMar>
            <w:vAlign w:val="center"/>
          </w:tcPr>
          <w:p w14:paraId="2119DECA">
            <w:pPr>
              <w:pStyle w:val="8"/>
              <w:spacing w:after="0" w:line="240" w:lineRule="auto"/>
              <w:ind w:firstLine="0" w:firstLineChars="0"/>
              <w:jc w:val="center"/>
              <w:rPr>
                <w:rFonts w:hint="eastAsia" w:ascii="楷体_GB2312" w:hAnsi="楷体_GB2312" w:eastAsia="楷体_GB2312" w:cs="楷体_GB2312"/>
                <w:b/>
                <w:bCs/>
                <w:sz w:val="24"/>
                <w:szCs w:val="24"/>
                <w:u w:val="none"/>
                <w:shd w:val="clear" w:fill="auto"/>
              </w:rPr>
            </w:pPr>
          </w:p>
        </w:tc>
        <w:tc>
          <w:tcPr>
            <w:tcW w:w="472" w:type="dxa"/>
            <w:vAlign w:val="center"/>
          </w:tcPr>
          <w:p w14:paraId="724B990C">
            <w:pPr>
              <w:pStyle w:val="8"/>
              <w:numPr>
                <w:ilvl w:val="0"/>
                <w:numId w:val="0"/>
              </w:numPr>
              <w:spacing w:after="0" w:line="240" w:lineRule="auto"/>
              <w:ind w:left="0" w:leftChars="0" w:firstLine="0" w:firstLineChars="0"/>
              <w:jc w:val="center"/>
              <w:rPr>
                <w:rFonts w:hint="default"/>
                <w:sz w:val="21"/>
                <w:szCs w:val="21"/>
                <w:u w:val="none"/>
                <w:shd w:val="clear" w:fill="auto"/>
                <w:lang w:val="en-US"/>
              </w:rPr>
            </w:pPr>
            <w:r>
              <w:rPr>
                <w:rFonts w:hint="eastAsia" w:cstheme="minorBidi"/>
                <w:kern w:val="0"/>
                <w:sz w:val="21"/>
                <w:szCs w:val="21"/>
                <w:shd w:val="clear" w:fill="auto"/>
                <w:lang w:val="en-US" w:eastAsia="zh-CN" w:bidi="ar-SA"/>
              </w:rPr>
              <w:t>19</w:t>
            </w:r>
          </w:p>
        </w:tc>
        <w:tc>
          <w:tcPr>
            <w:tcW w:w="3553" w:type="dxa"/>
            <w:gridSpan w:val="2"/>
            <w:tcMar>
              <w:top w:w="15" w:type="dxa"/>
              <w:left w:w="15" w:type="dxa"/>
              <w:bottom w:w="0" w:type="dxa"/>
              <w:right w:w="15" w:type="dxa"/>
            </w:tcMar>
            <w:vAlign w:val="center"/>
          </w:tcPr>
          <w:p w14:paraId="69498719">
            <w:pPr>
              <w:pStyle w:val="8"/>
              <w:spacing w:after="0" w:line="240" w:lineRule="auto"/>
              <w:ind w:firstLine="0" w:firstLineChars="0"/>
              <w:rPr>
                <w:rFonts w:hint="default"/>
                <w:sz w:val="21"/>
                <w:szCs w:val="21"/>
                <w:u w:val="none"/>
                <w:shd w:val="clear" w:fill="auto"/>
                <w:lang w:val="en-US" w:eastAsia="zh-CN"/>
              </w:rPr>
            </w:pPr>
            <w:r>
              <w:rPr>
                <w:rFonts w:hint="eastAsia"/>
                <w:sz w:val="21"/>
                <w:szCs w:val="21"/>
                <w:u w:val="none"/>
                <w:shd w:val="clear" w:fill="auto"/>
                <w:lang w:val="en-US" w:eastAsia="zh-CN"/>
              </w:rPr>
              <w:t>新能源装机占全市电力总装机比重（%）</w:t>
            </w:r>
          </w:p>
        </w:tc>
        <w:tc>
          <w:tcPr>
            <w:tcW w:w="1041" w:type="dxa"/>
            <w:noWrap/>
            <w:tcMar>
              <w:top w:w="15" w:type="dxa"/>
              <w:left w:w="15" w:type="dxa"/>
              <w:bottom w:w="0" w:type="dxa"/>
              <w:right w:w="15" w:type="dxa"/>
            </w:tcMar>
            <w:vAlign w:val="center"/>
          </w:tcPr>
          <w:p w14:paraId="5695C933">
            <w:pPr>
              <w:pStyle w:val="8"/>
              <w:spacing w:after="0" w:line="240" w:lineRule="auto"/>
              <w:ind w:firstLine="0" w:firstLineChars="0"/>
              <w:jc w:val="center"/>
              <w:rPr>
                <w:rFonts w:hint="default" w:eastAsia="仿宋_GB2312"/>
                <w:color w:val="auto"/>
                <w:sz w:val="21"/>
                <w:szCs w:val="21"/>
                <w:u w:val="none"/>
                <w:shd w:val="clear" w:fill="auto"/>
                <w:lang w:val="en-US" w:eastAsia="zh-CN"/>
              </w:rPr>
            </w:pPr>
            <w:r>
              <w:rPr>
                <w:rFonts w:hint="eastAsia" w:eastAsia="仿宋_GB2312"/>
                <w:color w:val="auto"/>
                <w:sz w:val="21"/>
                <w:szCs w:val="21"/>
                <w:u w:val="none"/>
                <w:shd w:val="clear" w:fill="auto"/>
                <w:lang w:val="en-US" w:eastAsia="zh-CN"/>
              </w:rPr>
              <w:t>80</w:t>
            </w:r>
          </w:p>
        </w:tc>
        <w:tc>
          <w:tcPr>
            <w:tcW w:w="1350" w:type="dxa"/>
            <w:noWrap/>
            <w:tcMar>
              <w:top w:w="15" w:type="dxa"/>
              <w:left w:w="15" w:type="dxa"/>
              <w:bottom w:w="0" w:type="dxa"/>
              <w:right w:w="15" w:type="dxa"/>
            </w:tcMar>
            <w:vAlign w:val="center"/>
          </w:tcPr>
          <w:p w14:paraId="23CE583D">
            <w:pPr>
              <w:pStyle w:val="8"/>
              <w:spacing w:after="0" w:line="240" w:lineRule="auto"/>
              <w:ind w:firstLine="0" w:firstLineChars="0"/>
              <w:jc w:val="center"/>
              <w:rPr>
                <w:rFonts w:hint="eastAsia"/>
                <w:color w:val="auto"/>
                <w:sz w:val="21"/>
                <w:szCs w:val="21"/>
                <w:u w:val="none"/>
                <w:shd w:val="clear" w:fill="auto"/>
                <w:lang w:val="en-US" w:eastAsia="zh-CN"/>
              </w:rPr>
            </w:pPr>
            <w:r>
              <w:rPr>
                <w:rFonts w:hint="eastAsia"/>
                <w:color w:val="auto"/>
                <w:sz w:val="21"/>
                <w:szCs w:val="21"/>
                <w:u w:val="none"/>
                <w:shd w:val="clear" w:fill="auto"/>
                <w:lang w:val="en-US" w:eastAsia="zh-CN"/>
              </w:rPr>
              <w:t>——</w:t>
            </w:r>
          </w:p>
        </w:tc>
        <w:tc>
          <w:tcPr>
            <w:tcW w:w="1155" w:type="dxa"/>
            <w:noWrap/>
            <w:tcMar>
              <w:top w:w="15" w:type="dxa"/>
              <w:left w:w="15" w:type="dxa"/>
              <w:bottom w:w="0" w:type="dxa"/>
              <w:right w:w="15" w:type="dxa"/>
            </w:tcMar>
            <w:vAlign w:val="center"/>
          </w:tcPr>
          <w:p w14:paraId="2D71D05E">
            <w:pPr>
              <w:pStyle w:val="8"/>
              <w:spacing w:after="0" w:line="240" w:lineRule="auto"/>
              <w:ind w:firstLine="0" w:firstLineChars="0"/>
              <w:jc w:val="center"/>
              <w:rPr>
                <w:rFonts w:hint="default"/>
                <w:sz w:val="21"/>
                <w:szCs w:val="21"/>
                <w:u w:val="none"/>
                <w:shd w:val="clear" w:fill="auto"/>
                <w:lang w:val="en-US" w:eastAsia="zh-CN"/>
              </w:rPr>
            </w:pPr>
            <w:r>
              <w:rPr>
                <w:rFonts w:hint="eastAsia"/>
                <w:sz w:val="21"/>
                <w:szCs w:val="21"/>
                <w:u w:val="none"/>
                <w:shd w:val="clear" w:fill="auto"/>
                <w:lang w:val="en-US" w:eastAsia="zh-CN"/>
              </w:rPr>
              <w:t>预期性</w:t>
            </w:r>
          </w:p>
        </w:tc>
      </w:tr>
      <w:tr w14:paraId="2604E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512" w:type="dxa"/>
            <w:vMerge w:val="continue"/>
            <w:noWrap/>
            <w:tcMar>
              <w:top w:w="15" w:type="dxa"/>
              <w:left w:w="15" w:type="dxa"/>
              <w:bottom w:w="0" w:type="dxa"/>
              <w:right w:w="15" w:type="dxa"/>
            </w:tcMar>
            <w:vAlign w:val="center"/>
          </w:tcPr>
          <w:p w14:paraId="148AA350">
            <w:pPr>
              <w:pStyle w:val="8"/>
              <w:spacing w:after="0" w:line="240" w:lineRule="auto"/>
              <w:ind w:firstLine="0" w:firstLineChars="0"/>
              <w:jc w:val="center"/>
              <w:rPr>
                <w:rFonts w:hint="eastAsia" w:ascii="楷体_GB2312" w:hAnsi="楷体_GB2312" w:eastAsia="楷体_GB2312" w:cs="楷体_GB2312"/>
                <w:b/>
                <w:bCs/>
                <w:sz w:val="24"/>
                <w:szCs w:val="24"/>
                <w:u w:val="none"/>
                <w:shd w:val="clear" w:fill="auto"/>
              </w:rPr>
            </w:pPr>
          </w:p>
        </w:tc>
        <w:tc>
          <w:tcPr>
            <w:tcW w:w="472" w:type="dxa"/>
            <w:vAlign w:val="center"/>
          </w:tcPr>
          <w:p w14:paraId="7F2B5F3B">
            <w:pPr>
              <w:pStyle w:val="8"/>
              <w:numPr>
                <w:ilvl w:val="0"/>
                <w:numId w:val="0"/>
              </w:numPr>
              <w:spacing w:after="0" w:line="240" w:lineRule="auto"/>
              <w:ind w:left="0" w:leftChars="0" w:firstLine="0" w:firstLineChars="0"/>
              <w:jc w:val="center"/>
              <w:rPr>
                <w:rFonts w:hint="default"/>
                <w:sz w:val="21"/>
                <w:szCs w:val="21"/>
                <w:u w:val="none"/>
                <w:shd w:val="clear" w:fill="auto"/>
                <w:lang w:val="en-US"/>
              </w:rPr>
            </w:pPr>
            <w:r>
              <w:rPr>
                <w:rFonts w:hint="eastAsia" w:cstheme="minorBidi"/>
                <w:kern w:val="0"/>
                <w:sz w:val="21"/>
                <w:szCs w:val="21"/>
                <w:shd w:val="clear" w:fill="auto"/>
                <w:lang w:val="en-US" w:eastAsia="zh-CN" w:bidi="ar-SA"/>
              </w:rPr>
              <w:t>20</w:t>
            </w:r>
          </w:p>
        </w:tc>
        <w:tc>
          <w:tcPr>
            <w:tcW w:w="3553" w:type="dxa"/>
            <w:gridSpan w:val="2"/>
            <w:tcMar>
              <w:top w:w="15" w:type="dxa"/>
              <w:left w:w="15" w:type="dxa"/>
              <w:bottom w:w="0" w:type="dxa"/>
              <w:right w:w="15" w:type="dxa"/>
            </w:tcMar>
            <w:vAlign w:val="center"/>
          </w:tcPr>
          <w:p w14:paraId="3ACA4A28">
            <w:pPr>
              <w:pStyle w:val="8"/>
              <w:spacing w:after="0" w:line="240" w:lineRule="auto"/>
              <w:ind w:firstLine="0" w:firstLineChars="0"/>
              <w:rPr>
                <w:rFonts w:hint="default"/>
                <w:sz w:val="21"/>
                <w:szCs w:val="21"/>
                <w:u w:val="none"/>
                <w:shd w:val="clear" w:fill="auto"/>
                <w:lang w:val="en-US" w:eastAsia="zh-CN"/>
              </w:rPr>
            </w:pPr>
            <w:r>
              <w:rPr>
                <w:rFonts w:hint="eastAsia"/>
                <w:sz w:val="21"/>
                <w:szCs w:val="21"/>
                <w:u w:val="none"/>
                <w:shd w:val="clear" w:fill="auto"/>
                <w:lang w:val="en-US" w:eastAsia="zh-CN"/>
              </w:rPr>
              <w:t>细颗粒物（</w:t>
            </w:r>
            <w:r>
              <w:rPr>
                <w:rFonts w:hint="default" w:ascii="Times New Roman" w:hAnsi="Times New Roman" w:cs="Times New Roman"/>
                <w:sz w:val="21"/>
                <w:szCs w:val="21"/>
                <w:u w:val="none"/>
                <w:shd w:val="clear" w:fill="auto"/>
                <w:lang w:val="en-US" w:eastAsia="zh-CN"/>
              </w:rPr>
              <w:t>PM2.5</w:t>
            </w:r>
            <w:r>
              <w:rPr>
                <w:rFonts w:hint="eastAsia"/>
                <w:sz w:val="21"/>
                <w:szCs w:val="21"/>
                <w:u w:val="none"/>
                <w:shd w:val="clear" w:fill="auto"/>
                <w:lang w:val="en-US" w:eastAsia="zh-CN"/>
              </w:rPr>
              <w:t>）浓度（微克/立方米）</w:t>
            </w:r>
          </w:p>
        </w:tc>
        <w:tc>
          <w:tcPr>
            <w:tcW w:w="2391" w:type="dxa"/>
            <w:gridSpan w:val="2"/>
            <w:noWrap/>
            <w:tcMar>
              <w:top w:w="15" w:type="dxa"/>
              <w:left w:w="15" w:type="dxa"/>
              <w:bottom w:w="0" w:type="dxa"/>
              <w:right w:w="15" w:type="dxa"/>
            </w:tcMar>
            <w:vAlign w:val="center"/>
          </w:tcPr>
          <w:p w14:paraId="62B90FB3">
            <w:pPr>
              <w:pStyle w:val="8"/>
              <w:spacing w:after="0" w:line="240" w:lineRule="auto"/>
              <w:ind w:firstLine="0" w:firstLineChars="0"/>
              <w:jc w:val="center"/>
              <w:rPr>
                <w:rFonts w:hint="eastAsia" w:eastAsia="楷体_GB2312"/>
                <w:color w:val="auto"/>
                <w:sz w:val="21"/>
                <w:szCs w:val="21"/>
                <w:u w:val="none"/>
                <w:shd w:val="clear" w:fill="auto"/>
                <w:lang w:eastAsia="zh-CN"/>
              </w:rPr>
            </w:pPr>
            <w:r>
              <w:rPr>
                <w:rFonts w:hint="eastAsia" w:eastAsia="仿宋_GB2312"/>
                <w:color w:val="auto"/>
                <w:sz w:val="21"/>
                <w:szCs w:val="21"/>
                <w:u w:val="none"/>
                <w:shd w:val="clear" w:fill="auto"/>
                <w:lang w:val="en-US" w:eastAsia="zh-CN"/>
              </w:rPr>
              <w:t>完成省市下达目标</w:t>
            </w:r>
          </w:p>
        </w:tc>
        <w:tc>
          <w:tcPr>
            <w:tcW w:w="1155" w:type="dxa"/>
            <w:noWrap/>
            <w:tcMar>
              <w:top w:w="15" w:type="dxa"/>
              <w:left w:w="15" w:type="dxa"/>
              <w:bottom w:w="0" w:type="dxa"/>
              <w:right w:w="15" w:type="dxa"/>
            </w:tcMar>
            <w:vAlign w:val="center"/>
          </w:tcPr>
          <w:p w14:paraId="2F3F7807">
            <w:pPr>
              <w:pStyle w:val="8"/>
              <w:spacing w:after="0" w:line="240" w:lineRule="auto"/>
              <w:ind w:firstLine="0" w:firstLineChars="0"/>
              <w:jc w:val="center"/>
              <w:rPr>
                <w:rFonts w:hint="default"/>
                <w:sz w:val="21"/>
                <w:szCs w:val="21"/>
                <w:u w:val="none"/>
                <w:shd w:val="clear" w:fill="auto"/>
                <w:lang w:val="en-US" w:eastAsia="zh-CN"/>
              </w:rPr>
            </w:pPr>
            <w:r>
              <w:rPr>
                <w:rFonts w:hint="eastAsia"/>
                <w:sz w:val="21"/>
                <w:szCs w:val="21"/>
                <w:u w:val="none"/>
                <w:shd w:val="clear" w:fill="auto"/>
                <w:lang w:val="en-US" w:eastAsia="zh-CN"/>
              </w:rPr>
              <w:t>约束性</w:t>
            </w:r>
          </w:p>
        </w:tc>
      </w:tr>
      <w:tr w14:paraId="3E0C8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512" w:type="dxa"/>
            <w:vMerge w:val="continue"/>
            <w:noWrap/>
            <w:tcMar>
              <w:top w:w="15" w:type="dxa"/>
              <w:left w:w="15" w:type="dxa"/>
              <w:bottom w:w="0" w:type="dxa"/>
              <w:right w:w="15" w:type="dxa"/>
            </w:tcMar>
            <w:vAlign w:val="center"/>
          </w:tcPr>
          <w:p w14:paraId="022E57B3">
            <w:pPr>
              <w:pStyle w:val="8"/>
              <w:spacing w:after="0" w:line="240" w:lineRule="auto"/>
              <w:ind w:firstLine="0" w:firstLineChars="0"/>
              <w:jc w:val="center"/>
              <w:rPr>
                <w:rFonts w:hint="eastAsia" w:ascii="楷体_GB2312" w:hAnsi="楷体_GB2312" w:eastAsia="楷体_GB2312" w:cs="楷体_GB2312"/>
                <w:b/>
                <w:bCs/>
                <w:sz w:val="24"/>
                <w:szCs w:val="24"/>
                <w:u w:val="none"/>
                <w:shd w:val="clear" w:fill="auto"/>
              </w:rPr>
            </w:pPr>
          </w:p>
        </w:tc>
        <w:tc>
          <w:tcPr>
            <w:tcW w:w="472" w:type="dxa"/>
            <w:vAlign w:val="center"/>
          </w:tcPr>
          <w:p w14:paraId="07C3967E">
            <w:pPr>
              <w:pStyle w:val="8"/>
              <w:numPr>
                <w:ilvl w:val="0"/>
                <w:numId w:val="0"/>
              </w:numPr>
              <w:spacing w:after="0" w:line="240" w:lineRule="auto"/>
              <w:ind w:left="0" w:leftChars="0" w:firstLine="0" w:firstLineChars="0"/>
              <w:jc w:val="center"/>
              <w:rPr>
                <w:rFonts w:hint="default" w:eastAsia="楷体_GB2312"/>
                <w:sz w:val="21"/>
                <w:szCs w:val="21"/>
                <w:u w:val="none"/>
                <w:shd w:val="clear" w:fill="auto"/>
                <w:lang w:val="en-US" w:eastAsia="zh-CN"/>
              </w:rPr>
            </w:pPr>
            <w:r>
              <w:rPr>
                <w:rFonts w:hint="eastAsia"/>
                <w:sz w:val="21"/>
                <w:szCs w:val="21"/>
                <w:u w:val="none"/>
                <w:shd w:val="clear" w:fill="auto"/>
                <w:lang w:val="en-US" w:eastAsia="zh-CN"/>
              </w:rPr>
              <w:t>21</w:t>
            </w:r>
          </w:p>
        </w:tc>
        <w:tc>
          <w:tcPr>
            <w:tcW w:w="3553" w:type="dxa"/>
            <w:gridSpan w:val="2"/>
            <w:tcMar>
              <w:top w:w="15" w:type="dxa"/>
              <w:left w:w="15" w:type="dxa"/>
              <w:bottom w:w="0" w:type="dxa"/>
              <w:right w:w="15" w:type="dxa"/>
            </w:tcMar>
            <w:vAlign w:val="center"/>
          </w:tcPr>
          <w:p w14:paraId="061C35DF">
            <w:pPr>
              <w:pStyle w:val="8"/>
              <w:spacing w:after="0" w:line="240" w:lineRule="auto"/>
              <w:ind w:firstLine="0" w:firstLineChars="0"/>
              <w:rPr>
                <w:rFonts w:hint="default"/>
                <w:sz w:val="21"/>
                <w:szCs w:val="21"/>
                <w:u w:val="none"/>
                <w:shd w:val="clear" w:fill="auto"/>
                <w:lang w:val="en-US" w:eastAsia="zh-CN"/>
              </w:rPr>
            </w:pPr>
            <w:r>
              <w:rPr>
                <w:rFonts w:hint="eastAsia"/>
                <w:sz w:val="21"/>
                <w:szCs w:val="21"/>
                <w:u w:val="none"/>
                <w:shd w:val="clear" w:fill="auto"/>
                <w:lang w:val="en-US" w:eastAsia="zh-CN"/>
              </w:rPr>
              <w:t>地表水优良水体比例</w:t>
            </w:r>
          </w:p>
        </w:tc>
        <w:tc>
          <w:tcPr>
            <w:tcW w:w="2391" w:type="dxa"/>
            <w:gridSpan w:val="2"/>
            <w:noWrap/>
            <w:tcMar>
              <w:top w:w="15" w:type="dxa"/>
              <w:left w:w="15" w:type="dxa"/>
              <w:bottom w:w="0" w:type="dxa"/>
              <w:right w:w="15" w:type="dxa"/>
            </w:tcMar>
            <w:vAlign w:val="center"/>
          </w:tcPr>
          <w:p w14:paraId="0C21DF10">
            <w:pPr>
              <w:pStyle w:val="8"/>
              <w:spacing w:after="0" w:line="240" w:lineRule="auto"/>
              <w:ind w:firstLine="0" w:firstLineChars="0"/>
              <w:jc w:val="center"/>
              <w:rPr>
                <w:rFonts w:hint="default" w:eastAsia="楷体_GB2312"/>
                <w:color w:val="auto"/>
                <w:sz w:val="21"/>
                <w:szCs w:val="21"/>
                <w:u w:val="none"/>
                <w:shd w:val="clear" w:fill="auto"/>
                <w:lang w:val="en-US" w:eastAsia="zh-CN"/>
              </w:rPr>
            </w:pPr>
            <w:r>
              <w:rPr>
                <w:rFonts w:hint="eastAsia" w:eastAsia="仿宋_GB2312"/>
                <w:color w:val="auto"/>
                <w:sz w:val="21"/>
                <w:szCs w:val="21"/>
                <w:u w:val="none"/>
                <w:shd w:val="clear" w:fill="auto"/>
                <w:lang w:val="en-US" w:eastAsia="zh-CN"/>
              </w:rPr>
              <w:t>完成省市下达目标</w:t>
            </w:r>
          </w:p>
        </w:tc>
        <w:tc>
          <w:tcPr>
            <w:tcW w:w="1155" w:type="dxa"/>
            <w:noWrap/>
            <w:tcMar>
              <w:top w:w="15" w:type="dxa"/>
              <w:left w:w="15" w:type="dxa"/>
              <w:bottom w:w="0" w:type="dxa"/>
              <w:right w:w="15" w:type="dxa"/>
            </w:tcMar>
            <w:vAlign w:val="center"/>
          </w:tcPr>
          <w:p w14:paraId="0108D69C">
            <w:pPr>
              <w:pStyle w:val="8"/>
              <w:spacing w:after="0" w:line="240" w:lineRule="auto"/>
              <w:ind w:firstLine="0" w:firstLineChars="0"/>
              <w:jc w:val="center"/>
              <w:rPr>
                <w:rFonts w:hint="default"/>
                <w:sz w:val="21"/>
                <w:szCs w:val="21"/>
                <w:u w:val="none"/>
                <w:shd w:val="clear" w:fill="auto"/>
                <w:lang w:val="en-US" w:eastAsia="zh-CN"/>
              </w:rPr>
            </w:pPr>
            <w:r>
              <w:rPr>
                <w:rFonts w:hint="eastAsia"/>
                <w:sz w:val="21"/>
                <w:szCs w:val="21"/>
                <w:u w:val="none"/>
                <w:shd w:val="clear" w:fill="auto"/>
                <w:lang w:val="en-US" w:eastAsia="zh-CN"/>
              </w:rPr>
              <w:t>约束性</w:t>
            </w:r>
          </w:p>
        </w:tc>
      </w:tr>
      <w:tr w14:paraId="291D7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512" w:type="dxa"/>
            <w:vMerge w:val="continue"/>
            <w:noWrap/>
            <w:tcMar>
              <w:top w:w="15" w:type="dxa"/>
              <w:left w:w="15" w:type="dxa"/>
              <w:bottom w:w="0" w:type="dxa"/>
              <w:right w:w="15" w:type="dxa"/>
            </w:tcMar>
            <w:vAlign w:val="center"/>
          </w:tcPr>
          <w:p w14:paraId="1E2F8D9E">
            <w:pPr>
              <w:pStyle w:val="8"/>
              <w:spacing w:after="0" w:line="240" w:lineRule="auto"/>
              <w:ind w:firstLine="0" w:firstLineChars="0"/>
              <w:jc w:val="center"/>
              <w:rPr>
                <w:rFonts w:hint="eastAsia" w:ascii="楷体_GB2312" w:hAnsi="楷体_GB2312" w:eastAsia="楷体_GB2312" w:cs="楷体_GB2312"/>
                <w:b/>
                <w:bCs/>
                <w:sz w:val="24"/>
                <w:szCs w:val="24"/>
                <w:u w:val="none"/>
                <w:shd w:val="clear" w:fill="auto"/>
              </w:rPr>
            </w:pPr>
          </w:p>
        </w:tc>
        <w:tc>
          <w:tcPr>
            <w:tcW w:w="472" w:type="dxa"/>
            <w:vAlign w:val="center"/>
          </w:tcPr>
          <w:p w14:paraId="56D05115">
            <w:pPr>
              <w:pStyle w:val="8"/>
              <w:numPr>
                <w:ilvl w:val="0"/>
                <w:numId w:val="0"/>
              </w:numPr>
              <w:spacing w:after="0" w:line="240" w:lineRule="auto"/>
              <w:ind w:left="0" w:leftChars="0" w:firstLine="0" w:firstLineChars="0"/>
              <w:jc w:val="center"/>
              <w:rPr>
                <w:rFonts w:hint="default"/>
                <w:sz w:val="21"/>
                <w:szCs w:val="21"/>
                <w:u w:val="none"/>
                <w:shd w:val="clear" w:fill="auto"/>
                <w:lang w:val="en-US"/>
              </w:rPr>
            </w:pPr>
            <w:r>
              <w:rPr>
                <w:rFonts w:hint="eastAsia" w:cstheme="minorBidi"/>
                <w:kern w:val="0"/>
                <w:sz w:val="21"/>
                <w:szCs w:val="21"/>
                <w:shd w:val="clear" w:fill="auto"/>
                <w:lang w:val="en-US" w:eastAsia="zh-CN" w:bidi="ar-SA"/>
              </w:rPr>
              <w:t>22</w:t>
            </w:r>
          </w:p>
        </w:tc>
        <w:tc>
          <w:tcPr>
            <w:tcW w:w="3553" w:type="dxa"/>
            <w:gridSpan w:val="2"/>
            <w:tcMar>
              <w:top w:w="15" w:type="dxa"/>
              <w:left w:w="15" w:type="dxa"/>
              <w:bottom w:w="0" w:type="dxa"/>
              <w:right w:w="15" w:type="dxa"/>
            </w:tcMar>
            <w:vAlign w:val="center"/>
          </w:tcPr>
          <w:p w14:paraId="0C7B02E9">
            <w:pPr>
              <w:pStyle w:val="8"/>
              <w:spacing w:after="0" w:line="240" w:lineRule="auto"/>
              <w:ind w:firstLine="0" w:firstLineChars="0"/>
              <w:rPr>
                <w:rFonts w:hint="default"/>
                <w:sz w:val="21"/>
                <w:szCs w:val="21"/>
                <w:u w:val="none"/>
                <w:shd w:val="clear" w:fill="auto"/>
                <w:lang w:val="en-US" w:eastAsia="zh-CN"/>
              </w:rPr>
            </w:pPr>
            <w:r>
              <w:rPr>
                <w:rFonts w:hint="eastAsia"/>
                <w:sz w:val="21"/>
                <w:szCs w:val="21"/>
                <w:u w:val="none"/>
                <w:shd w:val="clear" w:fill="auto"/>
                <w:lang w:val="en-US" w:eastAsia="zh-CN"/>
              </w:rPr>
              <w:t>森林覆盖率（%）</w:t>
            </w:r>
          </w:p>
        </w:tc>
        <w:tc>
          <w:tcPr>
            <w:tcW w:w="1041" w:type="dxa"/>
            <w:noWrap/>
            <w:tcMar>
              <w:top w:w="15" w:type="dxa"/>
              <w:left w:w="15" w:type="dxa"/>
              <w:bottom w:w="0" w:type="dxa"/>
              <w:right w:w="15" w:type="dxa"/>
            </w:tcMar>
            <w:vAlign w:val="center"/>
          </w:tcPr>
          <w:p w14:paraId="2B709040">
            <w:pPr>
              <w:pStyle w:val="8"/>
              <w:spacing w:after="0" w:line="240" w:lineRule="auto"/>
              <w:ind w:firstLine="0" w:firstLineChars="0"/>
              <w:jc w:val="center"/>
              <w:rPr>
                <w:rFonts w:hint="default" w:eastAsia="仿宋_GB2312"/>
                <w:color w:val="auto"/>
                <w:sz w:val="21"/>
                <w:szCs w:val="21"/>
                <w:u w:val="none"/>
                <w:shd w:val="clear" w:fill="auto"/>
                <w:lang w:val="en-US" w:eastAsia="zh-CN"/>
              </w:rPr>
            </w:pPr>
            <w:r>
              <w:rPr>
                <w:rFonts w:hint="eastAsia" w:eastAsia="仿宋_GB2312"/>
                <w:color w:val="auto"/>
                <w:sz w:val="21"/>
                <w:szCs w:val="21"/>
                <w:u w:val="none"/>
                <w:shd w:val="clear" w:fill="auto"/>
                <w:lang w:val="en-US" w:eastAsia="zh-CN"/>
              </w:rPr>
              <w:t>16.87</w:t>
            </w:r>
          </w:p>
        </w:tc>
        <w:tc>
          <w:tcPr>
            <w:tcW w:w="1350" w:type="dxa"/>
            <w:noWrap/>
            <w:tcMar>
              <w:top w:w="15" w:type="dxa"/>
              <w:left w:w="15" w:type="dxa"/>
              <w:bottom w:w="0" w:type="dxa"/>
              <w:right w:w="15" w:type="dxa"/>
            </w:tcMar>
            <w:vAlign w:val="center"/>
          </w:tcPr>
          <w:p w14:paraId="41B47DF6">
            <w:pPr>
              <w:pStyle w:val="8"/>
              <w:spacing w:after="0" w:line="240" w:lineRule="auto"/>
              <w:ind w:firstLine="0" w:firstLineChars="0"/>
              <w:jc w:val="center"/>
              <w:rPr>
                <w:rFonts w:hint="eastAsia" w:eastAsia="楷体_GB2312"/>
                <w:color w:val="auto"/>
                <w:sz w:val="21"/>
                <w:szCs w:val="21"/>
                <w:u w:val="none"/>
                <w:shd w:val="clear" w:fill="auto"/>
                <w:lang w:eastAsia="zh-CN"/>
              </w:rPr>
            </w:pPr>
          </w:p>
        </w:tc>
        <w:tc>
          <w:tcPr>
            <w:tcW w:w="1155" w:type="dxa"/>
            <w:noWrap/>
            <w:tcMar>
              <w:top w:w="15" w:type="dxa"/>
              <w:left w:w="15" w:type="dxa"/>
              <w:bottom w:w="0" w:type="dxa"/>
              <w:right w:w="15" w:type="dxa"/>
            </w:tcMar>
            <w:vAlign w:val="center"/>
          </w:tcPr>
          <w:p w14:paraId="35E8B9CE">
            <w:pPr>
              <w:pStyle w:val="8"/>
              <w:spacing w:after="0" w:line="240" w:lineRule="auto"/>
              <w:ind w:firstLine="0" w:firstLineChars="0"/>
              <w:jc w:val="center"/>
              <w:rPr>
                <w:rFonts w:hint="default"/>
                <w:sz w:val="21"/>
                <w:szCs w:val="21"/>
                <w:u w:val="none"/>
                <w:shd w:val="clear" w:fill="auto"/>
                <w:lang w:val="en-US" w:eastAsia="zh-CN"/>
              </w:rPr>
            </w:pPr>
            <w:r>
              <w:rPr>
                <w:rFonts w:hint="eastAsia"/>
                <w:sz w:val="21"/>
                <w:szCs w:val="21"/>
                <w:u w:val="none"/>
                <w:shd w:val="clear" w:fill="auto"/>
                <w:lang w:val="en-US" w:eastAsia="zh-CN"/>
              </w:rPr>
              <w:t>约束性</w:t>
            </w:r>
          </w:p>
        </w:tc>
      </w:tr>
      <w:tr w14:paraId="68378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512" w:type="dxa"/>
            <w:vMerge w:val="continue"/>
            <w:noWrap/>
            <w:tcMar>
              <w:top w:w="15" w:type="dxa"/>
              <w:left w:w="15" w:type="dxa"/>
              <w:bottom w:w="0" w:type="dxa"/>
              <w:right w:w="15" w:type="dxa"/>
            </w:tcMar>
            <w:vAlign w:val="center"/>
          </w:tcPr>
          <w:p w14:paraId="0BE711A3">
            <w:pPr>
              <w:pStyle w:val="8"/>
              <w:spacing w:after="0" w:line="240" w:lineRule="auto"/>
              <w:ind w:firstLine="0" w:firstLineChars="0"/>
              <w:jc w:val="center"/>
              <w:rPr>
                <w:rFonts w:hint="eastAsia" w:ascii="楷体_GB2312" w:hAnsi="楷体_GB2312" w:eastAsia="楷体_GB2312" w:cs="楷体_GB2312"/>
                <w:b/>
                <w:bCs/>
                <w:sz w:val="24"/>
                <w:szCs w:val="24"/>
                <w:u w:val="none"/>
                <w:shd w:val="clear" w:fill="auto"/>
              </w:rPr>
            </w:pPr>
          </w:p>
        </w:tc>
        <w:tc>
          <w:tcPr>
            <w:tcW w:w="472" w:type="dxa"/>
            <w:vAlign w:val="center"/>
          </w:tcPr>
          <w:p w14:paraId="71FE5BFB">
            <w:pPr>
              <w:pStyle w:val="8"/>
              <w:numPr>
                <w:ilvl w:val="0"/>
                <w:numId w:val="0"/>
              </w:numPr>
              <w:spacing w:after="0" w:line="240" w:lineRule="auto"/>
              <w:ind w:left="0" w:leftChars="0" w:firstLine="0" w:firstLineChars="0"/>
              <w:jc w:val="center"/>
              <w:rPr>
                <w:rFonts w:hint="default"/>
                <w:sz w:val="21"/>
                <w:szCs w:val="21"/>
                <w:u w:val="none"/>
                <w:shd w:val="clear" w:fill="auto"/>
                <w:lang w:val="en-US"/>
              </w:rPr>
            </w:pPr>
            <w:r>
              <w:rPr>
                <w:rFonts w:hint="eastAsia" w:cstheme="minorBidi"/>
                <w:kern w:val="0"/>
                <w:sz w:val="21"/>
                <w:szCs w:val="21"/>
                <w:shd w:val="clear" w:fill="auto"/>
                <w:lang w:val="en-US" w:eastAsia="zh-CN" w:bidi="ar-SA"/>
              </w:rPr>
              <w:t>23</w:t>
            </w:r>
          </w:p>
        </w:tc>
        <w:tc>
          <w:tcPr>
            <w:tcW w:w="3553" w:type="dxa"/>
            <w:gridSpan w:val="2"/>
            <w:tcMar>
              <w:top w:w="15" w:type="dxa"/>
              <w:left w:w="15" w:type="dxa"/>
              <w:bottom w:w="0" w:type="dxa"/>
              <w:right w:w="15" w:type="dxa"/>
            </w:tcMar>
            <w:vAlign w:val="center"/>
          </w:tcPr>
          <w:p w14:paraId="0A7AFDFA">
            <w:pPr>
              <w:pStyle w:val="8"/>
              <w:spacing w:after="0" w:line="240" w:lineRule="auto"/>
              <w:ind w:firstLine="0" w:firstLineChars="0"/>
              <w:rPr>
                <w:rFonts w:hint="default"/>
                <w:sz w:val="21"/>
                <w:szCs w:val="21"/>
                <w:u w:val="none"/>
                <w:shd w:val="clear" w:fill="auto"/>
                <w:lang w:val="en-US" w:eastAsia="zh-CN"/>
              </w:rPr>
            </w:pPr>
            <w:r>
              <w:rPr>
                <w:rFonts w:hint="eastAsia"/>
                <w:sz w:val="21"/>
                <w:szCs w:val="21"/>
                <w:u w:val="none"/>
                <w:shd w:val="clear" w:fill="auto"/>
                <w:lang w:val="en-US" w:eastAsia="zh-CN"/>
              </w:rPr>
              <w:t>耕地质量等级（等）</w:t>
            </w:r>
          </w:p>
        </w:tc>
        <w:tc>
          <w:tcPr>
            <w:tcW w:w="1041" w:type="dxa"/>
            <w:noWrap/>
            <w:tcMar>
              <w:top w:w="15" w:type="dxa"/>
              <w:left w:w="15" w:type="dxa"/>
              <w:bottom w:w="0" w:type="dxa"/>
              <w:right w:w="15" w:type="dxa"/>
            </w:tcMar>
            <w:vAlign w:val="center"/>
          </w:tcPr>
          <w:p w14:paraId="65024CB0">
            <w:pPr>
              <w:pStyle w:val="8"/>
              <w:spacing w:after="0" w:line="240" w:lineRule="auto"/>
              <w:ind w:firstLine="0" w:firstLineChars="0"/>
              <w:jc w:val="center"/>
              <w:rPr>
                <w:rFonts w:hint="default" w:eastAsia="仿宋_GB2312"/>
                <w:color w:val="auto"/>
                <w:sz w:val="21"/>
                <w:szCs w:val="21"/>
                <w:u w:val="none"/>
                <w:shd w:val="clear" w:fill="auto"/>
                <w:lang w:val="en-US" w:eastAsia="zh-CN"/>
              </w:rPr>
            </w:pPr>
            <w:r>
              <w:rPr>
                <w:rFonts w:hint="eastAsia" w:eastAsia="仿宋_GB2312"/>
                <w:color w:val="auto"/>
                <w:sz w:val="21"/>
                <w:szCs w:val="21"/>
                <w:u w:val="none"/>
                <w:shd w:val="clear" w:fill="auto"/>
                <w:lang w:val="en-US" w:eastAsia="zh-CN"/>
              </w:rPr>
              <w:t>2.41</w:t>
            </w:r>
          </w:p>
        </w:tc>
        <w:tc>
          <w:tcPr>
            <w:tcW w:w="1350" w:type="dxa"/>
            <w:noWrap/>
            <w:tcMar>
              <w:top w:w="15" w:type="dxa"/>
              <w:left w:w="15" w:type="dxa"/>
              <w:bottom w:w="0" w:type="dxa"/>
              <w:right w:w="15" w:type="dxa"/>
            </w:tcMar>
            <w:vAlign w:val="center"/>
          </w:tcPr>
          <w:p w14:paraId="661C82F8">
            <w:pPr>
              <w:pStyle w:val="8"/>
              <w:spacing w:after="0" w:line="240" w:lineRule="auto"/>
              <w:ind w:firstLine="0" w:firstLineChars="0"/>
              <w:jc w:val="center"/>
              <w:rPr>
                <w:rFonts w:hint="eastAsia" w:eastAsia="楷体_GB2312"/>
                <w:color w:val="auto"/>
                <w:sz w:val="21"/>
                <w:szCs w:val="21"/>
                <w:u w:val="none"/>
                <w:shd w:val="clear" w:fill="auto"/>
                <w:lang w:eastAsia="zh-CN"/>
              </w:rPr>
            </w:pPr>
            <w:r>
              <w:rPr>
                <w:rFonts w:hint="eastAsia"/>
                <w:color w:val="auto"/>
                <w:sz w:val="21"/>
                <w:szCs w:val="21"/>
                <w:u w:val="none"/>
                <w:shd w:val="clear" w:fill="auto"/>
                <w:lang w:eastAsia="zh-CN"/>
              </w:rPr>
              <w:t>——</w:t>
            </w:r>
          </w:p>
        </w:tc>
        <w:tc>
          <w:tcPr>
            <w:tcW w:w="1155" w:type="dxa"/>
            <w:noWrap/>
            <w:tcMar>
              <w:top w:w="15" w:type="dxa"/>
              <w:left w:w="15" w:type="dxa"/>
              <w:bottom w:w="0" w:type="dxa"/>
              <w:right w:w="15" w:type="dxa"/>
            </w:tcMar>
            <w:vAlign w:val="center"/>
          </w:tcPr>
          <w:p w14:paraId="20371DA4">
            <w:pPr>
              <w:pStyle w:val="8"/>
              <w:spacing w:after="0" w:line="240" w:lineRule="auto"/>
              <w:ind w:firstLine="0" w:firstLineChars="0"/>
              <w:jc w:val="center"/>
              <w:rPr>
                <w:rFonts w:hint="default"/>
                <w:sz w:val="21"/>
                <w:szCs w:val="21"/>
                <w:u w:val="none"/>
                <w:shd w:val="clear" w:fill="auto"/>
                <w:lang w:val="en-US" w:eastAsia="zh-CN"/>
              </w:rPr>
            </w:pPr>
            <w:r>
              <w:rPr>
                <w:rFonts w:hint="eastAsia"/>
                <w:sz w:val="21"/>
                <w:szCs w:val="21"/>
                <w:u w:val="none"/>
                <w:shd w:val="clear" w:fill="auto"/>
                <w:lang w:val="en-US" w:eastAsia="zh-CN"/>
              </w:rPr>
              <w:t>预期性</w:t>
            </w:r>
          </w:p>
        </w:tc>
      </w:tr>
      <w:tr w14:paraId="736CD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512" w:type="dxa"/>
            <w:noWrap/>
            <w:tcMar>
              <w:top w:w="15" w:type="dxa"/>
              <w:left w:w="15" w:type="dxa"/>
              <w:bottom w:w="0" w:type="dxa"/>
              <w:right w:w="15" w:type="dxa"/>
            </w:tcMar>
            <w:vAlign w:val="center"/>
          </w:tcPr>
          <w:p w14:paraId="2A8FC8E7">
            <w:pPr>
              <w:pStyle w:val="8"/>
              <w:spacing w:after="0" w:line="240" w:lineRule="auto"/>
              <w:ind w:firstLine="0" w:firstLineChars="0"/>
              <w:jc w:val="center"/>
              <w:rPr>
                <w:rFonts w:hint="eastAsia" w:ascii="楷体_GB2312" w:hAnsi="楷体_GB2312" w:eastAsia="楷体_GB2312" w:cs="楷体_GB2312"/>
                <w:b/>
                <w:bCs/>
                <w:sz w:val="24"/>
                <w:szCs w:val="24"/>
                <w:u w:val="none"/>
                <w:shd w:val="clear" w:fill="auto"/>
                <w:lang w:eastAsia="zh-CN"/>
              </w:rPr>
            </w:pPr>
            <w:r>
              <w:rPr>
                <w:rFonts w:hint="eastAsia" w:ascii="楷体_GB2312" w:hAnsi="楷体_GB2312" w:cs="楷体_GB2312"/>
                <w:b/>
                <w:bCs/>
                <w:sz w:val="24"/>
                <w:szCs w:val="24"/>
                <w:u w:val="none"/>
                <w:shd w:val="clear" w:fill="auto"/>
                <w:lang w:eastAsia="zh-CN"/>
              </w:rPr>
              <w:t>对外开放</w:t>
            </w:r>
          </w:p>
        </w:tc>
        <w:tc>
          <w:tcPr>
            <w:tcW w:w="472" w:type="dxa"/>
            <w:shd w:val="clear" w:color="auto" w:fill="auto"/>
            <w:vAlign w:val="center"/>
          </w:tcPr>
          <w:p w14:paraId="78D18C89">
            <w:pPr>
              <w:pStyle w:val="8"/>
              <w:numPr>
                <w:ilvl w:val="0"/>
                <w:numId w:val="0"/>
              </w:numPr>
              <w:spacing w:after="0" w:line="240" w:lineRule="auto"/>
              <w:ind w:left="0" w:leftChars="0" w:firstLine="0" w:firstLineChars="0"/>
              <w:jc w:val="center"/>
              <w:rPr>
                <w:rFonts w:hint="default" w:eastAsia="楷体_GB2312" w:asciiTheme="minorAscii" w:hAnsiTheme="minorAscii" w:cstheme="minorBidi"/>
                <w:kern w:val="0"/>
                <w:sz w:val="21"/>
                <w:szCs w:val="21"/>
                <w:highlight w:val="yellow"/>
                <w:u w:val="none"/>
                <w:shd w:val="clear" w:fill="auto"/>
                <w:lang w:val="en-US" w:eastAsia="zh-CN" w:bidi="ar-SA"/>
              </w:rPr>
            </w:pPr>
            <w:r>
              <w:rPr>
                <w:rFonts w:hint="eastAsia" w:cstheme="minorBidi"/>
                <w:kern w:val="0"/>
                <w:sz w:val="21"/>
                <w:szCs w:val="21"/>
                <w:shd w:val="clear" w:fill="auto"/>
                <w:lang w:val="en-US" w:eastAsia="zh-CN" w:bidi="ar-SA"/>
              </w:rPr>
              <w:t>24</w:t>
            </w:r>
          </w:p>
        </w:tc>
        <w:tc>
          <w:tcPr>
            <w:tcW w:w="3553" w:type="dxa"/>
            <w:gridSpan w:val="2"/>
            <w:shd w:val="clear" w:color="auto" w:fill="auto"/>
            <w:tcMar>
              <w:top w:w="15" w:type="dxa"/>
              <w:left w:w="15" w:type="dxa"/>
              <w:bottom w:w="0" w:type="dxa"/>
              <w:right w:w="15" w:type="dxa"/>
            </w:tcMar>
            <w:vAlign w:val="center"/>
          </w:tcPr>
          <w:p w14:paraId="7DF6776B">
            <w:pPr>
              <w:pStyle w:val="8"/>
              <w:spacing w:after="0" w:line="240" w:lineRule="auto"/>
              <w:ind w:firstLine="0" w:firstLineChars="0"/>
              <w:rPr>
                <w:rFonts w:hint="eastAsia" w:eastAsia="楷体_GB2312" w:asciiTheme="minorAscii" w:hAnsiTheme="minorAscii" w:cstheme="minorBidi"/>
                <w:kern w:val="0"/>
                <w:sz w:val="21"/>
                <w:szCs w:val="21"/>
                <w:highlight w:val="none"/>
                <w:u w:val="none"/>
                <w:shd w:val="clear" w:fill="auto"/>
                <w:lang w:val="en-US" w:eastAsia="zh-CN" w:bidi="ar-SA"/>
              </w:rPr>
            </w:pPr>
            <w:r>
              <w:rPr>
                <w:rFonts w:hint="eastAsia"/>
                <w:sz w:val="21"/>
                <w:szCs w:val="21"/>
                <w:highlight w:val="none"/>
                <w:u w:val="none"/>
                <w:shd w:val="clear" w:fill="auto"/>
                <w:lang w:val="en-US" w:eastAsia="zh-CN"/>
              </w:rPr>
              <w:t>外贸进出口总额（亿元、%）</w:t>
            </w:r>
          </w:p>
        </w:tc>
        <w:tc>
          <w:tcPr>
            <w:tcW w:w="1041" w:type="dxa"/>
            <w:shd w:val="clear" w:color="auto" w:fill="auto"/>
            <w:noWrap/>
            <w:tcMar>
              <w:top w:w="15" w:type="dxa"/>
              <w:left w:w="15" w:type="dxa"/>
              <w:bottom w:w="0" w:type="dxa"/>
              <w:right w:w="15" w:type="dxa"/>
            </w:tcMar>
            <w:vAlign w:val="center"/>
          </w:tcPr>
          <w:p w14:paraId="55E59C81">
            <w:pPr>
              <w:pStyle w:val="8"/>
              <w:spacing w:after="0" w:line="240" w:lineRule="auto"/>
              <w:ind w:firstLine="0" w:firstLineChars="0"/>
              <w:jc w:val="center"/>
              <w:rPr>
                <w:rFonts w:hint="eastAsia" w:eastAsia="仿宋_GB2312" w:asciiTheme="minorAscii" w:hAnsiTheme="minorAscii" w:cstheme="minorBidi"/>
                <w:color w:val="auto"/>
                <w:kern w:val="0"/>
                <w:sz w:val="21"/>
                <w:szCs w:val="21"/>
                <w:highlight w:val="none"/>
                <w:u w:val="none"/>
                <w:shd w:val="clear" w:fill="auto"/>
                <w:lang w:val="en-US" w:eastAsia="zh-CN" w:bidi="ar-SA"/>
              </w:rPr>
            </w:pPr>
            <w:r>
              <w:rPr>
                <w:rFonts w:hint="eastAsia" w:eastAsia="仿宋_GB2312"/>
                <w:color w:val="auto"/>
                <w:sz w:val="21"/>
                <w:szCs w:val="21"/>
                <w:highlight w:val="none"/>
                <w:u w:val="none"/>
                <w:shd w:val="clear" w:fill="auto"/>
                <w:lang w:val="en-US" w:eastAsia="zh-CN"/>
              </w:rPr>
              <w:t>3.5</w:t>
            </w:r>
          </w:p>
        </w:tc>
        <w:tc>
          <w:tcPr>
            <w:tcW w:w="1350" w:type="dxa"/>
            <w:shd w:val="clear" w:color="auto" w:fill="auto"/>
            <w:noWrap/>
            <w:tcMar>
              <w:top w:w="15" w:type="dxa"/>
              <w:left w:w="15" w:type="dxa"/>
              <w:bottom w:w="0" w:type="dxa"/>
              <w:right w:w="15" w:type="dxa"/>
            </w:tcMar>
            <w:vAlign w:val="center"/>
          </w:tcPr>
          <w:p w14:paraId="10673DF1">
            <w:pPr>
              <w:pStyle w:val="8"/>
              <w:spacing w:after="0" w:line="240" w:lineRule="auto"/>
              <w:ind w:firstLine="0" w:firstLineChars="0"/>
              <w:jc w:val="center"/>
              <w:rPr>
                <w:rFonts w:hint="eastAsia" w:eastAsia="仿宋_GB2312" w:asciiTheme="minorAscii" w:hAnsiTheme="minorAscii" w:cstheme="minorBidi"/>
                <w:color w:val="auto"/>
                <w:kern w:val="0"/>
                <w:sz w:val="21"/>
                <w:szCs w:val="21"/>
                <w:highlight w:val="none"/>
                <w:u w:val="none"/>
                <w:shd w:val="clear" w:fill="auto"/>
                <w:lang w:val="en-US" w:eastAsia="zh-CN" w:bidi="ar-SA"/>
              </w:rPr>
            </w:pPr>
            <w:r>
              <w:rPr>
                <w:rFonts w:hint="eastAsia" w:eastAsia="仿宋_GB2312"/>
                <w:color w:val="auto"/>
                <w:sz w:val="21"/>
                <w:szCs w:val="21"/>
                <w:highlight w:val="none"/>
                <w:u w:val="none"/>
                <w:shd w:val="clear" w:fill="auto"/>
                <w:lang w:val="en-US" w:eastAsia="zh-CN"/>
              </w:rPr>
              <w:t>7.5</w:t>
            </w:r>
          </w:p>
        </w:tc>
        <w:tc>
          <w:tcPr>
            <w:tcW w:w="1155" w:type="dxa"/>
            <w:shd w:val="clear" w:color="auto" w:fill="auto"/>
            <w:noWrap/>
            <w:tcMar>
              <w:top w:w="15" w:type="dxa"/>
              <w:left w:w="15" w:type="dxa"/>
              <w:bottom w:w="0" w:type="dxa"/>
              <w:right w:w="15" w:type="dxa"/>
            </w:tcMar>
            <w:vAlign w:val="center"/>
          </w:tcPr>
          <w:p w14:paraId="05083940">
            <w:pPr>
              <w:pStyle w:val="8"/>
              <w:spacing w:after="0" w:line="240" w:lineRule="auto"/>
              <w:ind w:firstLine="0" w:firstLineChars="0"/>
              <w:jc w:val="center"/>
              <w:rPr>
                <w:rFonts w:hint="eastAsia" w:eastAsia="楷体_GB2312" w:asciiTheme="minorAscii" w:hAnsiTheme="minorAscii" w:cstheme="minorBidi"/>
                <w:kern w:val="0"/>
                <w:sz w:val="21"/>
                <w:szCs w:val="21"/>
                <w:highlight w:val="none"/>
                <w:u w:val="none"/>
                <w:shd w:val="clear" w:fill="auto"/>
                <w:lang w:val="en-US" w:eastAsia="zh-CN" w:bidi="ar-SA"/>
              </w:rPr>
            </w:pPr>
            <w:r>
              <w:rPr>
                <w:rFonts w:hint="eastAsia"/>
                <w:sz w:val="21"/>
                <w:szCs w:val="21"/>
                <w:highlight w:val="none"/>
                <w:u w:val="none"/>
                <w:shd w:val="clear" w:fill="auto"/>
                <w:lang w:val="en-US" w:eastAsia="zh-CN"/>
              </w:rPr>
              <w:t>预期性</w:t>
            </w:r>
          </w:p>
        </w:tc>
      </w:tr>
      <w:tr w14:paraId="3048F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512" w:type="dxa"/>
            <w:vMerge w:val="restart"/>
            <w:noWrap/>
            <w:tcMar>
              <w:top w:w="15" w:type="dxa"/>
              <w:left w:w="15" w:type="dxa"/>
              <w:bottom w:w="0" w:type="dxa"/>
              <w:right w:w="15" w:type="dxa"/>
            </w:tcMar>
            <w:vAlign w:val="center"/>
          </w:tcPr>
          <w:p w14:paraId="39419323">
            <w:pPr>
              <w:pStyle w:val="8"/>
              <w:spacing w:after="0" w:line="240" w:lineRule="auto"/>
              <w:ind w:firstLine="0" w:firstLineChars="0"/>
              <w:jc w:val="center"/>
              <w:rPr>
                <w:rFonts w:hint="eastAsia" w:ascii="楷体_GB2312" w:hAnsi="楷体_GB2312" w:eastAsia="楷体_GB2312" w:cs="楷体_GB2312"/>
                <w:b/>
                <w:bCs/>
                <w:sz w:val="24"/>
                <w:szCs w:val="24"/>
                <w:u w:val="none"/>
                <w:shd w:val="clear" w:fill="auto"/>
              </w:rPr>
            </w:pPr>
            <w:r>
              <w:rPr>
                <w:rFonts w:hint="eastAsia" w:ascii="楷体_GB2312" w:hAnsi="楷体_GB2312" w:eastAsia="楷体_GB2312" w:cs="楷体_GB2312"/>
                <w:b/>
                <w:bCs/>
                <w:sz w:val="24"/>
                <w:szCs w:val="24"/>
                <w:u w:val="none"/>
                <w:shd w:val="clear" w:fill="auto"/>
              </w:rPr>
              <w:t>安全</w:t>
            </w:r>
          </w:p>
          <w:p w14:paraId="54004E04">
            <w:pPr>
              <w:pStyle w:val="8"/>
              <w:spacing w:after="0" w:line="240" w:lineRule="auto"/>
              <w:ind w:firstLine="0" w:firstLineChars="0"/>
              <w:jc w:val="center"/>
              <w:rPr>
                <w:rFonts w:hint="eastAsia" w:ascii="楷体_GB2312" w:hAnsi="楷体_GB2312" w:eastAsia="楷体_GB2312" w:cs="楷体_GB2312"/>
                <w:b/>
                <w:bCs/>
                <w:sz w:val="24"/>
                <w:szCs w:val="24"/>
                <w:u w:val="none"/>
                <w:shd w:val="clear" w:fill="auto"/>
              </w:rPr>
            </w:pPr>
            <w:r>
              <w:rPr>
                <w:rFonts w:hint="eastAsia" w:ascii="楷体_GB2312" w:hAnsi="楷体_GB2312" w:eastAsia="楷体_GB2312" w:cs="楷体_GB2312"/>
                <w:b/>
                <w:bCs/>
                <w:sz w:val="24"/>
                <w:szCs w:val="24"/>
                <w:u w:val="none"/>
                <w:shd w:val="clear" w:fill="auto"/>
              </w:rPr>
              <w:t>保障</w:t>
            </w:r>
          </w:p>
        </w:tc>
        <w:tc>
          <w:tcPr>
            <w:tcW w:w="472" w:type="dxa"/>
            <w:tcMar>
              <w:top w:w="15" w:type="dxa"/>
              <w:left w:w="15" w:type="dxa"/>
              <w:bottom w:w="0" w:type="dxa"/>
              <w:right w:w="15" w:type="dxa"/>
            </w:tcMar>
            <w:vAlign w:val="center"/>
          </w:tcPr>
          <w:p w14:paraId="41B65443">
            <w:pPr>
              <w:pStyle w:val="8"/>
              <w:numPr>
                <w:ilvl w:val="0"/>
                <w:numId w:val="0"/>
              </w:numPr>
              <w:spacing w:after="0" w:line="240" w:lineRule="auto"/>
              <w:ind w:left="0" w:leftChars="0" w:firstLine="0" w:firstLineChars="0"/>
              <w:jc w:val="center"/>
              <w:rPr>
                <w:rFonts w:hint="default"/>
                <w:sz w:val="21"/>
                <w:szCs w:val="21"/>
                <w:u w:val="none"/>
                <w:shd w:val="clear" w:fill="auto"/>
                <w:lang w:val="en-US"/>
              </w:rPr>
            </w:pPr>
            <w:r>
              <w:rPr>
                <w:rFonts w:hint="eastAsia" w:cstheme="minorBidi"/>
                <w:kern w:val="0"/>
                <w:sz w:val="21"/>
                <w:szCs w:val="21"/>
                <w:shd w:val="clear" w:fill="auto"/>
                <w:lang w:val="en-US" w:eastAsia="zh-CN" w:bidi="ar-SA"/>
              </w:rPr>
              <w:t>25</w:t>
            </w:r>
          </w:p>
        </w:tc>
        <w:tc>
          <w:tcPr>
            <w:tcW w:w="3553" w:type="dxa"/>
            <w:gridSpan w:val="2"/>
            <w:tcMar>
              <w:top w:w="15" w:type="dxa"/>
              <w:left w:w="15" w:type="dxa"/>
              <w:bottom w:w="0" w:type="dxa"/>
              <w:right w:w="15" w:type="dxa"/>
            </w:tcMar>
            <w:vAlign w:val="center"/>
          </w:tcPr>
          <w:p w14:paraId="2165AD35">
            <w:pPr>
              <w:pStyle w:val="8"/>
              <w:spacing w:after="0" w:line="240" w:lineRule="auto"/>
              <w:ind w:firstLine="0" w:firstLineChars="0"/>
              <w:rPr>
                <w:rFonts w:hint="eastAsia" w:eastAsia="楷体_GB2312"/>
                <w:sz w:val="21"/>
                <w:szCs w:val="21"/>
                <w:u w:val="none"/>
                <w:shd w:val="clear" w:fill="auto"/>
                <w:lang w:eastAsia="zh-CN"/>
              </w:rPr>
            </w:pPr>
            <w:r>
              <w:rPr>
                <w:rFonts w:hint="eastAsia"/>
                <w:sz w:val="21"/>
                <w:szCs w:val="21"/>
                <w:u w:val="none"/>
                <w:shd w:val="clear" w:fill="auto"/>
              </w:rPr>
              <w:t>粮食综合生产能力</w:t>
            </w:r>
            <w:r>
              <w:rPr>
                <w:rFonts w:hint="eastAsia"/>
                <w:sz w:val="21"/>
                <w:szCs w:val="21"/>
                <w:u w:val="none"/>
                <w:shd w:val="clear" w:fill="auto"/>
                <w:lang w:eastAsia="zh-CN"/>
              </w:rPr>
              <w:t>（</w:t>
            </w:r>
            <w:r>
              <w:rPr>
                <w:rFonts w:hint="eastAsia"/>
                <w:sz w:val="21"/>
                <w:szCs w:val="21"/>
                <w:u w:val="none"/>
                <w:shd w:val="clear" w:fill="auto"/>
              </w:rPr>
              <w:t>亿斤</w:t>
            </w:r>
            <w:r>
              <w:rPr>
                <w:rFonts w:hint="eastAsia"/>
                <w:sz w:val="21"/>
                <w:szCs w:val="21"/>
                <w:u w:val="none"/>
                <w:shd w:val="clear" w:fill="auto"/>
                <w:lang w:eastAsia="zh-CN"/>
              </w:rPr>
              <w:t>）</w:t>
            </w:r>
          </w:p>
        </w:tc>
        <w:tc>
          <w:tcPr>
            <w:tcW w:w="1041" w:type="dxa"/>
            <w:shd w:val="clear" w:color="auto" w:fill="auto"/>
            <w:noWrap/>
            <w:tcMar>
              <w:top w:w="15" w:type="dxa"/>
              <w:left w:w="15" w:type="dxa"/>
              <w:bottom w:w="0" w:type="dxa"/>
              <w:right w:w="15" w:type="dxa"/>
            </w:tcMar>
            <w:vAlign w:val="center"/>
          </w:tcPr>
          <w:p w14:paraId="547B980F">
            <w:pPr>
              <w:pStyle w:val="8"/>
              <w:spacing w:after="0" w:line="240" w:lineRule="auto"/>
              <w:ind w:firstLine="0" w:firstLineChars="0"/>
              <w:jc w:val="center"/>
              <w:rPr>
                <w:rFonts w:hint="default" w:eastAsia="仿宋_GB2312" w:asciiTheme="minorHAnsi" w:hAnsiTheme="minorHAnsi" w:cstheme="minorBidi"/>
                <w:color w:val="auto"/>
                <w:kern w:val="0"/>
                <w:sz w:val="21"/>
                <w:szCs w:val="21"/>
                <w:u w:val="none"/>
                <w:shd w:val="clear" w:fill="auto"/>
                <w:lang w:val="en-US" w:eastAsia="zh-CN" w:bidi="ar-SA"/>
              </w:rPr>
            </w:pPr>
            <w:r>
              <w:rPr>
                <w:rFonts w:hint="eastAsia"/>
                <w:color w:val="auto"/>
                <w:sz w:val="21"/>
                <w:szCs w:val="21"/>
                <w:u w:val="none"/>
                <w:shd w:val="clear" w:fill="auto"/>
                <w:lang w:val="en-US" w:eastAsia="zh-CN"/>
              </w:rPr>
              <w:t>70</w:t>
            </w:r>
          </w:p>
        </w:tc>
        <w:tc>
          <w:tcPr>
            <w:tcW w:w="1350" w:type="dxa"/>
            <w:shd w:val="clear" w:color="auto" w:fill="auto"/>
            <w:noWrap/>
            <w:tcMar>
              <w:top w:w="15" w:type="dxa"/>
              <w:left w:w="15" w:type="dxa"/>
              <w:bottom w:w="0" w:type="dxa"/>
              <w:right w:w="15" w:type="dxa"/>
            </w:tcMar>
            <w:vAlign w:val="center"/>
          </w:tcPr>
          <w:p w14:paraId="19CBEBC7">
            <w:pPr>
              <w:pStyle w:val="8"/>
              <w:spacing w:after="0" w:line="240" w:lineRule="auto"/>
              <w:ind w:firstLine="0" w:firstLineChars="0"/>
              <w:jc w:val="center"/>
              <w:rPr>
                <w:rFonts w:hint="eastAsia" w:eastAsia="仿宋_GB2312" w:asciiTheme="minorHAnsi" w:hAnsiTheme="minorHAnsi" w:cstheme="minorBidi"/>
                <w:color w:val="auto"/>
                <w:kern w:val="0"/>
                <w:sz w:val="21"/>
                <w:szCs w:val="21"/>
                <w:u w:val="none"/>
                <w:shd w:val="clear" w:fill="auto"/>
                <w:lang w:val="en-US" w:eastAsia="zh-CN" w:bidi="ar-SA"/>
              </w:rPr>
            </w:pPr>
            <w:r>
              <w:rPr>
                <w:rFonts w:hint="eastAsia" w:eastAsia="仿宋_GB2312" w:asciiTheme="minorHAnsi" w:hAnsiTheme="minorHAnsi" w:cstheme="minorBidi"/>
                <w:color w:val="auto"/>
                <w:kern w:val="0"/>
                <w:sz w:val="21"/>
                <w:szCs w:val="21"/>
                <w:u w:val="none"/>
                <w:shd w:val="clear" w:fill="auto"/>
                <w:lang w:val="en-US" w:eastAsia="zh-CN" w:bidi="ar-SA"/>
              </w:rPr>
              <w:t>——</w:t>
            </w:r>
          </w:p>
        </w:tc>
        <w:tc>
          <w:tcPr>
            <w:tcW w:w="1155" w:type="dxa"/>
            <w:noWrap/>
            <w:tcMar>
              <w:top w:w="15" w:type="dxa"/>
              <w:left w:w="15" w:type="dxa"/>
              <w:bottom w:w="0" w:type="dxa"/>
              <w:right w:w="15" w:type="dxa"/>
            </w:tcMar>
            <w:vAlign w:val="center"/>
          </w:tcPr>
          <w:p w14:paraId="438AF2AB">
            <w:pPr>
              <w:pStyle w:val="8"/>
              <w:spacing w:after="0" w:line="240" w:lineRule="auto"/>
              <w:ind w:firstLine="0" w:firstLineChars="0"/>
              <w:jc w:val="center"/>
              <w:rPr>
                <w:sz w:val="21"/>
                <w:szCs w:val="21"/>
                <w:u w:val="none"/>
                <w:shd w:val="clear" w:fill="auto"/>
              </w:rPr>
            </w:pPr>
            <w:r>
              <w:rPr>
                <w:rFonts w:hint="eastAsia"/>
                <w:sz w:val="21"/>
                <w:szCs w:val="21"/>
                <w:u w:val="none"/>
                <w:shd w:val="clear" w:fill="auto"/>
              </w:rPr>
              <w:t>约束性</w:t>
            </w:r>
          </w:p>
        </w:tc>
      </w:tr>
      <w:tr w14:paraId="5F040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512" w:type="dxa"/>
            <w:vMerge w:val="continue"/>
            <w:noWrap/>
            <w:tcMar>
              <w:top w:w="15" w:type="dxa"/>
              <w:left w:w="15" w:type="dxa"/>
              <w:bottom w:w="0" w:type="dxa"/>
              <w:right w:w="15" w:type="dxa"/>
            </w:tcMar>
            <w:vAlign w:val="center"/>
          </w:tcPr>
          <w:p w14:paraId="6611BFBC">
            <w:pPr>
              <w:pStyle w:val="8"/>
              <w:spacing w:after="0" w:line="240" w:lineRule="auto"/>
              <w:ind w:firstLine="0" w:firstLineChars="0"/>
              <w:jc w:val="center"/>
              <w:rPr>
                <w:sz w:val="21"/>
                <w:szCs w:val="21"/>
                <w:u w:val="none"/>
                <w:shd w:val="clear" w:fill="auto"/>
              </w:rPr>
            </w:pPr>
          </w:p>
        </w:tc>
        <w:tc>
          <w:tcPr>
            <w:tcW w:w="472" w:type="dxa"/>
            <w:vAlign w:val="center"/>
          </w:tcPr>
          <w:p w14:paraId="48931B14">
            <w:pPr>
              <w:pStyle w:val="8"/>
              <w:numPr>
                <w:ilvl w:val="0"/>
                <w:numId w:val="0"/>
              </w:numPr>
              <w:spacing w:after="0" w:line="240" w:lineRule="auto"/>
              <w:ind w:leftChars="0"/>
              <w:jc w:val="center"/>
              <w:rPr>
                <w:rFonts w:hint="default" w:eastAsia="楷体_GB2312"/>
                <w:sz w:val="21"/>
                <w:szCs w:val="21"/>
                <w:u w:val="none"/>
                <w:shd w:val="clear" w:fill="auto"/>
                <w:lang w:val="en-US" w:eastAsia="zh-CN"/>
              </w:rPr>
            </w:pPr>
            <w:r>
              <w:rPr>
                <w:rFonts w:hint="eastAsia"/>
                <w:sz w:val="21"/>
                <w:szCs w:val="21"/>
                <w:u w:val="none"/>
                <w:shd w:val="clear" w:fill="auto"/>
                <w:lang w:val="en-US" w:eastAsia="zh-CN"/>
              </w:rPr>
              <w:t>26</w:t>
            </w:r>
          </w:p>
        </w:tc>
        <w:tc>
          <w:tcPr>
            <w:tcW w:w="3553" w:type="dxa"/>
            <w:gridSpan w:val="2"/>
            <w:tcMar>
              <w:top w:w="15" w:type="dxa"/>
              <w:left w:w="15" w:type="dxa"/>
              <w:bottom w:w="0" w:type="dxa"/>
              <w:right w:w="15" w:type="dxa"/>
            </w:tcMar>
            <w:vAlign w:val="center"/>
          </w:tcPr>
          <w:p w14:paraId="4ED06C11">
            <w:pPr>
              <w:pStyle w:val="8"/>
              <w:spacing w:after="0" w:line="240" w:lineRule="auto"/>
              <w:ind w:firstLine="0" w:firstLineChars="0"/>
              <w:rPr>
                <w:rFonts w:hint="eastAsia" w:eastAsia="楷体_GB2312"/>
                <w:sz w:val="21"/>
                <w:szCs w:val="21"/>
                <w:u w:val="none"/>
                <w:shd w:val="clear" w:fill="auto"/>
                <w:lang w:val="en-US" w:eastAsia="zh-CN"/>
              </w:rPr>
            </w:pPr>
            <w:r>
              <w:rPr>
                <w:rFonts w:hint="eastAsia"/>
                <w:sz w:val="21"/>
                <w:szCs w:val="21"/>
                <w:u w:val="none"/>
                <w:shd w:val="clear" w:fill="auto"/>
                <w:lang w:val="en-US" w:eastAsia="zh-CN"/>
              </w:rPr>
              <w:t>能源综合生产能力（</w:t>
            </w:r>
            <w:r>
              <w:rPr>
                <w:rFonts w:hint="eastAsia"/>
                <w:sz w:val="21"/>
                <w:szCs w:val="21"/>
                <w:u w:val="none"/>
                <w:shd w:val="clear" w:fill="auto"/>
              </w:rPr>
              <w:t>万吨标煤</w:t>
            </w:r>
            <w:r>
              <w:rPr>
                <w:rFonts w:hint="eastAsia"/>
                <w:sz w:val="21"/>
                <w:szCs w:val="21"/>
                <w:u w:val="none"/>
                <w:shd w:val="clear" w:fill="auto"/>
                <w:lang w:eastAsia="zh-CN"/>
              </w:rPr>
              <w:t>）</w:t>
            </w:r>
          </w:p>
        </w:tc>
        <w:tc>
          <w:tcPr>
            <w:tcW w:w="1041" w:type="dxa"/>
            <w:shd w:val="clear" w:color="auto" w:fill="auto"/>
            <w:noWrap/>
            <w:tcMar>
              <w:top w:w="15" w:type="dxa"/>
              <w:left w:w="15" w:type="dxa"/>
              <w:bottom w:w="0" w:type="dxa"/>
              <w:right w:w="15" w:type="dxa"/>
            </w:tcMar>
            <w:vAlign w:val="center"/>
          </w:tcPr>
          <w:p w14:paraId="74BDC723">
            <w:pPr>
              <w:pStyle w:val="8"/>
              <w:spacing w:after="0" w:line="240" w:lineRule="auto"/>
              <w:ind w:firstLine="0" w:firstLineChars="0"/>
              <w:jc w:val="center"/>
              <w:rPr>
                <w:rFonts w:hint="default" w:eastAsia="仿宋_GB2312" w:asciiTheme="minorHAnsi" w:hAnsiTheme="minorHAnsi" w:cstheme="minorBidi"/>
                <w:color w:val="auto"/>
                <w:kern w:val="0"/>
                <w:sz w:val="21"/>
                <w:szCs w:val="21"/>
                <w:u w:val="none"/>
                <w:shd w:val="clear" w:fill="auto"/>
                <w:lang w:val="en-US" w:eastAsia="zh-CN" w:bidi="ar-SA"/>
              </w:rPr>
            </w:pPr>
            <w:r>
              <w:rPr>
                <w:rFonts w:hint="eastAsia" w:eastAsia="仿宋_GB2312" w:asciiTheme="minorHAnsi" w:hAnsiTheme="minorHAnsi" w:cstheme="minorBidi"/>
                <w:color w:val="auto"/>
                <w:kern w:val="0"/>
                <w:sz w:val="21"/>
                <w:szCs w:val="21"/>
                <w:u w:val="none"/>
                <w:shd w:val="clear" w:fill="auto"/>
                <w:lang w:val="en-US" w:eastAsia="zh-CN" w:bidi="ar-SA"/>
              </w:rPr>
              <w:t>447.1</w:t>
            </w:r>
          </w:p>
        </w:tc>
        <w:tc>
          <w:tcPr>
            <w:tcW w:w="1350" w:type="dxa"/>
            <w:shd w:val="clear" w:color="auto" w:fill="auto"/>
            <w:noWrap/>
            <w:tcMar>
              <w:top w:w="15" w:type="dxa"/>
              <w:left w:w="15" w:type="dxa"/>
              <w:bottom w:w="0" w:type="dxa"/>
              <w:right w:w="15" w:type="dxa"/>
            </w:tcMar>
            <w:vAlign w:val="center"/>
          </w:tcPr>
          <w:p w14:paraId="56E286E9">
            <w:pPr>
              <w:pStyle w:val="8"/>
              <w:spacing w:after="0" w:line="240" w:lineRule="auto"/>
              <w:ind w:firstLine="0" w:firstLineChars="0"/>
              <w:jc w:val="center"/>
              <w:rPr>
                <w:rFonts w:hint="eastAsia" w:eastAsia="仿宋_GB2312" w:asciiTheme="minorHAnsi" w:hAnsiTheme="minorHAnsi" w:cstheme="minorBidi"/>
                <w:color w:val="auto"/>
                <w:kern w:val="0"/>
                <w:sz w:val="21"/>
                <w:szCs w:val="21"/>
                <w:u w:val="none"/>
                <w:shd w:val="clear" w:fill="auto"/>
                <w:lang w:val="en-US" w:eastAsia="zh-CN" w:bidi="ar-SA"/>
              </w:rPr>
            </w:pPr>
            <w:r>
              <w:rPr>
                <w:rFonts w:hint="eastAsia" w:eastAsia="仿宋_GB2312" w:asciiTheme="minorHAnsi" w:hAnsiTheme="minorHAnsi" w:cstheme="minorBidi"/>
                <w:color w:val="auto"/>
                <w:kern w:val="0"/>
                <w:sz w:val="21"/>
                <w:szCs w:val="21"/>
                <w:u w:val="none"/>
                <w:shd w:val="clear" w:fill="auto"/>
                <w:lang w:val="en-US" w:eastAsia="zh-CN" w:bidi="ar-SA"/>
              </w:rPr>
              <w:t>——</w:t>
            </w:r>
          </w:p>
        </w:tc>
        <w:tc>
          <w:tcPr>
            <w:tcW w:w="1155" w:type="dxa"/>
            <w:noWrap/>
            <w:tcMar>
              <w:top w:w="15" w:type="dxa"/>
              <w:left w:w="15" w:type="dxa"/>
              <w:bottom w:w="0" w:type="dxa"/>
              <w:right w:w="15" w:type="dxa"/>
            </w:tcMar>
            <w:vAlign w:val="center"/>
          </w:tcPr>
          <w:p w14:paraId="575CA732">
            <w:pPr>
              <w:pStyle w:val="8"/>
              <w:spacing w:after="0" w:line="240" w:lineRule="auto"/>
              <w:ind w:firstLine="0" w:firstLineChars="0"/>
              <w:jc w:val="center"/>
              <w:rPr>
                <w:sz w:val="21"/>
                <w:szCs w:val="21"/>
                <w:u w:val="none"/>
                <w:shd w:val="clear" w:fill="auto"/>
              </w:rPr>
            </w:pPr>
            <w:r>
              <w:rPr>
                <w:rFonts w:hint="eastAsia"/>
                <w:sz w:val="21"/>
                <w:szCs w:val="21"/>
                <w:u w:val="none"/>
                <w:shd w:val="clear" w:fill="auto"/>
              </w:rPr>
              <w:t>约束性</w:t>
            </w:r>
          </w:p>
        </w:tc>
      </w:tr>
    </w:tbl>
    <w:p w14:paraId="44D69757">
      <w:pPr>
        <w:pStyle w:val="2"/>
        <w:bidi w:val="0"/>
        <w:ind w:left="0" w:leftChars="0" w:firstLine="0" w:firstLineChars="0"/>
        <w:jc w:val="center"/>
        <w:rPr>
          <w:rFonts w:hint="default" w:ascii="黑体" w:hAnsi="黑体" w:eastAsia="黑体" w:cs="黑体"/>
          <w:sz w:val="36"/>
          <w:szCs w:val="48"/>
          <w:lang w:val="en-US" w:eastAsia="zh-CN"/>
        </w:rPr>
      </w:pPr>
      <w:bookmarkStart w:id="13" w:name="_Toc25389"/>
      <w:r>
        <w:rPr>
          <w:rFonts w:hint="eastAsia" w:ascii="黑体" w:hAnsi="黑体" w:eastAsia="黑体" w:cs="黑体"/>
          <w:sz w:val="36"/>
          <w:szCs w:val="48"/>
          <w:lang w:val="en-US" w:eastAsia="zh-CN"/>
        </w:rPr>
        <w:t>第三章  加快农业农村现代化，奋力打造农业现代化示范新标杆</w:t>
      </w:r>
      <w:bookmarkEnd w:id="13"/>
    </w:p>
    <w:p w14:paraId="5E67BE1A">
      <w:pPr>
        <w:bidi w:val="0"/>
        <w:rPr>
          <w:rFonts w:hint="eastAsia"/>
          <w:lang w:val="en-US" w:eastAsia="zh-CN"/>
        </w:rPr>
      </w:pPr>
      <w:r>
        <w:rPr>
          <w:rFonts w:hint="eastAsia" w:ascii="仿宋_GB2312" w:hAnsi="仿宋_GB2312" w:eastAsia="仿宋_GB2312" w:cs="仿宋_GB2312"/>
          <w:lang w:val="en-US" w:eastAsia="zh-CN"/>
        </w:rPr>
        <w:t>坚持以发展现代化大农业为主攻方向，统筹发展科技农业、绿色农业、质量农业、品牌农业，率先实现农业物质装备现代化、科技现代化、经营管理现代化、农业信息化、资源利用可持续化，推进乡村全面振兴，加快建设</w:t>
      </w:r>
      <w:r>
        <w:rPr>
          <w:rFonts w:hint="eastAsia" w:ascii="仿宋_GB2312" w:hAnsi="仿宋_GB2312" w:cs="仿宋_GB2312"/>
          <w:lang w:val="en-US" w:eastAsia="zh-CN"/>
        </w:rPr>
        <w:t>现代化</w:t>
      </w:r>
      <w:r>
        <w:rPr>
          <w:rFonts w:hint="eastAsia" w:ascii="仿宋_GB2312" w:hAnsi="仿宋_GB2312" w:eastAsia="仿宋_GB2312" w:cs="仿宋_GB2312"/>
          <w:lang w:val="en-US" w:eastAsia="zh-CN"/>
        </w:rPr>
        <w:t>农业强</w:t>
      </w:r>
      <w:r>
        <w:rPr>
          <w:rFonts w:hint="eastAsia" w:ascii="仿宋_GB2312" w:hAnsi="仿宋_GB2312" w:eastAsia="仿宋_GB2312" w:cs="仿宋_GB2312"/>
          <w:lang w:eastAsia="zh-CN"/>
        </w:rPr>
        <w:t>市</w:t>
      </w:r>
      <w:r>
        <w:rPr>
          <w:rFonts w:hint="eastAsia" w:ascii="仿宋_GB2312" w:hAnsi="仿宋_GB2312" w:eastAsia="仿宋_GB2312" w:cs="仿宋_GB2312"/>
          <w:lang w:val="en-US" w:eastAsia="zh-CN"/>
        </w:rPr>
        <w:t>，当好维护国家粮食安全“压舱石”</w:t>
      </w:r>
      <w:r>
        <w:rPr>
          <w:rFonts w:hint="eastAsia" w:ascii="仿宋_GB2312" w:hAnsi="仿宋_GB2312" w:cs="仿宋_GB2312"/>
          <w:lang w:val="en-US" w:eastAsia="zh-CN"/>
        </w:rPr>
        <w:t>，争当农业现代化建设排头兵</w:t>
      </w:r>
      <w:r>
        <w:rPr>
          <w:rFonts w:hint="eastAsia" w:ascii="仿宋_GB2312" w:hAnsi="仿宋_GB2312" w:eastAsia="仿宋_GB2312" w:cs="仿宋_GB2312"/>
          <w:lang w:val="en-US" w:eastAsia="zh-CN"/>
        </w:rPr>
        <w:t>。</w:t>
      </w:r>
    </w:p>
    <w:p w14:paraId="6EB7B8D8">
      <w:pPr>
        <w:pStyle w:val="3"/>
        <w:keepNext w:val="0"/>
        <w:keepLines w:val="0"/>
        <w:widowControl/>
        <w:spacing w:line="240" w:lineRule="auto"/>
        <w:ind w:left="0" w:leftChars="0" w:firstLine="0" w:firstLineChars="0"/>
        <w:jc w:val="center"/>
        <w:rPr>
          <w:rFonts w:hint="eastAsia" w:ascii="Times New Roman" w:hAnsi="Times New Roman" w:eastAsia="楷体_GB2312" w:cs="楷体_GB2312"/>
          <w:lang w:val="en-US" w:eastAsia="zh-CN"/>
        </w:rPr>
      </w:pPr>
      <w:bookmarkStart w:id="14" w:name="_Toc8433"/>
      <w:r>
        <w:rPr>
          <w:rFonts w:hint="eastAsia" w:ascii="Times New Roman" w:hAnsi="Times New Roman" w:eastAsia="楷体_GB2312" w:cs="楷体_GB2312"/>
          <w:lang w:val="en-US" w:eastAsia="zh-CN"/>
        </w:rPr>
        <w:t>第一节  提升质量</w:t>
      </w:r>
      <w:r>
        <w:rPr>
          <w:rFonts w:hint="eastAsia" w:ascii="Times New Roman" w:hAnsi="Times New Roman" w:cs="楷体_GB2312"/>
          <w:lang w:val="en-US" w:eastAsia="zh-CN"/>
        </w:rPr>
        <w:t>农业</w:t>
      </w:r>
      <w:r>
        <w:rPr>
          <w:rFonts w:hint="eastAsia" w:ascii="Times New Roman" w:hAnsi="Times New Roman" w:eastAsia="楷体_GB2312" w:cs="楷体_GB2312"/>
          <w:lang w:val="en-US" w:eastAsia="zh-CN"/>
        </w:rPr>
        <w:t>，筑牢“黑土粮仓”安全根基</w:t>
      </w:r>
      <w:bookmarkEnd w:id="14"/>
    </w:p>
    <w:p w14:paraId="58221EDB">
      <w:pPr>
        <w:bidi w:val="0"/>
        <w:rPr>
          <w:rFonts w:hint="eastAsia" w:ascii="仿宋_GB2312" w:hAnsi="仿宋_GB2312" w:eastAsia="仿宋_GB2312" w:cs="仿宋_GB2312"/>
        </w:rPr>
      </w:pPr>
      <w:r>
        <w:rPr>
          <w:rFonts w:hint="eastAsia" w:ascii="仿宋_GB2312" w:hAnsi="仿宋_GB2312" w:eastAsia="仿宋_GB2312" w:cs="仿宋_GB2312"/>
          <w:lang w:eastAsia="zh-CN"/>
        </w:rPr>
        <w:t>统筹产量产能、生产生态、增产增收，深入实施新一轮千万吨粮食增产计划，推进良田良种良机良法良制集成增效，主攻大面积单产提升，增强粮食等重要农产品供给保障能力，力争到2030年粮食综合产能达到70亿斤，让“中国饭碗”装上更多优质“富锦粮”。</w:t>
      </w:r>
    </w:p>
    <w:p w14:paraId="56B256F0">
      <w:pPr>
        <w:bidi w:val="0"/>
        <w:rPr>
          <w:rFonts w:hint="eastAsia"/>
          <w:b/>
          <w:bCs/>
        </w:rPr>
      </w:pPr>
      <w:r>
        <w:rPr>
          <w:rFonts w:hint="eastAsia"/>
          <w:b/>
          <w:bCs/>
        </w:rPr>
        <w:t>一、夯实粮食生产“耕”基</w:t>
      </w:r>
    </w:p>
    <w:p w14:paraId="2387D972">
      <w:pPr>
        <w:bidi w:val="0"/>
        <w:rPr>
          <w:rFonts w:hint="eastAsia" w:ascii="仿宋_GB2312" w:hAnsi="仿宋_GB2312" w:eastAsia="仿宋_GB2312" w:cs="仿宋_GB2312"/>
          <w:lang w:val="en-US" w:eastAsia="zh-CN"/>
        </w:rPr>
      </w:pPr>
      <w:r>
        <w:rPr>
          <w:rFonts w:hint="eastAsia" w:ascii="仿宋_GB2312" w:hAnsi="仿宋_GB2312" w:eastAsia="仿宋_GB2312" w:cs="仿宋_GB2312"/>
          <w:b/>
          <w:bCs/>
          <w:lang w:val="en-US" w:eastAsia="zh-CN"/>
        </w:rPr>
        <w:t>落实最严格耕地保护制度。</w:t>
      </w:r>
      <w:r>
        <w:rPr>
          <w:rFonts w:hint="eastAsia" w:ascii="仿宋_GB2312" w:hAnsi="仿宋_GB2312" w:eastAsia="仿宋_GB2312" w:cs="仿宋_GB2312"/>
          <w:lang w:val="en-US" w:eastAsia="zh-CN"/>
        </w:rPr>
        <w:t>坚持“守住耕地红线就是守住生存发展底线”理念，实施耕地保护强化工程，采取“长牙齿”的硬措施，实行最严格的耕地保护制度，落实耕地数量、质量、生态“三位一体”保护，坚决遏制耕地“非农化”、防止“非粮化”。以“田长制+智慧监管”为抓手强化耕地保护，加强粮食生产功能区和重要农产品生产保护区建设与管护，通过全域土地综合整治和耕地占补平衡等措施优化耕地布局，加快构建“保护有力、集约高效、监管严格”的耕地保护新格局，确保到2030年全市耕地保有量不低于上级下达指标。</w:t>
      </w:r>
    </w:p>
    <w:p w14:paraId="3C8BB212">
      <w:pPr>
        <w:bidi w:val="0"/>
        <w:rPr>
          <w:rFonts w:hint="eastAsia" w:ascii="仿宋_GB2312" w:hAnsi="仿宋_GB2312" w:eastAsia="仿宋_GB2312" w:cs="仿宋_GB2312"/>
          <w:lang w:val="en-US" w:eastAsia="zh-CN"/>
        </w:rPr>
      </w:pPr>
      <w:r>
        <w:rPr>
          <w:rFonts w:hint="eastAsia" w:ascii="仿宋_GB2312" w:hAnsi="仿宋_GB2312" w:eastAsia="仿宋_GB2312" w:cs="仿宋_GB2312"/>
          <w:b/>
          <w:bCs/>
          <w:lang w:val="en-US" w:eastAsia="zh-CN"/>
        </w:rPr>
        <w:t>推进高标准农田建设。</w:t>
      </w:r>
      <w:r>
        <w:rPr>
          <w:rFonts w:hint="eastAsia" w:ascii="仿宋_GB2312" w:hAnsi="仿宋_GB2312" w:eastAsia="仿宋_GB2312" w:cs="仿宋_GB2312"/>
          <w:lang w:val="en-US" w:eastAsia="zh-CN"/>
        </w:rPr>
        <w:t>落实党中央“逐步把永久基本农田全部建成高标准农田”的战略部署，以“一平、两通、三提升”为基本标准，以“田成方、渠相连、路相通、旱能灌、涝能排”为核心目标，持续加大中低产田改造力度，坚持新建与改造并重、数量与质量并重、建设与管护并重。启动“率先将具备条件的永久基本农田全部建成高标准农田”行动，创新高标准农田建设推进机制，支持引导新型农业经营主体、农村集体经济组织等参与建设管护，以上街基镇、长安镇、砚山镇、二龙山镇、向阳川镇等为重点，加快实施高标准农田建设项目，高质量完成年度建设任务。确保“十五五”期间全市建设高标准农田100万亩以上，争创省级黑土高标准农田示范区，打造国家高标准农田高水平建设示范县。</w:t>
      </w:r>
    </w:p>
    <w:p w14:paraId="5BABD166">
      <w:pPr>
        <w:bidi w:val="0"/>
        <w:rPr>
          <w:rFonts w:hint="eastAsia" w:ascii="仿宋_GB2312" w:hAnsi="仿宋_GB2312" w:eastAsia="仿宋_GB2312" w:cs="仿宋_GB2312"/>
          <w:lang w:val="en-US" w:eastAsia="zh-CN"/>
        </w:rPr>
      </w:pPr>
      <w:r>
        <w:rPr>
          <w:rFonts w:hint="eastAsia" w:ascii="仿宋_GB2312" w:hAnsi="仿宋_GB2312" w:eastAsia="仿宋_GB2312" w:cs="仿宋_GB2312"/>
          <w:b/>
          <w:bCs/>
          <w:lang w:val="en-US" w:eastAsia="zh-CN"/>
        </w:rPr>
        <w:t>加强黑土地保护。</w:t>
      </w:r>
      <w:r>
        <w:rPr>
          <w:rFonts w:hint="eastAsia" w:ascii="仿宋_GB2312" w:hAnsi="仿宋_GB2312" w:eastAsia="仿宋_GB2312" w:cs="仿宋_GB2312"/>
          <w:lang w:val="en-US" w:eastAsia="zh-CN"/>
        </w:rPr>
        <w:t>围绕数量不减、质量不降、严控污染的总体目标，落实国省黑土地保护政策，完善工作机制，压实主体责任，积极探索黑土地保护管理新模式。以“零容忍”态度和“长牙齿”的硬措施，切实保护好、利用好黑土地。按照“增、保、控、养”技术路线，推广“秸秆还田、米豆轮作、深松深翻”耕作技术等，因地制宜推行适合富锦市本地的黑土地保护模式。</w:t>
      </w:r>
      <w:r>
        <w:rPr>
          <w:rFonts w:hint="eastAsia" w:ascii="仿宋_GB2312" w:hAnsi="仿宋_GB2312" w:cs="仿宋_GB2312"/>
          <w:lang w:val="en-US" w:eastAsia="zh-CN"/>
        </w:rPr>
        <w:t>加大耕地质量数字监测建设，实现监测与保护方式动态调整</w:t>
      </w:r>
      <w:r>
        <w:rPr>
          <w:rFonts w:hint="eastAsia" w:ascii="仿宋_GB2312" w:hAnsi="仿宋_GB2312" w:eastAsia="仿宋_GB2312" w:cs="仿宋_GB2312"/>
          <w:lang w:val="en-US" w:eastAsia="zh-CN"/>
        </w:rPr>
        <w:t>。整合各类涉农资金，以向阳川镇、锦山镇、长安镇、上街基镇、兴隆岗镇、宏胜镇、大榆树镇等为重点，加快黑土地保护项目建设，确保“十五五”期间高质量完成上级下达任务。到2030年，全市黑土地保护性耕作面积达到120万亩。</w:t>
      </w:r>
    </w:p>
    <w:p w14:paraId="76EF180F">
      <w:pPr>
        <w:bidi w:val="0"/>
        <w:rPr>
          <w:rFonts w:hint="eastAsia" w:ascii="仿宋_GB2312" w:hAnsi="仿宋_GB2312" w:eastAsia="仿宋_GB2312" w:cs="仿宋_GB2312"/>
          <w:b/>
          <w:bCs/>
        </w:rPr>
      </w:pPr>
      <w:r>
        <w:rPr>
          <w:rFonts w:hint="eastAsia" w:ascii="仿宋_GB2312" w:hAnsi="仿宋_GB2312" w:eastAsia="仿宋_GB2312" w:cs="仿宋_GB2312"/>
          <w:b/>
          <w:bCs/>
        </w:rPr>
        <w:t>二、筑牢粮食安全“水基石”</w:t>
      </w:r>
    </w:p>
    <w:p w14:paraId="04F03B53">
      <w:pPr>
        <w:bidi w:val="0"/>
        <w:rPr>
          <w:rFonts w:hint="eastAsia" w:ascii="仿宋_GB2312" w:hAnsi="仿宋_GB2312" w:eastAsia="仿宋_GB2312" w:cs="仿宋_GB2312"/>
          <w:lang w:val="en-US" w:eastAsia="zh-CN"/>
        </w:rPr>
      </w:pPr>
      <w:r>
        <w:rPr>
          <w:rFonts w:hint="eastAsia" w:ascii="仿宋_GB2312" w:hAnsi="仿宋_GB2312" w:eastAsia="仿宋_GB2312" w:cs="仿宋_GB2312"/>
          <w:b/>
          <w:bCs/>
          <w:lang w:val="en-US" w:eastAsia="zh-CN"/>
        </w:rPr>
        <w:t>加强水利兴农设施建设。</w:t>
      </w:r>
      <w:r>
        <w:rPr>
          <w:rFonts w:hint="eastAsia" w:ascii="仿宋_GB2312" w:hAnsi="仿宋_GB2312" w:eastAsia="仿宋_GB2312" w:cs="仿宋_GB2312"/>
          <w:lang w:val="en-US" w:eastAsia="zh-CN"/>
        </w:rPr>
        <w:t>深入实施大型灌区改造工程，集中建设一批大中型水利骨干项目，重点推进锦西灌区田间配套工程，加快幸福灌区续建配套与现代化改造，推进红旗灌区、红卫灌区改扩建项目。启动大型灌区前期工作，</w:t>
      </w:r>
      <w:r>
        <w:rPr>
          <w:rFonts w:hint="eastAsia" w:ascii="仿宋_GB2312" w:hAnsi="仿宋_GB2312" w:cs="仿宋_GB2312"/>
          <w:lang w:val="en-US" w:eastAsia="zh-CN"/>
        </w:rPr>
        <w:t>积极推进</w:t>
      </w:r>
      <w:r>
        <w:rPr>
          <w:rFonts w:hint="eastAsia" w:ascii="仿宋_GB2312" w:hAnsi="仿宋_GB2312" w:eastAsia="仿宋_GB2312" w:cs="仿宋_GB2312"/>
          <w:lang w:val="en-US" w:eastAsia="zh-CN"/>
        </w:rPr>
        <w:t>锦东、锦南灌区工程建设，加快构建锦西、锦东、锦南“三灌区联动”的协同发展新格局。</w:t>
      </w:r>
      <w:r>
        <w:rPr>
          <w:rFonts w:hint="default" w:ascii="Times New Roman" w:hAnsi="Times New Roman" w:eastAsia="仿宋_GB2312" w:cs="Times New Roman"/>
          <w:color w:val="000000"/>
          <w:sz w:val="34"/>
          <w:szCs w:val="34"/>
          <w:u w:val="none"/>
          <w:lang w:val="en-US" w:eastAsia="zh-CN"/>
        </w:rPr>
        <w:t>加强侵蚀沟综合治理和农田防护林建设，提高农业防灾减灾和粮食减损能力。</w:t>
      </w:r>
    </w:p>
    <w:p w14:paraId="003C9C9D">
      <w:pPr>
        <w:bidi w:val="0"/>
        <w:rPr>
          <w:rFonts w:hint="eastAsia" w:ascii="仿宋_GB2312" w:hAnsi="仿宋_GB2312" w:eastAsia="仿宋_GB2312" w:cs="仿宋_GB2312"/>
          <w:lang w:val="en-US" w:eastAsia="zh-CN"/>
        </w:rPr>
      </w:pPr>
      <w:r>
        <w:rPr>
          <w:rFonts w:hint="eastAsia" w:ascii="仿宋_GB2312" w:hAnsi="仿宋_GB2312" w:eastAsia="仿宋_GB2312" w:cs="仿宋_GB2312"/>
          <w:b/>
          <w:bCs/>
          <w:lang w:val="en-US" w:eastAsia="zh-CN"/>
        </w:rPr>
        <w:t>强化水资源节约集约利用。</w:t>
      </w:r>
      <w:r>
        <w:rPr>
          <w:rFonts w:hint="eastAsia" w:ascii="仿宋_GB2312" w:hAnsi="仿宋_GB2312" w:eastAsia="仿宋_GB2312" w:cs="仿宋_GB2312"/>
          <w:lang w:val="en-US" w:eastAsia="zh-CN"/>
        </w:rPr>
        <w:t>以锦西灌区为重点，实施江水置换工程，推进江水灌溉替代地下水，扩大江水灌溉面积，减少地下水开采。加快智能化节水灌溉技术应用，通过政府补贴和专项资金等方式，以锦西、红卫、红旗等灌区为重点推动智慧化节水改造项目建设，扩大高效节水灌溉面积，积极创建国家高效节水灌溉示范县。</w:t>
      </w:r>
    </w:p>
    <w:p w14:paraId="038F5E33">
      <w:pPr>
        <w:bidi w:val="0"/>
        <w:rPr>
          <w:rFonts w:hint="eastAsia" w:ascii="仿宋_GB2312" w:hAnsi="仿宋_GB2312" w:eastAsia="仿宋_GB2312" w:cs="仿宋_GB2312"/>
          <w:b/>
          <w:bCs/>
          <w:lang w:val="en-US" w:eastAsia="zh-CN"/>
        </w:rPr>
      </w:pPr>
      <w:r>
        <w:rPr>
          <w:rFonts w:hint="eastAsia" w:ascii="仿宋_GB2312" w:hAnsi="仿宋_GB2312" w:eastAsia="仿宋_GB2312" w:cs="仿宋_GB2312"/>
          <w:b/>
          <w:bCs/>
          <w:lang w:val="en-US" w:eastAsia="zh-CN"/>
        </w:rPr>
        <w:t>三、提高农产品质量安全保障水平</w:t>
      </w:r>
    </w:p>
    <w:p w14:paraId="17B0EC4C">
      <w:pPr>
        <w:bidi w:val="0"/>
        <w:rPr>
          <w:rFonts w:hint="eastAsia" w:ascii="仿宋_GB2312" w:hAnsi="仿宋_GB2312" w:eastAsia="仿宋_GB2312" w:cs="仿宋_GB2312"/>
          <w:lang w:val="en-US" w:eastAsia="zh-CN"/>
        </w:rPr>
      </w:pPr>
      <w:r>
        <w:rPr>
          <w:rFonts w:hint="eastAsia" w:ascii="仿宋_GB2312" w:hAnsi="仿宋_GB2312" w:eastAsia="仿宋_GB2312" w:cs="仿宋_GB2312"/>
          <w:b/>
          <w:bCs/>
          <w:lang w:val="en-US" w:eastAsia="zh-CN"/>
        </w:rPr>
        <w:t>加强农业标准化建设。</w:t>
      </w:r>
      <w:r>
        <w:rPr>
          <w:rFonts w:hint="eastAsia" w:ascii="仿宋_GB2312" w:hAnsi="仿宋_GB2312" w:eastAsia="仿宋_GB2312" w:cs="仿宋_GB2312"/>
          <w:lang w:val="en-US" w:eastAsia="zh-CN"/>
        </w:rPr>
        <w:t>深入实施农业标准化提升计划，加快制定富锦大米、大豆、狮头鹅等优势产品的全产业链绿色生产地方标准和技术规程。深入开展绿色食品生产操作规程“进企入户”示范行动，指导企业主动用标、规范用标，推进国省级标准化示范场（基地）创建。深入实施新“三品一标”创标达标行动，持续强化绿色食品和有机农产品认证，开发我市优质特色产品纳入全国名特优新农产品名录，叫响“富锦大豆”地理标志</w:t>
      </w:r>
      <w:r>
        <w:rPr>
          <w:rFonts w:hint="eastAsia" w:ascii="仿宋_GB2312" w:hAnsi="仿宋_GB2312" w:cs="仿宋_GB2312"/>
          <w:lang w:val="en-US" w:eastAsia="zh-CN"/>
        </w:rPr>
        <w:t>产品</w:t>
      </w:r>
      <w:r>
        <w:rPr>
          <w:rFonts w:hint="eastAsia" w:ascii="仿宋_GB2312" w:hAnsi="仿宋_GB2312" w:eastAsia="仿宋_GB2312" w:cs="仿宋_GB2312"/>
          <w:lang w:val="en-US" w:eastAsia="zh-CN"/>
        </w:rPr>
        <w:t>和“富锦大米”地理</w:t>
      </w:r>
      <w:r>
        <w:rPr>
          <w:rFonts w:hint="eastAsia" w:ascii="仿宋_GB2312" w:hAnsi="仿宋_GB2312" w:cs="仿宋_GB2312"/>
          <w:lang w:val="en-US" w:eastAsia="zh-CN"/>
        </w:rPr>
        <w:t>标志</w:t>
      </w:r>
      <w:r>
        <w:rPr>
          <w:rFonts w:hint="eastAsia" w:ascii="仿宋_GB2312" w:hAnsi="仿宋_GB2312" w:eastAsia="仿宋_GB2312" w:cs="仿宋_GB2312"/>
          <w:lang w:val="en-US" w:eastAsia="zh-CN"/>
        </w:rPr>
        <w:t>证明商标的品牌影响力。</w:t>
      </w:r>
    </w:p>
    <w:p w14:paraId="2A16606D">
      <w:pPr>
        <w:bidi w:val="0"/>
        <w:rPr>
          <w:rFonts w:hint="eastAsia" w:ascii="仿宋_GB2312" w:hAnsi="仿宋_GB2312" w:eastAsia="仿宋_GB2312" w:cs="仿宋_GB2312"/>
          <w:lang w:val="en-US" w:eastAsia="zh-CN"/>
        </w:rPr>
      </w:pPr>
      <w:r>
        <w:rPr>
          <w:rFonts w:hint="eastAsia" w:ascii="仿宋_GB2312" w:hAnsi="仿宋_GB2312" w:eastAsia="仿宋_GB2312" w:cs="仿宋_GB2312"/>
          <w:b/>
          <w:bCs/>
          <w:lang w:val="en-US" w:eastAsia="zh-CN"/>
        </w:rPr>
        <w:t>推进农产品质量安全追溯管理。</w:t>
      </w:r>
      <w:r>
        <w:rPr>
          <w:rFonts w:hint="eastAsia" w:ascii="仿宋_GB2312" w:hAnsi="仿宋_GB2312" w:eastAsia="仿宋_GB2312" w:cs="仿宋_GB2312"/>
          <w:sz w:val="32"/>
          <w:szCs w:val="32"/>
          <w:lang w:val="en-US" w:eastAsia="zh-CN"/>
        </w:rPr>
        <w:t>加强农产品质量安全追溯管理信息平台推广应用，推动全市农业产业化龙头企业、专业合作社和“两品一标”（绿色、有机、地理标志）产品全部</w:t>
      </w:r>
      <w:r>
        <w:rPr>
          <w:rFonts w:hint="eastAsia" w:ascii="仿宋_GB2312" w:hAnsi="仿宋_GB2312" w:cs="仿宋_GB2312"/>
          <w:sz w:val="32"/>
          <w:szCs w:val="32"/>
          <w:lang w:val="en-US" w:eastAsia="zh-CN"/>
        </w:rPr>
        <w:t>录入国家质量</w:t>
      </w:r>
      <w:r>
        <w:rPr>
          <w:rFonts w:hint="eastAsia" w:ascii="仿宋_GB2312" w:hAnsi="仿宋_GB2312" w:eastAsia="仿宋_GB2312" w:cs="仿宋_GB2312"/>
          <w:sz w:val="32"/>
          <w:szCs w:val="32"/>
          <w:lang w:val="en-US" w:eastAsia="zh-CN"/>
        </w:rPr>
        <w:t>溯源平台，拓展追溯环节，</w:t>
      </w:r>
      <w:r>
        <w:rPr>
          <w:rFonts w:hint="default" w:ascii="Times New Roman" w:hAnsi="Times New Roman" w:eastAsia="仿宋_GB2312" w:cs="Times New Roman"/>
          <w:b w:val="0"/>
          <w:bCs w:val="0"/>
          <w:sz w:val="32"/>
          <w:szCs w:val="32"/>
          <w:highlight w:val="none"/>
          <w:lang w:eastAsia="zh-CN"/>
        </w:rPr>
        <w:t>加强农产品质量评价、认证、追溯全链条监管，</w:t>
      </w:r>
      <w:r>
        <w:rPr>
          <w:rFonts w:hint="eastAsia" w:ascii="仿宋_GB2312" w:hAnsi="仿宋_GB2312" w:eastAsia="仿宋_GB2312" w:cs="仿宋_GB2312"/>
          <w:sz w:val="32"/>
          <w:szCs w:val="32"/>
          <w:lang w:val="en-US" w:eastAsia="zh-CN"/>
        </w:rPr>
        <w:t>逐步建立产地农产品全产业链追溯体系。强化追溯平台与监管执法联动，提升农产品质量安全监管效率和威慑力。</w:t>
      </w:r>
    </w:p>
    <w:p w14:paraId="01CAC254">
      <w:pPr>
        <w:bidi w:val="0"/>
        <w:rPr>
          <w:rFonts w:hint="default"/>
          <w:b/>
          <w:bCs/>
          <w:lang w:val="en-US"/>
        </w:rPr>
      </w:pPr>
      <w:r>
        <w:rPr>
          <w:rFonts w:hint="eastAsia"/>
          <w:b/>
          <w:bCs/>
          <w:lang w:val="en-US" w:eastAsia="zh-CN"/>
        </w:rPr>
        <w:t>四、持续推进粮油作物大面积单产提升</w:t>
      </w:r>
    </w:p>
    <w:p w14:paraId="4C96A809">
      <w:pPr>
        <w:bidi w:val="0"/>
        <w:rPr>
          <w:rFonts w:hint="eastAsia"/>
          <w:lang w:val="en-US" w:eastAsia="zh-CN"/>
        </w:rPr>
      </w:pPr>
      <w:r>
        <w:rPr>
          <w:rFonts w:hint="eastAsia"/>
          <w:lang w:val="en-US" w:eastAsia="zh-CN"/>
        </w:rPr>
        <w:t>深入实施国家粮食产能提升行动和省千万吨粮食增产计划，按照“稳面积、提单产、优品质”的主线，实施粮油作物大面积单产提升行动，完成省下达的粮食和大豆种植任务。整县制推进玉米、大豆、水稻单产提升，促进良田、良种、良法、良机、良制“五良”融合发展，推广大垄密植、水肥一体化、侧深施肥等绿色高产高效模式，全环节、全过程、全要素挖掘单产潜力。发挥上街基镇德安村玉米、大豆单产提升高标准示范基地、长安镇永胜水稻科技示范园引领作用，带动全市三大作物均衡增产。优化农作物品种布局，加快优质高效品种推广，促进优质品种向优势区域集中。支持长安镇、上街基镇、锦山镇重点发展水稻种植，推进宏胜镇南林村富硒水稻种植基地、上街基镇宋店村大锦农有机水稻种植基地、长安镇永胜村水稻科技示范园建设，打造一批优质高效示范区，推动农产品生产基地转型，提升农业综合生产能力。</w:t>
      </w:r>
    </w:p>
    <w:p w14:paraId="157D5D9E">
      <w:pPr>
        <w:bidi w:val="0"/>
        <w:rPr>
          <w:rFonts w:hint="eastAsia" w:ascii="仿宋_GB2312" w:hAnsi="仿宋_GB2312" w:eastAsia="仿宋_GB2312" w:cs="仿宋_GB2312"/>
          <w:b/>
          <w:bCs/>
          <w:lang w:val="en-US" w:eastAsia="zh-CN"/>
        </w:rPr>
      </w:pPr>
      <w:r>
        <w:rPr>
          <w:rFonts w:hint="eastAsia" w:ascii="仿宋_GB2312" w:hAnsi="仿宋_GB2312" w:eastAsia="仿宋_GB2312" w:cs="仿宋_GB2312"/>
          <w:b/>
          <w:bCs/>
          <w:lang w:val="en-US" w:eastAsia="zh-CN"/>
        </w:rPr>
        <w:t>五、构建多元化食物供给体系</w:t>
      </w:r>
    </w:p>
    <w:p w14:paraId="7F080EEC">
      <w:pPr>
        <w:bidi w:val="0"/>
        <w:rPr>
          <w:rFonts w:hint="eastAsia"/>
          <w:lang w:val="en-US" w:eastAsia="zh-CN"/>
        </w:rPr>
      </w:pPr>
      <w:r>
        <w:rPr>
          <w:rFonts w:hint="default"/>
          <w:lang w:eastAsia="zh-CN"/>
        </w:rPr>
        <w:t>践行大农业观、大食物观，坚持粮经饲统筹、农林牧渔结合、植物动物微生物并举，全方位、多途径开发食物资源。</w:t>
      </w:r>
    </w:p>
    <w:p w14:paraId="205E24DA">
      <w:pPr>
        <w:bidi w:val="0"/>
        <w:rPr>
          <w:rFonts w:hint="eastAsia" w:ascii="仿宋_GB2312" w:hAnsi="仿宋_GB2312" w:eastAsia="仿宋_GB2312" w:cs="仿宋_GB2312"/>
          <w:lang w:val="en-US" w:eastAsia="zh-CN"/>
        </w:rPr>
      </w:pPr>
      <w:r>
        <w:rPr>
          <w:rFonts w:hint="eastAsia" w:ascii="仿宋_GB2312" w:hAnsi="仿宋_GB2312" w:eastAsia="仿宋_GB2312" w:cs="仿宋_GB2312"/>
          <w:b/>
          <w:bCs/>
          <w:lang w:val="en-US" w:eastAsia="zh-CN"/>
        </w:rPr>
        <w:t>推动畜牧业高质量发展</w:t>
      </w:r>
      <w:r>
        <w:rPr>
          <w:rFonts w:hint="eastAsia" w:ascii="仿宋_GB2312" w:hAnsi="仿宋_GB2312" w:eastAsia="仿宋_GB2312" w:cs="仿宋_GB2312"/>
          <w:lang w:val="en-US" w:eastAsia="zh-CN"/>
        </w:rPr>
        <w:t>。以“两牛一猪两禽”为重点，支持规模化、标准化养殖场建设，推动畜禽和水产养殖标准化、规模化发展。抓好生猪稳产保供，引导规模养殖场（户）扩大养殖规模，引导富珠牧业、华牧养殖场、鑫顺养猪场等提高扩繁能力，稳定生猪产业。以全产业链思维推动肉鸡产业发展，继续推进大锦农肉鸡全产业链发展，鼓励大锦农冷链物流仓储市场化运营。重点推进粮都华鹅、万羽牧业</w:t>
      </w:r>
      <w:r>
        <w:rPr>
          <w:rFonts w:hint="eastAsia" w:ascii="仿宋_GB2312" w:hAnsi="仿宋_GB2312" w:cs="仿宋_GB2312"/>
          <w:lang w:val="en-US" w:eastAsia="zh-CN"/>
        </w:rPr>
        <w:t>、丰硕养殖场</w:t>
      </w:r>
      <w:r>
        <w:rPr>
          <w:rFonts w:hint="eastAsia" w:ascii="仿宋_GB2312" w:hAnsi="仿宋_GB2312" w:eastAsia="仿宋_GB2312" w:cs="仿宋_GB2312"/>
          <w:lang w:val="en-US" w:eastAsia="zh-CN"/>
        </w:rPr>
        <w:t>等狮头鹅养殖场开展狮头鹅产品深加工</w:t>
      </w:r>
      <w:r>
        <w:rPr>
          <w:rFonts w:hint="eastAsia" w:ascii="仿宋_GB2312" w:hAnsi="仿宋_GB2312" w:cs="仿宋_GB2312"/>
          <w:lang w:val="en-US" w:eastAsia="zh-CN"/>
        </w:rPr>
        <w:t>，壮大狮头鹅全产业链</w:t>
      </w:r>
      <w:r>
        <w:rPr>
          <w:rFonts w:hint="eastAsia" w:ascii="仿宋_GB2312" w:hAnsi="仿宋_GB2312" w:eastAsia="仿宋_GB2312" w:cs="仿宋_GB2312"/>
          <w:lang w:val="en-US" w:eastAsia="zh-CN"/>
        </w:rPr>
        <w:t>。发挥北纬47°黄金奶源带优势，</w:t>
      </w:r>
      <w:r>
        <w:rPr>
          <w:rFonts w:hint="eastAsia" w:ascii="仿宋_GB2312" w:hAnsi="仿宋_GB2312" w:cs="仿宋_GB2312"/>
          <w:lang w:val="en-US" w:eastAsia="zh-CN"/>
        </w:rPr>
        <w:t>加强标准化奶牛场建设</w:t>
      </w:r>
      <w:r>
        <w:rPr>
          <w:rFonts w:hint="eastAsia" w:ascii="仿宋_GB2312" w:hAnsi="仿宋_GB2312" w:eastAsia="仿宋_GB2312" w:cs="仿宋_GB2312"/>
          <w:lang w:val="en-US" w:eastAsia="zh-CN"/>
        </w:rPr>
        <w:t>，提高单产，加强头兴牧业、天野牧业国家级千头奶牛示范场奶业新型经营主体培育，推进万头奶牛养殖基地建设。落实省高端肉牛产业“百千工程”，依托锦山镇剑峰畜禽养殖专业合作社等企业，打造优质安格斯良种繁育基地，支持建设标准化育肥基地，推进万头肉牛养殖基地项目，构建从良种繁育、养殖育肥到屠宰加工、品牌销售的肉牛全产业链体系。加快补齐畜禽屠宰加工和冷链物流短板，提升就近屠宰加工能力，完善冷链物流体系，推动从“运活畜禽”向“运冷鲜肉”转变，促进畜牧业转型升级。</w:t>
      </w:r>
    </w:p>
    <w:p w14:paraId="25CC0E23">
      <w:pPr>
        <w:bidi w:val="0"/>
        <w:rPr>
          <w:rFonts w:hint="eastAsia" w:ascii="仿宋_GB2312" w:hAnsi="仿宋_GB2312" w:eastAsia="仿宋_GB2312" w:cs="仿宋_GB2312"/>
          <w:lang w:val="en-US" w:eastAsia="zh-CN"/>
        </w:rPr>
      </w:pPr>
      <w:r>
        <w:rPr>
          <w:rFonts w:hint="eastAsia" w:ascii="仿宋_GB2312" w:hAnsi="仿宋_GB2312" w:cs="仿宋_GB2312"/>
          <w:b/>
          <w:bCs/>
          <w:lang w:val="en-US" w:eastAsia="zh-CN"/>
        </w:rPr>
        <w:t>推进</w:t>
      </w:r>
      <w:r>
        <w:rPr>
          <w:rFonts w:hint="eastAsia" w:ascii="仿宋_GB2312" w:hAnsi="仿宋_GB2312" w:eastAsia="仿宋_GB2312" w:cs="仿宋_GB2312"/>
          <w:b/>
          <w:bCs/>
          <w:lang w:val="en-US" w:eastAsia="zh-CN"/>
        </w:rPr>
        <w:t>水产</w:t>
      </w:r>
      <w:r>
        <w:rPr>
          <w:rFonts w:hint="eastAsia" w:ascii="仿宋_GB2312" w:hAnsi="仿宋_GB2312" w:cs="仿宋_GB2312"/>
          <w:b/>
          <w:bCs/>
          <w:lang w:val="en-US" w:eastAsia="zh-CN"/>
        </w:rPr>
        <w:t>养殖现代化建设</w:t>
      </w:r>
      <w:r>
        <w:rPr>
          <w:rFonts w:hint="eastAsia" w:ascii="仿宋_GB2312" w:hAnsi="仿宋_GB2312" w:eastAsia="仿宋_GB2312" w:cs="仿宋_GB2312"/>
          <w:b/>
          <w:bCs/>
          <w:lang w:val="en-US" w:eastAsia="zh-CN"/>
        </w:rPr>
        <w:t>。</w:t>
      </w:r>
      <w:r>
        <w:rPr>
          <w:rFonts w:hint="eastAsia" w:ascii="仿宋_GB2312" w:hAnsi="仿宋_GB2312" w:eastAsia="仿宋_GB2312" w:cs="仿宋_GB2312"/>
          <w:lang w:val="en-US" w:eastAsia="zh-CN"/>
        </w:rPr>
        <w:t>落实养殖水域滩涂规划，稳定养殖水面，合理规划养殖区域。培育新型渔业经营主体，扶持水产养殖专业合作社和家庭渔场，引进推广优质新品种，引培龙头企业，发展水产品加工、冷链物流和休闲渔业，推动产业融合发展。加强渔港、塘坝、池塘等设施建设，在适宜水域规范有序发展生态网箱养殖，探索富锦市寒地小龙虾孵化基地建设，推动规模化渔场数字化升级。加强松花江乌苏里拟鲿细鳞斜颌鲴国家级水产种质资源保护区建设，促进渔业种质资源保护和利用。推广水产绿色健康养殖技术，推进养殖池塘生态化改造，发展稻渔综合种养模式，推广稻鱼、稻蟹、稻虾等综合养殖技术，开发稻渔米、稻田鱼等特色产品，打造“富锦水产”“三江鱼米”品牌，走生态健康、数字智慧、产业融合、稻渔特色的渔业可持续发展道路。</w:t>
      </w:r>
    </w:p>
    <w:p w14:paraId="436D4F74">
      <w:pPr>
        <w:bidi w:val="0"/>
        <w:rPr>
          <w:rFonts w:hint="eastAsia" w:ascii="仿宋_GB2312" w:hAnsi="仿宋_GB2312" w:cs="仿宋_GB2312"/>
          <w:lang w:val="en-US" w:eastAsia="zh-CN"/>
        </w:rPr>
      </w:pPr>
      <w:r>
        <w:rPr>
          <w:rFonts w:hint="eastAsia" w:ascii="仿宋_GB2312" w:hAnsi="仿宋_GB2312" w:eastAsia="仿宋_GB2312" w:cs="仿宋_GB2312"/>
          <w:b/>
          <w:bCs/>
          <w:lang w:val="en-US" w:eastAsia="zh-CN"/>
        </w:rPr>
        <w:t>打造农业特色产业集群。</w:t>
      </w:r>
      <w:r>
        <w:rPr>
          <w:rFonts w:hint="eastAsia" w:ascii="仿宋_GB2312" w:hAnsi="仿宋_GB2312" w:eastAsia="仿宋_GB2312" w:cs="仿宋_GB2312"/>
          <w:lang w:val="en-US" w:eastAsia="zh-CN"/>
        </w:rPr>
        <w:t>发展壮大特色种植业，鼓励镇村利用闲置庭院和非耕地，通过订单收购推动万寿菊规模化种植，以向阳川镇、二龙山镇、上街基镇、大榆树镇为重点，打造一批万寿菊订单种植基地。以“一镇一业、一村一品”模式为引领，培育多元特色经济作物，重点支持大锦农果蔬、北界地菇娘、太平大蒜、茂盛毛葱、庆胜香瓜、华胜地瓜、利民蔬菜、洪州百果园等镇村特色产业发展。巩固提升以水稻育秧大棚二次利用为代表的标准化、生态化种植模式，扩大榆黄菇、香菇、平菇等优势品种种植规模，扶持工厂化、智能化先进生产模式，推动建设标准化集约化的农光互补食用菌生产基地，大力发展精深加工，开发即食食品、保健食品、医药原料等高附加值产品，培育“食用菌+”旅游、科普等融合发展模式，强化保鲜、冷链物流等基础设施配套，加快构建起从菌种研发、规模化种植、高端加工到品牌销售的现代化食用菌产业体系，成为促进农业增效、农民增收的重要特色产业。积极发展特色养殖产业，发挥饲料、秸秆资源优势，做大做强湖羊养殖，以向阳川镇、上街基镇为重点，建设湖羊标准化生态养殖基地。借助“南鹅北养”模式发展狮头鹅产业，利用“校（院）企合作”突破寒地繁育</w:t>
      </w:r>
      <w:r>
        <w:rPr>
          <w:rFonts w:hint="eastAsia" w:ascii="仿宋_GB2312" w:hAnsi="仿宋_GB2312" w:cs="仿宋_GB2312"/>
          <w:lang w:val="en-US" w:eastAsia="zh-CN"/>
        </w:rPr>
        <w:t>、疫病防控、标准化育肥饲养等</w:t>
      </w:r>
      <w:r>
        <w:rPr>
          <w:rFonts w:hint="eastAsia" w:ascii="仿宋_GB2312" w:hAnsi="仿宋_GB2312" w:eastAsia="仿宋_GB2312" w:cs="仿宋_GB2312"/>
          <w:lang w:val="en-US" w:eastAsia="zh-CN"/>
        </w:rPr>
        <w:t>关键技术，推进</w:t>
      </w:r>
      <w:r>
        <w:rPr>
          <w:rFonts w:hint="eastAsia" w:ascii="仿宋_GB2312" w:hAnsi="仿宋_GB2312" w:cs="仿宋_GB2312"/>
          <w:lang w:val="en-US" w:eastAsia="zh-CN"/>
        </w:rPr>
        <w:t>富锦市粮都华鹅狮头鹅种鹅场建设与种质资源优化工作</w:t>
      </w:r>
      <w:r>
        <w:rPr>
          <w:rFonts w:hint="eastAsia" w:ascii="仿宋_GB2312" w:hAnsi="仿宋_GB2312" w:eastAsia="仿宋_GB2312" w:cs="仿宋_GB2312"/>
          <w:lang w:val="en-US" w:eastAsia="zh-CN"/>
        </w:rPr>
        <w:t>，以向阳川镇、二龙山镇、头林镇、兴隆岗镇为重点，</w:t>
      </w:r>
      <w:r>
        <w:rPr>
          <w:rFonts w:hint="eastAsia" w:ascii="仿宋_GB2312" w:hAnsi="仿宋_GB2312" w:cs="仿宋_GB2312"/>
          <w:lang w:val="en-US" w:eastAsia="zh-CN"/>
        </w:rPr>
        <w:t>力争</w:t>
      </w:r>
      <w:r>
        <w:rPr>
          <w:rFonts w:hint="eastAsia" w:ascii="仿宋_GB2312" w:hAnsi="仿宋_GB2312" w:eastAsia="仿宋_GB2312" w:cs="仿宋_GB2312"/>
          <w:lang w:val="en-US" w:eastAsia="zh-CN"/>
        </w:rPr>
        <w:t>2030年</w:t>
      </w:r>
      <w:r>
        <w:rPr>
          <w:rFonts w:hint="eastAsia" w:ascii="仿宋_GB2312" w:hAnsi="仿宋_GB2312" w:cs="仿宋_GB2312"/>
          <w:lang w:val="en-US" w:eastAsia="zh-CN"/>
        </w:rPr>
        <w:t>成为北方狮头鹅核心种质资源供应基地</w:t>
      </w:r>
      <w:r>
        <w:rPr>
          <w:rFonts w:hint="eastAsia" w:ascii="仿宋_GB2312" w:hAnsi="仿宋_GB2312" w:eastAsia="仿宋_GB2312" w:cs="仿宋_GB2312"/>
          <w:lang w:val="en-US" w:eastAsia="zh-CN"/>
        </w:rPr>
        <w:t>，</w:t>
      </w:r>
      <w:r>
        <w:rPr>
          <w:rFonts w:hint="eastAsia" w:ascii="仿宋_GB2312" w:hAnsi="仿宋_GB2312" w:cs="仿宋_GB2312"/>
          <w:lang w:val="en-US" w:eastAsia="zh-CN"/>
        </w:rPr>
        <w:t>向社会提供狮头鹅20万只</w:t>
      </w:r>
      <w:r>
        <w:rPr>
          <w:rFonts w:hint="eastAsia" w:ascii="仿宋_GB2312" w:hAnsi="仿宋_GB2312" w:eastAsia="仿宋_GB2312" w:cs="仿宋_GB2312"/>
          <w:lang w:val="en-US" w:eastAsia="zh-CN"/>
        </w:rPr>
        <w:t>。引进屠宰加工项目，开发鹅肉制品、鹅肝酱、鹅绒等高价值产品，提升副产品利用率，扶持粮都华鹅</w:t>
      </w:r>
      <w:r>
        <w:rPr>
          <w:rFonts w:hint="eastAsia" w:ascii="仿宋_GB2312" w:hAnsi="仿宋_GB2312" w:cs="仿宋_GB2312"/>
          <w:lang w:val="en-US" w:eastAsia="zh-CN"/>
        </w:rPr>
        <w:t>、</w:t>
      </w:r>
      <w:r>
        <w:rPr>
          <w:rFonts w:hint="eastAsia" w:ascii="仿宋_GB2312" w:hAnsi="仿宋_GB2312" w:eastAsia="仿宋_GB2312" w:cs="仿宋_GB2312"/>
          <w:lang w:val="en-US" w:eastAsia="zh-CN"/>
        </w:rPr>
        <w:t>万羽</w:t>
      </w:r>
      <w:r>
        <w:rPr>
          <w:rFonts w:hint="eastAsia" w:ascii="仿宋_GB2312" w:hAnsi="仿宋_GB2312" w:cs="仿宋_GB2312"/>
          <w:lang w:val="en-US" w:eastAsia="zh-CN"/>
        </w:rPr>
        <w:t>牧业</w:t>
      </w:r>
      <w:r>
        <w:rPr>
          <w:rFonts w:hint="eastAsia" w:ascii="仿宋_GB2312" w:hAnsi="仿宋_GB2312" w:eastAsia="仿宋_GB2312" w:cs="仿宋_GB2312"/>
          <w:lang w:val="en-US" w:eastAsia="zh-CN"/>
        </w:rPr>
        <w:t>、</w:t>
      </w:r>
      <w:r>
        <w:rPr>
          <w:rFonts w:hint="eastAsia" w:ascii="仿宋_GB2312" w:hAnsi="仿宋_GB2312" w:cs="仿宋_GB2312"/>
          <w:lang w:val="en-US" w:eastAsia="zh-CN"/>
        </w:rPr>
        <w:t>丰硕养殖场</w:t>
      </w:r>
      <w:r>
        <w:rPr>
          <w:rFonts w:hint="eastAsia" w:ascii="仿宋_GB2312" w:hAnsi="仿宋_GB2312" w:eastAsia="仿宋_GB2312" w:cs="仿宋_GB2312"/>
          <w:lang w:val="en-US" w:eastAsia="zh-CN"/>
        </w:rPr>
        <w:t>等企业构建“养殖+加工+连锁经营”全产业链模式，打造全省狮头鹅产业发展第一县。</w:t>
      </w:r>
      <w:r>
        <w:rPr>
          <w:rFonts w:hint="eastAsia" w:ascii="仿宋_GB2312" w:hAnsi="仿宋_GB2312" w:cs="仿宋_GB2312"/>
          <w:lang w:val="en-US" w:eastAsia="zh-CN"/>
        </w:rPr>
        <w:t>围绕富锦市种猪场黑猪展示示范基地，逐步扩大黑猪养殖规模，提高养殖效益。</w:t>
      </w:r>
    </w:p>
    <w:p w14:paraId="2892431A">
      <w:pPr>
        <w:bidi w:val="0"/>
        <w:rPr>
          <w:rFonts w:hint="default" w:ascii="仿宋_GB2312" w:hAnsi="仿宋_GB2312" w:cs="仿宋_GB2312"/>
          <w:lang w:val="en-US" w:eastAsia="zh-CN"/>
        </w:rPr>
      </w:pPr>
    </w:p>
    <w:tbl>
      <w:tblPr>
        <w:tblStyle w:val="20"/>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41CE4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522" w:type="dxa"/>
            <w:vAlign w:val="top"/>
          </w:tcPr>
          <w:p w14:paraId="5C3DCAE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黑体" w:cs="Times New Roman"/>
                <w:sz w:val="24"/>
              </w:rPr>
            </w:pPr>
            <w:r>
              <w:rPr>
                <w:rFonts w:hint="eastAsia" w:ascii="黑体" w:hAnsi="黑体" w:eastAsia="黑体" w:cs="黑体"/>
                <w:sz w:val="24"/>
                <w:szCs w:val="24"/>
              </w:rPr>
              <w:t>专栏3-1  农业强基</w:t>
            </w:r>
            <w:r>
              <w:rPr>
                <w:rFonts w:hint="eastAsia" w:ascii="黑体" w:hAnsi="黑体" w:eastAsia="黑体" w:cs="黑体"/>
                <w:sz w:val="24"/>
                <w:szCs w:val="24"/>
                <w:lang w:val="en-US" w:eastAsia="zh-CN"/>
              </w:rPr>
              <w:t>提质重点</w:t>
            </w:r>
            <w:r>
              <w:rPr>
                <w:rFonts w:hint="eastAsia" w:ascii="黑体" w:hAnsi="黑体" w:eastAsia="黑体" w:cs="黑体"/>
                <w:sz w:val="24"/>
                <w:szCs w:val="24"/>
              </w:rPr>
              <w:t>工程</w:t>
            </w:r>
          </w:p>
        </w:tc>
      </w:tr>
      <w:tr w14:paraId="2DF8C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2" w:hRule="atLeast"/>
        </w:trPr>
        <w:tc>
          <w:tcPr>
            <w:tcW w:w="8522" w:type="dxa"/>
          </w:tcPr>
          <w:p w14:paraId="0ADE896A">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楷体_GB2312" w:hAnsi="楷体_GB2312" w:eastAsia="楷体_GB2312" w:cs="楷体_GB2312"/>
                <w:sz w:val="24"/>
                <w:szCs w:val="24"/>
                <w:lang w:eastAsia="zh-CN"/>
              </w:rPr>
            </w:pPr>
            <w:r>
              <w:rPr>
                <w:rFonts w:hint="eastAsia" w:ascii="楷体_GB2312" w:hAnsi="楷体_GB2312" w:eastAsia="楷体_GB2312" w:cs="楷体_GB2312"/>
                <w:b/>
                <w:bCs/>
                <w:sz w:val="24"/>
                <w:szCs w:val="24"/>
              </w:rPr>
              <w:t>1.高标准农田建设工程。</w:t>
            </w:r>
            <w:r>
              <w:rPr>
                <w:rFonts w:hint="eastAsia" w:ascii="楷体_GB2312" w:hAnsi="楷体_GB2312" w:eastAsia="楷体_GB2312" w:cs="楷体_GB2312"/>
                <w:sz w:val="24"/>
                <w:szCs w:val="24"/>
              </w:rPr>
              <w:t>启动“率先将</w:t>
            </w:r>
            <w:r>
              <w:rPr>
                <w:rFonts w:hint="eastAsia" w:ascii="楷体_GB2312" w:hAnsi="楷体_GB2312" w:eastAsia="楷体_GB2312" w:cs="楷体_GB2312"/>
                <w:sz w:val="24"/>
                <w:szCs w:val="24"/>
                <w:lang w:val="en-US" w:eastAsia="zh-CN"/>
              </w:rPr>
              <w:t>具备条件的</w:t>
            </w:r>
            <w:r>
              <w:rPr>
                <w:rFonts w:hint="eastAsia" w:ascii="楷体_GB2312" w:hAnsi="楷体_GB2312" w:eastAsia="楷体_GB2312" w:cs="楷体_GB2312"/>
                <w:sz w:val="24"/>
                <w:szCs w:val="24"/>
              </w:rPr>
              <w:t>永久基本农田全部建成高标准农田”行动，以上街基镇、长安镇、砚山镇、二龙山镇、向阳川镇等为重点，加快推进高标准农田</w:t>
            </w:r>
            <w:r>
              <w:rPr>
                <w:rFonts w:hint="eastAsia" w:ascii="楷体_GB2312" w:hAnsi="楷体_GB2312" w:eastAsia="楷体_GB2312" w:cs="楷体_GB2312"/>
                <w:sz w:val="24"/>
                <w:szCs w:val="24"/>
                <w:lang w:val="en-US" w:eastAsia="zh-CN"/>
              </w:rPr>
              <w:t>项目</w:t>
            </w:r>
            <w:r>
              <w:rPr>
                <w:rFonts w:hint="eastAsia" w:ascii="楷体_GB2312" w:hAnsi="楷体_GB2312" w:eastAsia="楷体_GB2312" w:cs="楷体_GB2312"/>
                <w:sz w:val="24"/>
                <w:szCs w:val="24"/>
              </w:rPr>
              <w:t>建设</w:t>
            </w:r>
            <w:r>
              <w:rPr>
                <w:rFonts w:hint="eastAsia" w:ascii="楷体_GB2312" w:hAnsi="楷体_GB2312" w:eastAsia="楷体_GB2312" w:cs="楷体_GB2312"/>
                <w:sz w:val="24"/>
                <w:szCs w:val="24"/>
                <w:lang w:eastAsia="zh-CN"/>
              </w:rPr>
              <w:t>。</w:t>
            </w:r>
            <w:r>
              <w:rPr>
                <w:rFonts w:hint="eastAsia" w:ascii="楷体_GB2312" w:hAnsi="楷体_GB2312" w:eastAsia="楷体_GB2312" w:cs="楷体_GB2312"/>
                <w:sz w:val="24"/>
                <w:szCs w:val="24"/>
              </w:rPr>
              <w:t>“十五五”期间</w:t>
            </w:r>
            <w:r>
              <w:rPr>
                <w:rFonts w:hint="eastAsia" w:ascii="楷体_GB2312" w:hAnsi="楷体_GB2312" w:eastAsia="楷体_GB2312" w:cs="楷体_GB2312"/>
                <w:sz w:val="24"/>
                <w:szCs w:val="24"/>
                <w:lang w:eastAsia="zh-CN"/>
              </w:rPr>
              <w:t>，</w:t>
            </w:r>
            <w:r>
              <w:rPr>
                <w:rFonts w:hint="eastAsia" w:ascii="楷体_GB2312" w:hAnsi="楷体_GB2312" w:eastAsia="楷体_GB2312" w:cs="楷体_GB2312"/>
                <w:sz w:val="24"/>
                <w:szCs w:val="24"/>
                <w:lang w:val="en-US" w:eastAsia="zh-CN"/>
              </w:rPr>
              <w:t>力争建设</w:t>
            </w:r>
            <w:r>
              <w:rPr>
                <w:rFonts w:hint="eastAsia" w:ascii="楷体_GB2312" w:hAnsi="楷体_GB2312" w:eastAsia="楷体_GB2312" w:cs="楷体_GB2312"/>
                <w:sz w:val="24"/>
                <w:szCs w:val="24"/>
              </w:rPr>
              <w:t>高标准农田</w:t>
            </w:r>
            <w:r>
              <w:rPr>
                <w:rFonts w:hint="eastAsia" w:ascii="楷体_GB2312" w:hAnsi="楷体_GB2312" w:eastAsia="楷体_GB2312" w:cs="楷体_GB2312"/>
                <w:sz w:val="24"/>
                <w:szCs w:val="24"/>
                <w:highlight w:val="none"/>
                <w:lang w:val="en-US" w:eastAsia="zh-CN"/>
              </w:rPr>
              <w:t>100</w:t>
            </w:r>
            <w:r>
              <w:rPr>
                <w:rFonts w:hint="eastAsia" w:ascii="楷体_GB2312" w:hAnsi="楷体_GB2312" w:eastAsia="楷体_GB2312" w:cs="楷体_GB2312"/>
                <w:sz w:val="24"/>
                <w:szCs w:val="24"/>
              </w:rPr>
              <w:t>万亩，争创省级黑土高标准农田示范区</w:t>
            </w:r>
            <w:r>
              <w:rPr>
                <w:rFonts w:hint="eastAsia" w:ascii="楷体_GB2312" w:hAnsi="楷体_GB2312" w:eastAsia="楷体_GB2312" w:cs="楷体_GB2312"/>
                <w:sz w:val="24"/>
                <w:szCs w:val="24"/>
                <w:lang w:eastAsia="zh-CN"/>
              </w:rPr>
              <w:t>。</w:t>
            </w:r>
          </w:p>
          <w:p w14:paraId="05D1CF4F">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楷体_GB2312" w:hAnsi="楷体_GB2312" w:eastAsia="楷体_GB2312" w:cs="楷体_GB2312"/>
                <w:sz w:val="24"/>
                <w:szCs w:val="24"/>
                <w:lang w:val="en-US" w:eastAsia="zh-CN"/>
              </w:rPr>
            </w:pPr>
            <w:r>
              <w:rPr>
                <w:rFonts w:hint="eastAsia" w:ascii="楷体_GB2312" w:hAnsi="楷体_GB2312" w:eastAsia="楷体_GB2312" w:cs="楷体_GB2312"/>
                <w:sz w:val="24"/>
                <w:szCs w:val="24"/>
                <w:lang w:eastAsia="zh-CN"/>
              </w:rPr>
              <w:t>（</w:t>
            </w:r>
            <w:r>
              <w:rPr>
                <w:rFonts w:hint="eastAsia" w:ascii="楷体_GB2312" w:hAnsi="楷体_GB2312" w:eastAsia="楷体_GB2312" w:cs="楷体_GB2312"/>
                <w:sz w:val="24"/>
                <w:szCs w:val="24"/>
                <w:lang w:val="en-US" w:eastAsia="zh-CN"/>
              </w:rPr>
              <w:t>1</w:t>
            </w:r>
            <w:r>
              <w:rPr>
                <w:rFonts w:hint="eastAsia" w:ascii="楷体_GB2312" w:hAnsi="楷体_GB2312" w:eastAsia="楷体_GB2312" w:cs="楷体_GB2312"/>
                <w:sz w:val="24"/>
                <w:szCs w:val="24"/>
                <w:lang w:eastAsia="zh-CN"/>
              </w:rPr>
              <w:t>）</w:t>
            </w:r>
            <w:r>
              <w:rPr>
                <w:rFonts w:hint="eastAsia" w:ascii="楷体_GB2312" w:hAnsi="楷体_GB2312" w:eastAsia="楷体_GB2312" w:cs="楷体_GB2312"/>
                <w:sz w:val="24"/>
                <w:szCs w:val="24"/>
                <w:lang w:val="en-US" w:eastAsia="zh-CN"/>
              </w:rPr>
              <w:t>富锦市2026年高标准农田建设项目。项目区内田块整治面积为25910亩，渠道衬砌46条，衬砌总长度为19.645km，沟道清淤91条， 长度为87. 170km，沟道衬砌 34条，长度为44. 217km，建筑物共计515座，其中涵洞 469座 ，水闸46座。机耕路（水泥路）27条，长度43.544km, 生产路 （砂石路）296 条 ，长度 224.443km。土壤改良地块共25910亩。</w:t>
            </w:r>
          </w:p>
          <w:p w14:paraId="1CF14B3D">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楷体_GB2312" w:hAnsi="楷体_GB2312" w:eastAsia="楷体_GB2312" w:cs="楷体_GB2312"/>
                <w:sz w:val="24"/>
                <w:szCs w:val="24"/>
                <w:lang w:val="en-US" w:eastAsia="zh-CN"/>
              </w:rPr>
            </w:pPr>
            <w:r>
              <w:rPr>
                <w:rFonts w:hint="eastAsia" w:ascii="楷体_GB2312" w:hAnsi="楷体_GB2312" w:eastAsia="楷体_GB2312" w:cs="楷体_GB2312"/>
                <w:sz w:val="24"/>
                <w:szCs w:val="24"/>
                <w:lang w:val="en-US" w:eastAsia="zh-CN"/>
              </w:rPr>
              <w:t>（2）富锦市2027年高标准农田建设项目。建设规模25.78万亩。1）灌溉与排水工程：渠道衬砌61.46km，疏浚沟渠42.36km；交叉建筑物691座（其中农桥19座、圆涵281座、方涵150座、过水路面158座、闸门83座）；移动泵车55台套。2）田间道路：修缮道路264.32km，其中机耕路长度为55.68km（水泥路面），生产路长度为208.64km（砂石路面）。3）科技推广措施：耕地质量监测40处。</w:t>
            </w:r>
          </w:p>
          <w:p w14:paraId="389FCAB5">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楷体_GB2312" w:hAnsi="楷体_GB2312" w:eastAsia="楷体_GB2312" w:cs="楷体_GB2312"/>
                <w:sz w:val="24"/>
                <w:szCs w:val="24"/>
                <w:lang w:val="en-US" w:eastAsia="zh-CN"/>
              </w:rPr>
            </w:pPr>
            <w:r>
              <w:rPr>
                <w:rFonts w:hint="eastAsia" w:ascii="楷体_GB2312" w:hAnsi="楷体_GB2312" w:eastAsia="楷体_GB2312" w:cs="楷体_GB2312"/>
                <w:sz w:val="24"/>
                <w:szCs w:val="24"/>
                <w:lang w:val="en-US" w:eastAsia="zh-CN"/>
              </w:rPr>
              <w:t>（3）富锦市2028年高标准农田建设项目。建设规模15.46万亩。1）灌溉与排水工程：渠道衬砌34.08km，疏浚沟渠30.5km；交叉建筑物529座（其中农桥13座、圆涵160座、方涵130座、过水路面157座、闸门69座）；移动泵车15台套。2）田间道路：修缮道路161.47km，其中机耕路长度为32.15km（水泥路面），生产路长度为129.32km（砂石路面）。3）科技推广措施：耕地质量监测15处。</w:t>
            </w:r>
          </w:p>
          <w:p w14:paraId="209F7C3E">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楷体_GB2312" w:hAnsi="楷体_GB2312" w:eastAsia="楷体_GB2312" w:cs="楷体_GB2312"/>
                <w:sz w:val="24"/>
                <w:szCs w:val="24"/>
                <w:lang w:val="en-US" w:eastAsia="zh-CN"/>
              </w:rPr>
            </w:pPr>
            <w:r>
              <w:rPr>
                <w:rFonts w:hint="eastAsia" w:ascii="楷体_GB2312" w:hAnsi="楷体_GB2312" w:eastAsia="楷体_GB2312" w:cs="楷体_GB2312"/>
                <w:sz w:val="24"/>
                <w:szCs w:val="24"/>
                <w:lang w:val="en-US" w:eastAsia="zh-CN"/>
              </w:rPr>
              <w:t>（4）富锦市2029年高标准农田建设项目。建设规模26.11万亩。1）灌溉与排水工程：渠道衬砌52.62km，疏浚沟渠53.32km；交叉建筑物696座（其中农桥18座、圆涵310座、方涵155座、过水路面139座、闸门74座）；移动泵车53台套。2）田间道路：修缮道路277.17km，其中机耕路长度为52.66km（水泥路面），生产路长度为224.51km（砂石路面）。3）科技推广措施：耕地质量监测38处。</w:t>
            </w:r>
          </w:p>
          <w:p w14:paraId="48237DD4">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default" w:ascii="楷体_GB2312" w:hAnsi="楷体_GB2312" w:eastAsia="楷体_GB2312" w:cs="楷体_GB2312"/>
                <w:sz w:val="24"/>
                <w:szCs w:val="24"/>
                <w:lang w:val="en-US" w:eastAsia="zh-CN"/>
              </w:rPr>
            </w:pPr>
            <w:r>
              <w:rPr>
                <w:rFonts w:hint="eastAsia" w:ascii="楷体_GB2312" w:hAnsi="楷体_GB2312" w:eastAsia="楷体_GB2312" w:cs="楷体_GB2312"/>
                <w:sz w:val="24"/>
                <w:szCs w:val="24"/>
                <w:lang w:val="en-US" w:eastAsia="zh-CN"/>
              </w:rPr>
              <w:t>（5）富锦市2030年高标准农田建设项目。建设规模17.01万亩。1）灌溉与排水工程：渠道衬砌43.08km，疏浚沟渠32.65km；交叉建筑物415座（其中农桥14座、圆涵147座、方涵92座、过水路面117座、闸门45座）；移动泵车35台套。2）田间道路：修缮道路161.2km，其中机耕路长度为42.15km（水泥路面），生产路长度为119.05km（砂石路面）。3）科技推广措施：耕地质量监测18处。</w:t>
            </w:r>
          </w:p>
          <w:p w14:paraId="74F56C1B">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楷体_GB2312" w:hAnsi="楷体_GB2312" w:eastAsia="楷体_GB2312" w:cs="楷体_GB2312"/>
                <w:sz w:val="24"/>
                <w:szCs w:val="24"/>
              </w:rPr>
            </w:pPr>
            <w:r>
              <w:rPr>
                <w:rFonts w:hint="eastAsia" w:ascii="楷体_GB2312" w:hAnsi="楷体_GB2312" w:eastAsia="楷体_GB2312" w:cs="楷体_GB2312"/>
                <w:b/>
                <w:bCs/>
                <w:sz w:val="24"/>
                <w:szCs w:val="24"/>
              </w:rPr>
              <w:t>2.黑土地保护工程。</w:t>
            </w:r>
            <w:r>
              <w:rPr>
                <w:rFonts w:hint="eastAsia" w:ascii="楷体_GB2312" w:hAnsi="楷体_GB2312" w:eastAsia="楷体_GB2312" w:cs="楷体_GB2312"/>
                <w:sz w:val="24"/>
                <w:szCs w:val="24"/>
              </w:rPr>
              <w:t>完善黑土地保护工作机制，因地制宜</w:t>
            </w:r>
            <w:r>
              <w:rPr>
                <w:rFonts w:hint="eastAsia" w:ascii="楷体_GB2312" w:hAnsi="楷体_GB2312" w:eastAsia="楷体_GB2312" w:cs="楷体_GB2312"/>
                <w:sz w:val="24"/>
                <w:szCs w:val="24"/>
                <w:lang w:val="en-US" w:eastAsia="zh-CN"/>
              </w:rPr>
              <w:t>推行适合我市本地的</w:t>
            </w:r>
            <w:r>
              <w:rPr>
                <w:rFonts w:hint="eastAsia" w:ascii="楷体_GB2312" w:hAnsi="楷体_GB2312" w:eastAsia="楷体_GB2312" w:cs="楷体_GB2312"/>
                <w:sz w:val="24"/>
                <w:szCs w:val="24"/>
              </w:rPr>
              <w:t>黑土地保护模式，以向阳川镇、锦山镇、长安镇、上街基镇、兴隆岗镇、宏胜镇</w:t>
            </w:r>
            <w:r>
              <w:rPr>
                <w:rFonts w:hint="eastAsia" w:ascii="楷体_GB2312" w:hAnsi="楷体_GB2312" w:eastAsia="楷体_GB2312" w:cs="楷体_GB2312"/>
                <w:sz w:val="24"/>
                <w:szCs w:val="24"/>
                <w:lang w:eastAsia="zh-CN"/>
              </w:rPr>
              <w:t>、</w:t>
            </w:r>
            <w:r>
              <w:rPr>
                <w:rFonts w:hint="eastAsia" w:ascii="楷体_GB2312" w:hAnsi="楷体_GB2312" w:eastAsia="楷体_GB2312" w:cs="楷体_GB2312"/>
                <w:sz w:val="24"/>
                <w:szCs w:val="24"/>
                <w:lang w:val="en-US" w:eastAsia="zh-CN"/>
              </w:rPr>
              <w:t>大榆树镇</w:t>
            </w:r>
            <w:r>
              <w:rPr>
                <w:rFonts w:hint="eastAsia" w:ascii="楷体_GB2312" w:hAnsi="楷体_GB2312" w:eastAsia="楷体_GB2312" w:cs="楷体_GB2312"/>
                <w:sz w:val="24"/>
                <w:szCs w:val="24"/>
              </w:rPr>
              <w:t>等为重点</w:t>
            </w:r>
            <w:r>
              <w:rPr>
                <w:rFonts w:hint="eastAsia" w:ascii="楷体_GB2312" w:hAnsi="楷体_GB2312" w:eastAsia="楷体_GB2312" w:cs="楷体_GB2312"/>
                <w:sz w:val="24"/>
                <w:szCs w:val="24"/>
                <w:lang w:eastAsia="zh-CN"/>
              </w:rPr>
              <w:t>，</w:t>
            </w:r>
            <w:r>
              <w:rPr>
                <w:rFonts w:hint="eastAsia" w:ascii="楷体_GB2312" w:hAnsi="楷体_GB2312" w:eastAsia="楷体_GB2312" w:cs="楷体_GB2312"/>
                <w:sz w:val="24"/>
                <w:szCs w:val="24"/>
              </w:rPr>
              <w:t>加快黑土地保护项目建设</w:t>
            </w:r>
            <w:r>
              <w:rPr>
                <w:rFonts w:hint="eastAsia" w:ascii="楷体_GB2312" w:hAnsi="楷体_GB2312" w:eastAsia="楷体_GB2312" w:cs="楷体_GB2312"/>
                <w:sz w:val="24"/>
                <w:szCs w:val="24"/>
                <w:lang w:eastAsia="zh-CN"/>
              </w:rPr>
              <w:t>。</w:t>
            </w:r>
            <w:r>
              <w:rPr>
                <w:rFonts w:hint="eastAsia" w:ascii="楷体_GB2312" w:hAnsi="楷体_GB2312" w:eastAsia="楷体_GB2312" w:cs="楷体_GB2312"/>
                <w:sz w:val="24"/>
                <w:szCs w:val="24"/>
              </w:rPr>
              <w:t>到2030年</w:t>
            </w:r>
            <w:r>
              <w:rPr>
                <w:rFonts w:hint="eastAsia" w:ascii="楷体_GB2312" w:hAnsi="楷体_GB2312" w:eastAsia="楷体_GB2312" w:cs="楷体_GB2312"/>
                <w:sz w:val="24"/>
                <w:szCs w:val="24"/>
                <w:lang w:eastAsia="zh-CN"/>
              </w:rPr>
              <w:t>，</w:t>
            </w:r>
            <w:r>
              <w:rPr>
                <w:rFonts w:hint="eastAsia" w:ascii="楷体_GB2312" w:hAnsi="楷体_GB2312" w:eastAsia="楷体_GB2312" w:cs="楷体_GB2312"/>
                <w:sz w:val="24"/>
                <w:szCs w:val="24"/>
              </w:rPr>
              <w:t>全市</w:t>
            </w:r>
            <w:r>
              <w:rPr>
                <w:rFonts w:hint="eastAsia" w:ascii="楷体_GB2312" w:hAnsi="楷体_GB2312" w:eastAsia="楷体_GB2312" w:cs="楷体_GB2312"/>
                <w:sz w:val="24"/>
                <w:szCs w:val="24"/>
                <w:lang w:val="en-US" w:eastAsia="zh-CN"/>
              </w:rPr>
              <w:t>黑土地</w:t>
            </w:r>
            <w:r>
              <w:rPr>
                <w:rFonts w:hint="eastAsia" w:ascii="楷体_GB2312" w:hAnsi="楷体_GB2312" w:eastAsia="楷体_GB2312" w:cs="楷体_GB2312"/>
                <w:sz w:val="24"/>
                <w:szCs w:val="24"/>
              </w:rPr>
              <w:t>保护性耕作</w:t>
            </w:r>
            <w:r>
              <w:rPr>
                <w:rFonts w:hint="eastAsia" w:ascii="楷体_GB2312" w:hAnsi="楷体_GB2312" w:eastAsia="楷体_GB2312" w:cs="楷体_GB2312"/>
                <w:sz w:val="24"/>
                <w:szCs w:val="24"/>
                <w:lang w:val="en-US" w:eastAsia="zh-CN"/>
              </w:rPr>
              <w:t>面积达到</w:t>
            </w:r>
            <w:r>
              <w:rPr>
                <w:rFonts w:hint="eastAsia" w:ascii="楷体_GB2312" w:hAnsi="楷体_GB2312" w:eastAsia="楷体_GB2312" w:cs="楷体_GB2312"/>
                <w:sz w:val="24"/>
                <w:szCs w:val="24"/>
                <w:highlight w:val="none"/>
                <w:lang w:val="en-US" w:eastAsia="zh-CN"/>
              </w:rPr>
              <w:t>120</w:t>
            </w:r>
            <w:r>
              <w:rPr>
                <w:rFonts w:hint="eastAsia" w:ascii="楷体_GB2312" w:hAnsi="楷体_GB2312" w:eastAsia="楷体_GB2312" w:cs="楷体_GB2312"/>
                <w:sz w:val="24"/>
                <w:szCs w:val="24"/>
              </w:rPr>
              <w:t>万亩。</w:t>
            </w:r>
          </w:p>
          <w:p w14:paraId="12342BC1">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default" w:ascii="楷体_GB2312" w:hAnsi="楷体_GB2312" w:eastAsia="楷体_GB2312" w:cs="楷体_GB2312"/>
                <w:sz w:val="24"/>
                <w:szCs w:val="24"/>
                <w:lang w:val="en-US" w:eastAsia="zh-CN"/>
              </w:rPr>
            </w:pPr>
            <w:r>
              <w:rPr>
                <w:rFonts w:hint="eastAsia" w:ascii="楷体_GB2312" w:hAnsi="楷体_GB2312" w:eastAsia="楷体_GB2312" w:cs="楷体_GB2312"/>
                <w:sz w:val="24"/>
                <w:szCs w:val="24"/>
                <w:lang w:eastAsia="zh-CN"/>
              </w:rPr>
              <w:t>（</w:t>
            </w:r>
            <w:r>
              <w:rPr>
                <w:rFonts w:hint="eastAsia" w:ascii="楷体_GB2312" w:hAnsi="楷体_GB2312" w:eastAsia="楷体_GB2312" w:cs="楷体_GB2312"/>
                <w:sz w:val="24"/>
                <w:szCs w:val="24"/>
                <w:lang w:val="en-US" w:eastAsia="zh-CN"/>
              </w:rPr>
              <w:t>1</w:t>
            </w:r>
            <w:r>
              <w:rPr>
                <w:rFonts w:hint="eastAsia" w:ascii="楷体_GB2312" w:hAnsi="楷体_GB2312" w:eastAsia="楷体_GB2312" w:cs="楷体_GB2312"/>
                <w:sz w:val="24"/>
                <w:szCs w:val="24"/>
                <w:lang w:eastAsia="zh-CN"/>
              </w:rPr>
              <w:t>）</w:t>
            </w:r>
            <w:r>
              <w:rPr>
                <w:rFonts w:hint="eastAsia" w:ascii="楷体_GB2312" w:hAnsi="楷体_GB2312" w:eastAsia="楷体_GB2312" w:cs="楷体_GB2312"/>
                <w:sz w:val="24"/>
                <w:szCs w:val="24"/>
                <w:lang w:val="en-US" w:eastAsia="zh-CN"/>
              </w:rPr>
              <w:t>富锦市2026年黑土地保护建设项目。建设规模9.69万亩。1）排水与灌溉工程：渠道衬砌37.43km；疏浚沟渠44.68km；交叉建筑物475座（其中农桥12座、圆函167座、方涵74座、过水路面134座、闸门88座）；移动泵车20套。2）田间道路：修缮道路157km，其中机耕路长度为36.69km（水泥路面），生产路长度120.31km（砂石路面）。3）科技推广措施：农作物监测系统30套。</w:t>
            </w:r>
          </w:p>
          <w:p w14:paraId="5DC3FF7B">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楷体_GB2312" w:hAnsi="楷体_GB2312" w:eastAsia="楷体_GB2312" w:cs="楷体_GB2312"/>
                <w:sz w:val="24"/>
                <w:szCs w:val="24"/>
              </w:rPr>
            </w:pPr>
            <w:r>
              <w:rPr>
                <w:rFonts w:hint="eastAsia" w:ascii="楷体_GB2312" w:hAnsi="楷体_GB2312" w:eastAsia="楷体_GB2312" w:cs="楷体_GB2312"/>
                <w:sz w:val="24"/>
                <w:szCs w:val="24"/>
                <w:lang w:val="en-US" w:eastAsia="zh-CN"/>
              </w:rPr>
              <w:t>（2）富锦市2028年黑土地保护建设项目。建设规模8.18万亩。1）灌溉与排水工程：渠道衬砌26.79km，疏浚沟渠44.83km；交叉建筑物226座（其中农桥16座、圆函91座、方涵63座、过水路面47座、闸门9座）；移动泵车17套。2）田间道路：修缮道路174km，其中机耕路长度为48.94km（水泥路面），生产路长度125.06km（砂石路面）。</w:t>
            </w:r>
          </w:p>
          <w:p w14:paraId="796CEC24">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楷体_GB2312" w:hAnsi="楷体_GB2312" w:eastAsia="楷体_GB2312" w:cs="楷体_GB2312"/>
                <w:sz w:val="24"/>
                <w:szCs w:val="24"/>
              </w:rPr>
            </w:pPr>
            <w:r>
              <w:rPr>
                <w:rFonts w:hint="eastAsia" w:ascii="楷体_GB2312" w:hAnsi="楷体_GB2312" w:eastAsia="楷体_GB2312" w:cs="楷体_GB2312"/>
                <w:b/>
                <w:sz w:val="24"/>
                <w:szCs w:val="24"/>
              </w:rPr>
              <w:t>3.农田水利</w:t>
            </w:r>
            <w:r>
              <w:rPr>
                <w:rFonts w:hint="eastAsia" w:ascii="楷体_GB2312" w:hAnsi="楷体_GB2312" w:eastAsia="楷体_GB2312" w:cs="楷体_GB2312"/>
                <w:b/>
                <w:sz w:val="24"/>
                <w:szCs w:val="24"/>
                <w:lang w:val="en-US" w:eastAsia="zh-CN"/>
              </w:rPr>
              <w:t>改（建）</w:t>
            </w:r>
            <w:r>
              <w:rPr>
                <w:rFonts w:hint="eastAsia" w:ascii="楷体_GB2312" w:hAnsi="楷体_GB2312" w:eastAsia="楷体_GB2312" w:cs="楷体_GB2312"/>
                <w:b/>
                <w:sz w:val="24"/>
                <w:szCs w:val="24"/>
              </w:rPr>
              <w:t>工程。</w:t>
            </w:r>
            <w:r>
              <w:rPr>
                <w:rFonts w:hint="eastAsia" w:ascii="楷体_GB2312" w:hAnsi="楷体_GB2312" w:eastAsia="楷体_GB2312" w:cs="楷体_GB2312"/>
                <w:sz w:val="24"/>
                <w:szCs w:val="24"/>
              </w:rPr>
              <w:t>实施大型灌区改造工程，推进锦西灌区田间配套工程建设，加快幸福灌区续建配套与现代化改造项目</w:t>
            </w:r>
            <w:r>
              <w:rPr>
                <w:rFonts w:hint="eastAsia" w:ascii="楷体_GB2312" w:hAnsi="楷体_GB2312" w:eastAsia="楷体_GB2312" w:cs="楷体_GB2312"/>
                <w:sz w:val="24"/>
                <w:szCs w:val="24"/>
                <w:lang w:val="en-US" w:eastAsia="zh-CN"/>
              </w:rPr>
              <w:t>建设</w:t>
            </w:r>
            <w:r>
              <w:rPr>
                <w:rFonts w:hint="eastAsia" w:ascii="楷体_GB2312" w:hAnsi="楷体_GB2312" w:eastAsia="楷体_GB2312" w:cs="楷体_GB2312"/>
                <w:sz w:val="24"/>
                <w:szCs w:val="24"/>
              </w:rPr>
              <w:t>，</w:t>
            </w:r>
            <w:r>
              <w:rPr>
                <w:rFonts w:hint="eastAsia" w:ascii="楷体_GB2312" w:hAnsi="楷体_GB2312" w:eastAsia="楷体_GB2312" w:cs="楷体_GB2312"/>
                <w:sz w:val="24"/>
                <w:szCs w:val="24"/>
                <w:lang w:val="en-US" w:eastAsia="zh-CN"/>
              </w:rPr>
              <w:t>推进</w:t>
            </w:r>
            <w:r>
              <w:rPr>
                <w:rFonts w:hint="eastAsia" w:ascii="楷体_GB2312" w:hAnsi="楷体_GB2312" w:eastAsia="楷体_GB2312" w:cs="楷体_GB2312"/>
                <w:sz w:val="24"/>
                <w:szCs w:val="24"/>
              </w:rPr>
              <w:t>锦东、锦南灌区工程谋划建设。以锦西灌区为重点，深入实施江水置换工程。以锦西、红卫、红旗等灌区为</w:t>
            </w:r>
            <w:r>
              <w:rPr>
                <w:rFonts w:hint="eastAsia" w:ascii="楷体_GB2312" w:hAnsi="楷体_GB2312" w:eastAsia="楷体_GB2312" w:cs="楷体_GB2312"/>
                <w:sz w:val="24"/>
                <w:szCs w:val="24"/>
                <w:lang w:val="en-US" w:eastAsia="zh-CN"/>
              </w:rPr>
              <w:t>重点</w:t>
            </w:r>
            <w:r>
              <w:rPr>
                <w:rFonts w:hint="eastAsia" w:ascii="楷体_GB2312" w:hAnsi="楷体_GB2312" w:eastAsia="楷体_GB2312" w:cs="楷体_GB2312"/>
                <w:sz w:val="24"/>
                <w:szCs w:val="24"/>
              </w:rPr>
              <w:t>，</w:t>
            </w:r>
            <w:r>
              <w:rPr>
                <w:rFonts w:hint="eastAsia" w:ascii="楷体_GB2312" w:hAnsi="楷体_GB2312" w:eastAsia="楷体_GB2312" w:cs="楷体_GB2312"/>
                <w:sz w:val="24"/>
                <w:szCs w:val="24"/>
                <w:lang w:val="en-US" w:eastAsia="zh-CN"/>
              </w:rPr>
              <w:t>推进</w:t>
            </w:r>
            <w:r>
              <w:rPr>
                <w:rFonts w:hint="eastAsia" w:ascii="楷体_GB2312" w:hAnsi="楷体_GB2312" w:eastAsia="楷体_GB2312" w:cs="楷体_GB2312"/>
                <w:sz w:val="24"/>
                <w:szCs w:val="24"/>
              </w:rPr>
              <w:t>农田</w:t>
            </w:r>
            <w:r>
              <w:rPr>
                <w:rFonts w:hint="eastAsia" w:ascii="楷体_GB2312" w:hAnsi="楷体_GB2312" w:eastAsia="楷体_GB2312" w:cs="楷体_GB2312"/>
                <w:sz w:val="24"/>
                <w:szCs w:val="24"/>
                <w:lang w:eastAsia="zh-CN"/>
              </w:rPr>
              <w:t>灌</w:t>
            </w:r>
            <w:r>
              <w:rPr>
                <w:rFonts w:hint="eastAsia" w:ascii="楷体_GB2312" w:hAnsi="楷体_GB2312" w:eastAsia="楷体_GB2312" w:cs="楷体_GB2312"/>
                <w:sz w:val="24"/>
                <w:szCs w:val="24"/>
              </w:rPr>
              <w:t>区智慧化节水改造，</w:t>
            </w:r>
            <w:r>
              <w:rPr>
                <w:rFonts w:hint="eastAsia" w:ascii="楷体_GB2312" w:hAnsi="楷体_GB2312" w:eastAsia="楷体_GB2312" w:cs="楷体_GB2312"/>
                <w:sz w:val="24"/>
                <w:szCs w:val="24"/>
                <w:lang w:val="en-US" w:eastAsia="zh-CN"/>
              </w:rPr>
              <w:t>争创</w:t>
            </w:r>
            <w:r>
              <w:rPr>
                <w:rFonts w:hint="eastAsia" w:ascii="楷体_GB2312" w:hAnsi="楷体_GB2312" w:eastAsia="楷体_GB2312" w:cs="楷体_GB2312"/>
                <w:sz w:val="24"/>
                <w:szCs w:val="24"/>
              </w:rPr>
              <w:t>国家高效节水灌溉示范县。</w:t>
            </w:r>
          </w:p>
          <w:p w14:paraId="6798C3B3">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楷体_GB2312" w:hAnsi="楷体_GB2312" w:eastAsia="楷体_GB2312" w:cs="楷体_GB2312"/>
                <w:sz w:val="24"/>
                <w:szCs w:val="24"/>
              </w:rPr>
            </w:pPr>
            <w:r>
              <w:rPr>
                <w:rFonts w:hint="eastAsia" w:ascii="楷体_GB2312" w:hAnsi="楷体_GB2312" w:eastAsia="楷体_GB2312" w:cs="楷体_GB2312"/>
                <w:b/>
                <w:sz w:val="24"/>
                <w:szCs w:val="24"/>
              </w:rPr>
              <w:t>4.</w:t>
            </w:r>
            <w:r>
              <w:rPr>
                <w:rFonts w:hint="eastAsia" w:ascii="楷体_GB2312" w:hAnsi="楷体_GB2312" w:eastAsia="楷体_GB2312" w:cs="楷体_GB2312"/>
                <w:b/>
                <w:sz w:val="24"/>
                <w:szCs w:val="24"/>
                <w:lang w:val="en-US" w:eastAsia="zh-CN"/>
              </w:rPr>
              <w:t>粮油作物单产提升工程</w:t>
            </w:r>
            <w:r>
              <w:rPr>
                <w:rFonts w:hint="eastAsia" w:ascii="楷体_GB2312" w:hAnsi="楷体_GB2312" w:eastAsia="楷体_GB2312" w:cs="楷体_GB2312"/>
                <w:b/>
                <w:sz w:val="24"/>
                <w:szCs w:val="24"/>
              </w:rPr>
              <w:t>。</w:t>
            </w:r>
            <w:r>
              <w:rPr>
                <w:rFonts w:hint="eastAsia" w:ascii="楷体_GB2312" w:hAnsi="楷体_GB2312" w:eastAsia="楷体_GB2312" w:cs="楷体_GB2312"/>
                <w:sz w:val="24"/>
                <w:szCs w:val="24"/>
              </w:rPr>
              <w:t>整县制推进玉米、大豆、水稻三大作物大面积单产提升，</w:t>
            </w:r>
            <w:r>
              <w:rPr>
                <w:rFonts w:hint="eastAsia" w:ascii="楷体_GB2312" w:hAnsi="楷体_GB2312" w:eastAsia="楷体_GB2312" w:cs="楷体_GB2312"/>
                <w:sz w:val="24"/>
                <w:szCs w:val="24"/>
                <w:lang w:val="en-US" w:eastAsia="zh-CN"/>
              </w:rPr>
              <w:t>发挥上街基镇德安村玉米、大豆单产提升高标准示范基地、长安镇永胜水稻科技示范园引领作用，带动全市三大作物均衡增产</w:t>
            </w:r>
            <w:r>
              <w:rPr>
                <w:rFonts w:hint="eastAsia" w:ascii="楷体_GB2312" w:hAnsi="楷体_GB2312" w:eastAsia="楷体_GB2312" w:cs="楷体_GB2312"/>
                <w:sz w:val="24"/>
                <w:szCs w:val="24"/>
              </w:rPr>
              <w:t>。支持长安镇、</w:t>
            </w:r>
            <w:r>
              <w:rPr>
                <w:rFonts w:hint="eastAsia" w:ascii="楷体_GB2312" w:hAnsi="楷体_GB2312" w:eastAsia="楷体_GB2312" w:cs="楷体_GB2312"/>
                <w:sz w:val="24"/>
                <w:szCs w:val="24"/>
                <w:lang w:val="en-US" w:eastAsia="zh-CN"/>
              </w:rPr>
              <w:t>上街基镇、</w:t>
            </w:r>
            <w:r>
              <w:rPr>
                <w:rFonts w:hint="eastAsia" w:ascii="楷体_GB2312" w:hAnsi="楷体_GB2312" w:eastAsia="楷体_GB2312" w:cs="楷体_GB2312"/>
                <w:sz w:val="24"/>
                <w:szCs w:val="24"/>
              </w:rPr>
              <w:t>锦山镇重点发展水稻种植，推进宏胜镇南林村富硒水稻种植基地、</w:t>
            </w:r>
            <w:r>
              <w:rPr>
                <w:rFonts w:hint="eastAsia" w:ascii="楷体_GB2312" w:hAnsi="楷体_GB2312" w:eastAsia="楷体_GB2312" w:cs="楷体_GB2312"/>
                <w:sz w:val="24"/>
                <w:szCs w:val="24"/>
                <w:lang w:val="en-US" w:eastAsia="zh-CN"/>
              </w:rPr>
              <w:t>上街基镇宋店村大锦农有机水稻种植基地、长安镇永胜村水稻科技示范园建设</w:t>
            </w:r>
            <w:r>
              <w:rPr>
                <w:rFonts w:hint="eastAsia" w:ascii="楷体_GB2312" w:hAnsi="楷体_GB2312" w:eastAsia="楷体_GB2312" w:cs="楷体_GB2312"/>
                <w:sz w:val="24"/>
                <w:szCs w:val="24"/>
              </w:rPr>
              <w:t>等高效示范项目建设，打造一批优势农作物优质高效示范区。</w:t>
            </w:r>
          </w:p>
          <w:p w14:paraId="691C91EF">
            <w:pPr>
              <w:pStyle w:val="18"/>
              <w:keepNext w:val="0"/>
              <w:keepLines w:val="0"/>
              <w:pageBreakBefore w:val="0"/>
              <w:widowControl w:val="0"/>
              <w:kinsoku/>
              <w:wordWrap/>
              <w:overflowPunct/>
              <w:topLinePunct w:val="0"/>
              <w:autoSpaceDE/>
              <w:autoSpaceDN/>
              <w:bidi w:val="0"/>
              <w:adjustRightInd/>
              <w:snapToGrid/>
              <w:spacing w:after="0" w:line="240" w:lineRule="auto"/>
              <w:textAlignment w:val="auto"/>
              <w:rPr>
                <w:rFonts w:hint="eastAsia" w:ascii="楷体_GB2312" w:hAnsi="楷体_GB2312" w:eastAsia="楷体_GB2312" w:cs="楷体_GB2312"/>
                <w:sz w:val="24"/>
                <w:szCs w:val="24"/>
                <w:lang w:val="en-US" w:eastAsia="zh-CN"/>
              </w:rPr>
            </w:pPr>
            <w:r>
              <w:rPr>
                <w:rFonts w:hint="eastAsia" w:ascii="楷体_GB2312" w:hAnsi="楷体_GB2312" w:eastAsia="楷体_GB2312" w:cs="楷体_GB2312"/>
                <w:b/>
                <w:bCs/>
                <w:sz w:val="24"/>
                <w:szCs w:val="24"/>
                <w:lang w:val="en-US" w:eastAsia="zh-CN"/>
              </w:rPr>
              <w:t>5.农产品质量提升工</w:t>
            </w:r>
            <w:r>
              <w:rPr>
                <w:rFonts w:hint="eastAsia" w:ascii="楷体_GB2312" w:hAnsi="楷体_GB2312" w:eastAsia="楷体_GB2312" w:cs="楷体_GB2312"/>
                <w:b/>
                <w:bCs/>
                <w:kern w:val="2"/>
                <w:sz w:val="24"/>
                <w:szCs w:val="24"/>
                <w:lang w:val="en-US" w:eastAsia="zh-CN" w:bidi="ar-SA"/>
              </w:rPr>
              <w:t>程。</w:t>
            </w:r>
            <w:r>
              <w:rPr>
                <w:rFonts w:hint="eastAsia" w:ascii="楷体_GB2312" w:hAnsi="楷体_GB2312" w:eastAsia="楷体_GB2312" w:cs="楷体_GB2312"/>
                <w:kern w:val="2"/>
                <w:sz w:val="24"/>
                <w:szCs w:val="24"/>
                <w:lang w:val="en-US" w:eastAsia="zh-CN" w:bidi="ar-SA"/>
              </w:rPr>
              <w:t>深入实施农业标准化提升计划，加快制定富锦大米、大豆、狮头鹅等优势产品的全产业链绿色生产地方标准和技术规程</w:t>
            </w:r>
            <w:r>
              <w:rPr>
                <w:rFonts w:hint="eastAsia" w:ascii="楷体_GB2312" w:hAnsi="楷体_GB2312" w:cs="楷体_GB2312"/>
                <w:kern w:val="2"/>
                <w:sz w:val="24"/>
                <w:szCs w:val="24"/>
                <w:lang w:val="en-US" w:eastAsia="zh-CN" w:bidi="ar-SA"/>
              </w:rPr>
              <w:t>，</w:t>
            </w:r>
            <w:r>
              <w:rPr>
                <w:rFonts w:hint="eastAsia" w:ascii="楷体_GB2312" w:hAnsi="楷体_GB2312" w:eastAsia="楷体_GB2312" w:cs="楷体_GB2312"/>
                <w:kern w:val="2"/>
                <w:sz w:val="24"/>
                <w:szCs w:val="24"/>
                <w:lang w:val="en-US" w:eastAsia="zh-CN" w:bidi="ar-SA"/>
              </w:rPr>
              <w:t>指导企业主动用标、规范用标，持续强化绿色食品和有机农产品认证。加强农产品质量安全追溯管理信息平台推广应用，逐步建立产地农产品全产业链追溯体系。</w:t>
            </w:r>
          </w:p>
          <w:p w14:paraId="215A03A3">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楷体_GB2312" w:hAnsi="楷体_GB2312" w:eastAsia="楷体_GB2312" w:cs="楷体_GB2312"/>
                <w:b w:val="0"/>
                <w:bCs/>
                <w:sz w:val="24"/>
                <w:szCs w:val="24"/>
                <w:lang w:val="en-US" w:eastAsia="zh-CN"/>
              </w:rPr>
            </w:pPr>
            <w:r>
              <w:rPr>
                <w:rFonts w:hint="eastAsia" w:ascii="楷体_GB2312" w:hAnsi="楷体_GB2312" w:eastAsia="楷体_GB2312" w:cs="楷体_GB2312"/>
                <w:b/>
                <w:sz w:val="24"/>
                <w:szCs w:val="24"/>
                <w:lang w:val="en-US" w:eastAsia="zh-CN"/>
              </w:rPr>
              <w:t>6</w:t>
            </w:r>
            <w:r>
              <w:rPr>
                <w:rFonts w:hint="eastAsia" w:ascii="楷体_GB2312" w:hAnsi="楷体_GB2312" w:eastAsia="楷体_GB2312" w:cs="楷体_GB2312"/>
                <w:b/>
                <w:sz w:val="24"/>
                <w:szCs w:val="24"/>
              </w:rPr>
              <w:t>.畜牧业养殖扩能工程。</w:t>
            </w:r>
            <w:r>
              <w:rPr>
                <w:rFonts w:hint="eastAsia" w:ascii="楷体_GB2312" w:hAnsi="楷体_GB2312" w:eastAsia="楷体_GB2312" w:cs="楷体_GB2312"/>
                <w:b w:val="0"/>
                <w:bCs/>
                <w:sz w:val="24"/>
                <w:szCs w:val="24"/>
                <w:lang w:val="en-US" w:eastAsia="zh-CN"/>
              </w:rPr>
              <w:t>引导富珠牧业、华牧养殖场、鑫顺养猪场等提高扩繁能力，稳定生猪产业。继续推进大锦农肉鸡全产业链发展，推进粮都华鹅、万羽牧业等狮头鹅养殖场开展狮头鹅产品深加工，实施锦丰农场种鹅场扩建项目。加强头兴牧业、锦丰农场、天野牧业国家级千头奶牛示范场奶业新型经营主体培育，推进万头奶牛养殖基地建设。依托锦山镇剑峰畜禽养殖专业合作社等企业，打造优质安格斯良种繁育基地，建设标准化育肥基地，推进万头肉牛养殖基地项目。</w:t>
            </w:r>
          </w:p>
          <w:p w14:paraId="334C0E2B">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default" w:ascii="楷体_GB2312" w:hAnsi="楷体_GB2312" w:eastAsia="楷体_GB2312" w:cs="楷体_GB2312"/>
                <w:b w:val="0"/>
                <w:bCs/>
                <w:sz w:val="24"/>
                <w:szCs w:val="24"/>
                <w:lang w:val="en-US" w:eastAsia="zh-CN"/>
              </w:rPr>
            </w:pPr>
            <w:r>
              <w:rPr>
                <w:rFonts w:hint="eastAsia" w:ascii="楷体_GB2312" w:hAnsi="楷体_GB2312" w:eastAsia="楷体_GB2312" w:cs="楷体_GB2312"/>
                <w:b/>
                <w:bCs w:val="0"/>
                <w:sz w:val="24"/>
                <w:szCs w:val="24"/>
                <w:lang w:val="en-US" w:eastAsia="zh-CN"/>
              </w:rPr>
              <w:t>7.水产养殖现代化建设工程。</w:t>
            </w:r>
            <w:r>
              <w:rPr>
                <w:rFonts w:hint="eastAsia" w:ascii="楷体_GB2312" w:hAnsi="楷体_GB2312" w:eastAsia="楷体_GB2312" w:cs="楷体_GB2312"/>
                <w:b w:val="0"/>
                <w:bCs/>
                <w:sz w:val="24"/>
                <w:szCs w:val="24"/>
                <w:lang w:val="en-US" w:eastAsia="zh-CN"/>
              </w:rPr>
              <w:t>培育新型渔业经营主体，扶持水产养殖专业合作社和家庭渔场，推动规模化渔场数字化升级。加强松花江乌苏里拟鲿细鳞斜颌鲴国家级水产种质资源保护区建设，实施年度渔业资源保护项目和冷水鱼繁育基地能力提升项目，支持渔政执法装备配备及运维补助项目建设。</w:t>
            </w:r>
          </w:p>
          <w:p w14:paraId="76C1821B">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楷体_GB2312" w:hAnsi="楷体_GB2312" w:eastAsia="楷体_GB2312" w:cs="楷体_GB2312"/>
                <w:sz w:val="24"/>
                <w:szCs w:val="24"/>
                <w:lang w:val="en-US" w:eastAsia="zh-CN"/>
              </w:rPr>
            </w:pPr>
            <w:r>
              <w:rPr>
                <w:rFonts w:hint="eastAsia" w:ascii="楷体_GB2312" w:hAnsi="楷体_GB2312" w:eastAsia="楷体_GB2312" w:cs="楷体_GB2312"/>
                <w:b/>
                <w:sz w:val="24"/>
                <w:szCs w:val="24"/>
                <w:lang w:val="en-US" w:eastAsia="zh-CN"/>
              </w:rPr>
              <w:t>8</w:t>
            </w:r>
            <w:r>
              <w:rPr>
                <w:rFonts w:hint="eastAsia" w:ascii="楷体_GB2312" w:hAnsi="楷体_GB2312" w:eastAsia="楷体_GB2312" w:cs="楷体_GB2312"/>
                <w:b/>
                <w:sz w:val="24"/>
                <w:szCs w:val="24"/>
              </w:rPr>
              <w:t>.特色农业产业集群建设工程。</w:t>
            </w:r>
            <w:r>
              <w:rPr>
                <w:rFonts w:hint="eastAsia" w:ascii="楷体_GB2312" w:hAnsi="楷体_GB2312" w:eastAsia="楷体_GB2312" w:cs="楷体_GB2312"/>
                <w:sz w:val="24"/>
                <w:szCs w:val="24"/>
                <w:lang w:val="en-US" w:eastAsia="zh-CN"/>
              </w:rPr>
              <w:t>以向阳川镇、二龙山镇、上街基镇、大榆树镇为重点，打造一批万寿菊订单种植基地。重点支持大锦农果蔬、北界地菇娘、太平大蒜、茂盛毛葱、庆胜香瓜、华胜地瓜、利民蔬菜、洪州百果园等镇村特色产业发展。</w:t>
            </w:r>
            <w:r>
              <w:rPr>
                <w:rFonts w:hint="eastAsia" w:ascii="楷体_GB2312" w:hAnsi="楷体_GB2312" w:eastAsia="楷体_GB2312" w:cs="楷体_GB2312"/>
                <w:sz w:val="24"/>
                <w:szCs w:val="24"/>
              </w:rPr>
              <w:t>以向阳川镇、上街基镇为重点，建设湖羊标准化生态养殖基地。</w:t>
            </w:r>
            <w:r>
              <w:rPr>
                <w:rFonts w:hint="eastAsia" w:ascii="楷体_GB2312" w:hAnsi="楷体_GB2312" w:eastAsia="楷体_GB2312" w:cs="楷体_GB2312"/>
                <w:sz w:val="24"/>
                <w:szCs w:val="24"/>
                <w:lang w:val="en-US" w:eastAsia="zh-CN"/>
              </w:rPr>
              <w:t>推进富锦市粮都华鹅狮头鹅种鹅场建设，以向阳川镇、二龙山镇、头林镇、兴隆岗镇为重点，到2030年，全市狮头鹅饲养量达到30万只。</w:t>
            </w:r>
          </w:p>
          <w:p w14:paraId="4150FCA2">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default" w:ascii="Times New Roman" w:hAnsi="Times New Roman" w:eastAsia="楷体" w:cs="Times New Roman"/>
                <w:sz w:val="28"/>
                <w:lang w:val="en-US" w:eastAsia="zh-CN"/>
              </w:rPr>
            </w:pPr>
            <w:r>
              <w:rPr>
                <w:rFonts w:hint="eastAsia" w:ascii="楷体_GB2312" w:hAnsi="楷体_GB2312" w:eastAsia="楷体_GB2312" w:cs="楷体_GB2312"/>
                <w:b/>
                <w:bCs/>
                <w:sz w:val="24"/>
                <w:szCs w:val="24"/>
                <w:lang w:val="en-US" w:eastAsia="zh-CN"/>
              </w:rPr>
              <w:t>9.“一镇一品”特色产业培育计划。</w:t>
            </w:r>
            <w:r>
              <w:rPr>
                <w:rFonts w:hint="eastAsia" w:ascii="楷体_GB2312" w:hAnsi="楷体_GB2312" w:eastAsia="楷体_GB2312" w:cs="楷体_GB2312"/>
                <w:sz w:val="24"/>
                <w:szCs w:val="24"/>
                <w:lang w:val="en-US" w:eastAsia="zh-CN"/>
              </w:rPr>
              <w:t xml:space="preserve">基于各镇的资源禀赋、产业基础和未来发展潜力，拟定各镇“一镇一品”产业发展方向，其中，（1）富锦镇：立足城关镇区位优势，打造以棚室蔬菜、速冻黏玉米为主导的近郊精品农业样板镇和城乡融合发展示范区；（2）二龙山镇：立足粮仓物流优势，打造以狮头鹅、精品和牛、黄金菇娘为特色的农牧循环经济新样板；（3）向阳川镇：锚定中西部农旅融合生态小镇，以北药种植、湖羊养殖为双轮驱动，做强林下特色经济；（4）锦山镇：立足田园休闲与生态旅游优势，大力发展以精细果蔬、精品民宿为特色的农文旅融合产业；（5）头林镇：立足“粮－酒－畜－肥”大循环，以粮酿酒、以糟养牛、以粪还田，铸就“头林蒙”白酒与生态畜牧交相辉映的醉美头林；（6）兴隆岗镇：聚焦富硒粮油（玉米、大豆、水稻）与狮头鹅生态养殖双轮驱动，打造绿色种养融合的生态农业名镇；（7）宏胜镇：聚焦“宏胜富硒”稻米和生态肉牛养殖双擎驱动，以种养结合擦亮“功能农业”金字招牌；（8）长安镇：锚定农旅融合，以农业科技观光、寒地蓝莓种植为主导，打造稻海田园旅游目的地；（9）上街基镇：守护北部沿江生态，以林下药、棚中菜、江边鹅、生态鸡为主导，打造沿江生态种养加一体化示范镇；（10）砚山镇：激活田林资源，以万寿菊、特色浆果种植和“虾稻共生”生态养殖为主导，打造多彩田园、活力水产的特色产业强镇；（11）大榆树镇：依托城区近郊区位优势，打造以大蒜、小毛葱、地瓜为特色的城市优质蔬菜保供基地与近郊农旅融合示范镇。  </w:t>
            </w:r>
          </w:p>
        </w:tc>
      </w:tr>
    </w:tbl>
    <w:p w14:paraId="35D4518C">
      <w:pPr>
        <w:pStyle w:val="3"/>
        <w:keepNext w:val="0"/>
        <w:keepLines w:val="0"/>
        <w:widowControl/>
        <w:spacing w:line="240" w:lineRule="auto"/>
        <w:ind w:left="0" w:leftChars="0" w:firstLine="0" w:firstLineChars="0"/>
        <w:jc w:val="center"/>
        <w:rPr>
          <w:rFonts w:hint="eastAsia" w:ascii="Times New Roman" w:hAnsi="Times New Roman" w:eastAsia="楷体_GB2312" w:cs="楷体_GB2312"/>
          <w:lang w:val="en-US" w:eastAsia="zh-CN"/>
        </w:rPr>
      </w:pPr>
      <w:bookmarkStart w:id="15" w:name="_Toc14782"/>
      <w:r>
        <w:rPr>
          <w:rFonts w:hint="eastAsia" w:ascii="Times New Roman" w:hAnsi="Times New Roman" w:eastAsia="楷体_GB2312" w:cs="楷体_GB2312"/>
          <w:lang w:val="en-US" w:eastAsia="zh-CN"/>
        </w:rPr>
        <w:t>第二节  强化科技</w:t>
      </w:r>
      <w:r>
        <w:rPr>
          <w:rFonts w:hint="eastAsia" w:ascii="Times New Roman" w:hAnsi="Times New Roman" w:cs="楷体_GB2312"/>
          <w:lang w:val="en-US" w:eastAsia="zh-CN"/>
        </w:rPr>
        <w:t>农业</w:t>
      </w:r>
      <w:r>
        <w:rPr>
          <w:rFonts w:hint="eastAsia" w:ascii="Times New Roman" w:hAnsi="Times New Roman" w:eastAsia="楷体_GB2312" w:cs="楷体_GB2312"/>
          <w:lang w:val="en-US" w:eastAsia="zh-CN"/>
        </w:rPr>
        <w:t>，打造“新质农业”创新样板</w:t>
      </w:r>
      <w:bookmarkEnd w:id="15"/>
    </w:p>
    <w:p w14:paraId="291CA9AE">
      <w:pPr>
        <w:bidi w:val="0"/>
        <w:rPr>
          <w:rFonts w:hint="eastAsia"/>
          <w:b/>
          <w:bCs/>
        </w:rPr>
      </w:pPr>
      <w:r>
        <w:rPr>
          <w:rFonts w:hint="eastAsia" w:ascii="Times New Roman" w:hAnsi="Times New Roman" w:cs="Times New Roman"/>
          <w:b w:val="0"/>
          <w:bCs w:val="0"/>
          <w:sz w:val="34"/>
          <w:szCs w:val="34"/>
          <w:highlight w:val="none"/>
          <w:lang w:val="en-US" w:eastAsia="zh-CN"/>
        </w:rPr>
        <w:t>聚焦</w:t>
      </w:r>
      <w:r>
        <w:rPr>
          <w:rFonts w:hint="default" w:ascii="Times New Roman" w:hAnsi="Times New Roman" w:eastAsia="仿宋_GB2312" w:cs="Times New Roman"/>
          <w:b w:val="0"/>
          <w:bCs w:val="0"/>
          <w:sz w:val="34"/>
          <w:szCs w:val="34"/>
          <w:highlight w:val="none"/>
          <w:lang w:eastAsia="zh-CN"/>
        </w:rPr>
        <w:t>培育农业新质生产力，推动“人工智能+”、生物技术、低空经济、北斗卫星等赋能现代农业，加快高端智能适用农机装备研发应用，</w:t>
      </w:r>
      <w:r>
        <w:rPr>
          <w:rFonts w:hint="eastAsia" w:ascii="Times New Roman" w:hAnsi="Times New Roman" w:cs="Times New Roman"/>
          <w:b w:val="0"/>
          <w:bCs w:val="0"/>
          <w:sz w:val="34"/>
          <w:szCs w:val="34"/>
          <w:highlight w:val="none"/>
          <w:lang w:val="en-US" w:eastAsia="zh-CN"/>
        </w:rPr>
        <w:t>推进农机农艺深度融合，</w:t>
      </w:r>
      <w:r>
        <w:rPr>
          <w:rFonts w:hint="default" w:ascii="Times New Roman" w:hAnsi="Times New Roman" w:eastAsia="仿宋_GB2312" w:cs="Times New Roman"/>
          <w:b w:val="0"/>
          <w:bCs w:val="0"/>
          <w:sz w:val="34"/>
          <w:szCs w:val="34"/>
          <w:highlight w:val="none"/>
          <w:lang w:eastAsia="zh-CN"/>
        </w:rPr>
        <w:t>强化农业前沿科技成果示范带动和先进技术集成推广。</w:t>
      </w:r>
    </w:p>
    <w:p w14:paraId="6AB479BF">
      <w:pPr>
        <w:bidi w:val="0"/>
        <w:rPr>
          <w:rFonts w:hint="eastAsia"/>
          <w:b/>
          <w:bCs/>
        </w:rPr>
      </w:pPr>
      <w:r>
        <w:rPr>
          <w:rFonts w:hint="eastAsia"/>
          <w:b/>
          <w:bCs/>
        </w:rPr>
        <w:t>一、深入实施种业振兴行动</w:t>
      </w:r>
    </w:p>
    <w:p w14:paraId="2660C661">
      <w:pPr>
        <w:bidi w:val="0"/>
        <w:rPr>
          <w:rFonts w:hint="eastAsia"/>
          <w:lang w:val="en-US" w:eastAsia="zh-CN"/>
        </w:rPr>
      </w:pPr>
      <w:r>
        <w:rPr>
          <w:rFonts w:hint="eastAsia"/>
          <w:lang w:val="en-US" w:eastAsia="zh-CN"/>
        </w:rPr>
        <w:t>贯彻落实习近平总书记“用中国种子保障中国粮食安全”的重要指示精神，深入实施种业振兴行动，将其作为推动全市农业高质量发展的核心任务。聚焦水稻、大豆、狮头鹅等优势特色品种，全面深化与国省科研院所、知名高校等机构的“院地合作”模式，共建种业创新联合体，开展水稻、大豆等种源技术攻关，积极培育高产、抗逆、优质新品种。依托国家现代农业产业园，推进国家级大豆种子基地建设，加强数字化、智能化配套设施建设，提升水稻、大豆良种繁育基地现代化水平。实施种业企业扶持行动，引育一批育繁推一体化种业企业，推动优势企业与万亩水稻科技示范园等优质基地相结合。</w:t>
      </w:r>
    </w:p>
    <w:p w14:paraId="5A4DB2C7">
      <w:pPr>
        <w:bidi w:val="0"/>
        <w:rPr>
          <w:rFonts w:hint="eastAsia" w:ascii="仿宋_GB2312" w:hAnsi="仿宋_GB2312" w:eastAsia="仿宋_GB2312" w:cs="仿宋_GB2312"/>
          <w:b/>
          <w:bCs/>
        </w:rPr>
      </w:pPr>
      <w:r>
        <w:rPr>
          <w:rFonts w:hint="eastAsia" w:ascii="仿宋_GB2312" w:hAnsi="仿宋_GB2312" w:eastAsia="仿宋_GB2312" w:cs="仿宋_GB2312"/>
          <w:b/>
          <w:bCs/>
        </w:rPr>
        <w:t>二、推进农机农艺深度融合</w:t>
      </w:r>
    </w:p>
    <w:p w14:paraId="726CC8B4">
      <w:pPr>
        <w:bidi w:val="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完善</w:t>
      </w:r>
      <w:r>
        <w:rPr>
          <w:rFonts w:hint="eastAsia" w:ascii="仿宋_GB2312" w:hAnsi="仿宋_GB2312" w:cs="仿宋_GB2312"/>
          <w:lang w:val="en-US" w:eastAsia="zh-CN"/>
        </w:rPr>
        <w:t>我市</w:t>
      </w:r>
      <w:r>
        <w:rPr>
          <w:rFonts w:hint="eastAsia" w:ascii="仿宋_GB2312" w:hAnsi="仿宋_GB2312" w:eastAsia="仿宋_GB2312" w:cs="仿宋_GB2312"/>
          <w:lang w:val="en-US" w:eastAsia="zh-CN"/>
        </w:rPr>
        <w:t>农机农艺融合机制，成立农机农艺融合协调小组和专家组，制定科学合理、相互适应的机械化农艺体系、作业规范和质量标准，加快良田、良种、良机、良法、良制“五良”协同集成，探索利用农机作业数据反向优化农艺方案，构建“数据—装备—品种”闭环，持续创新主导品种、主推技术、主力机型“三主”融合技术模式，实现农业生产各环节精准匹配与高效协同。加强农机农艺复合型人才培养，依托富锦职业学校、富锦市农机站等机构，定期开展专题培训，构建市、镇、村三级农机农艺融合推广队伍。选择具备条件的农业企业、合作社和家庭农场，建立农机农艺综合实践基地。整合资源打造一批农机农艺融合示范点（区），探索可复制、可推广的融合发展路径，以点带面推进全市农机农艺深度融合。</w:t>
      </w:r>
    </w:p>
    <w:p w14:paraId="14C47A11">
      <w:pPr>
        <w:bidi w:val="0"/>
        <w:rPr>
          <w:rFonts w:hint="eastAsia" w:ascii="仿宋_GB2312" w:hAnsi="仿宋_GB2312" w:eastAsia="仿宋_GB2312" w:cs="仿宋_GB2312"/>
          <w:b/>
          <w:bCs/>
        </w:rPr>
      </w:pPr>
      <w:r>
        <w:rPr>
          <w:rFonts w:hint="eastAsia" w:ascii="仿宋_GB2312" w:hAnsi="仿宋_GB2312" w:eastAsia="仿宋_GB2312" w:cs="仿宋_GB2312"/>
          <w:b/>
          <w:bCs/>
        </w:rPr>
        <w:t>三、促进数字技术与现代农业全面融合</w:t>
      </w:r>
    </w:p>
    <w:p w14:paraId="6CBCF1D2">
      <w:pPr>
        <w:bidi w:val="0"/>
        <w:rPr>
          <w:rFonts w:hint="eastAsia" w:ascii="仿宋_GB2312" w:hAnsi="仿宋_GB2312" w:eastAsia="仿宋_GB2312" w:cs="仿宋_GB2312"/>
          <w:lang w:val="en-US" w:eastAsia="zh-CN"/>
        </w:rPr>
      </w:pPr>
      <w:r>
        <w:rPr>
          <w:rFonts w:hint="eastAsia" w:ascii="仿宋_GB2312" w:hAnsi="仿宋_GB2312" w:eastAsia="仿宋_GB2312" w:cs="仿宋_GB2312"/>
          <w:b/>
          <w:bCs/>
          <w:lang w:val="en-US" w:eastAsia="zh-CN"/>
        </w:rPr>
        <w:t>加强农业数字基础设施建设。</w:t>
      </w:r>
      <w:r>
        <w:rPr>
          <w:rFonts w:hint="eastAsia" w:ascii="仿宋_GB2312" w:hAnsi="仿宋_GB2312" w:eastAsia="仿宋_GB2312" w:cs="仿宋_GB2312"/>
          <w:lang w:val="en-US" w:eastAsia="zh-CN"/>
        </w:rPr>
        <w:t>统筹利用高标准农田建设、高产高效示范区创建、农机购置补贴等政策，引导规模经营主体开展农田生产条件和技术装备的数字化、智能化改造。发挥万亩水稻科技示范园引领作用，融合多源遥感信息与地面观测数据，完善全市“空天地”一体化农业监测体系，合理布设田间物联网设备，集成应用“四情”监测、土壤快检、精准水肥药施用、智能决策系统等技术装备，构建</w:t>
      </w:r>
      <w:r>
        <w:rPr>
          <w:rFonts w:hint="eastAsia" w:ascii="仿宋_GB2312" w:hAnsi="仿宋_GB2312" w:cs="仿宋_GB2312"/>
          <w:lang w:val="en-US" w:eastAsia="zh-CN"/>
        </w:rPr>
        <w:t>粮油</w:t>
      </w:r>
      <w:r>
        <w:rPr>
          <w:rFonts w:hint="eastAsia" w:ascii="仿宋_GB2312" w:hAnsi="仿宋_GB2312" w:eastAsia="仿宋_GB2312" w:cs="仿宋_GB2312"/>
          <w:lang w:val="en-US" w:eastAsia="zh-CN"/>
        </w:rPr>
        <w:t>作物大面积单产提升的数字化种植技术体系。推进农产品产地市场和加工流通企业数字化改造，集成应用清选分级、品质检测、加工包装、冷藏保鲜等智能设施，培育智能化、高端化现代加工仓储模式。依托</w:t>
      </w:r>
      <w:r>
        <w:rPr>
          <w:rFonts w:hint="eastAsia" w:ascii="仿宋_GB2312" w:hAnsi="仿宋_GB2312" w:cs="仿宋_GB2312"/>
          <w:lang w:val="en-US" w:eastAsia="zh-CN"/>
        </w:rPr>
        <w:t>我市</w:t>
      </w:r>
      <w:r>
        <w:rPr>
          <w:rFonts w:hint="eastAsia" w:ascii="仿宋_GB2312" w:hAnsi="仿宋_GB2312" w:eastAsia="仿宋_GB2312" w:cs="仿宋_GB2312"/>
          <w:lang w:val="en-US" w:eastAsia="zh-CN"/>
        </w:rPr>
        <w:t>农业大数据服务平台，整合农业生产经营、市场流通、资源环境等数据资源，建设全市“三农”数据仓，实现农业数据的集中存储、管理和共享，为政府决策、行业监管和预测预警提供数据支撑。依托部、省农产品质量安全追溯管理信息平台，探索农产品质量安全追溯新机制，加快推进</w:t>
      </w:r>
      <w:r>
        <w:rPr>
          <w:rFonts w:hint="eastAsia" w:ascii="仿宋_GB2312" w:hAnsi="仿宋_GB2312" w:cs="仿宋_GB2312"/>
          <w:lang w:val="en-US" w:eastAsia="zh-CN"/>
        </w:rPr>
        <w:t>全市</w:t>
      </w:r>
      <w:r>
        <w:rPr>
          <w:rFonts w:hint="eastAsia" w:ascii="仿宋_GB2312" w:hAnsi="仿宋_GB2312" w:eastAsia="仿宋_GB2312" w:cs="仿宋_GB2312"/>
          <w:lang w:val="en-US" w:eastAsia="zh-CN"/>
        </w:rPr>
        <w:t>产地农产品溯源体系建设。</w:t>
      </w:r>
    </w:p>
    <w:p w14:paraId="208E5A77">
      <w:pPr>
        <w:bidi w:val="0"/>
        <w:rPr>
          <w:rFonts w:hint="eastAsia" w:ascii="仿宋_GB2312" w:hAnsi="仿宋_GB2312" w:eastAsia="仿宋_GB2312" w:cs="仿宋_GB2312"/>
          <w:lang w:val="en-US" w:eastAsia="zh-CN"/>
        </w:rPr>
      </w:pPr>
      <w:r>
        <w:rPr>
          <w:rFonts w:hint="eastAsia" w:ascii="仿宋_GB2312" w:hAnsi="仿宋_GB2312" w:eastAsia="仿宋_GB2312" w:cs="仿宋_GB2312"/>
          <w:b/>
          <w:bCs/>
          <w:lang w:val="en-US" w:eastAsia="zh-CN"/>
        </w:rPr>
        <w:t>推进智慧农业应用场景建设。</w:t>
      </w:r>
      <w:r>
        <w:rPr>
          <w:rFonts w:hint="eastAsia" w:ascii="仿宋_GB2312" w:hAnsi="仿宋_GB2312" w:eastAsia="仿宋_GB2312" w:cs="仿宋_GB2312"/>
          <w:lang w:val="en-US" w:eastAsia="zh-CN"/>
        </w:rPr>
        <w:t>鼓励有条件的家庭农场、农民合作社实施数字化改造，聚焦水稻精细化种植、畜禽规模化养殖、渔业及设施蔬菜智能化管控等领域，探索多样化智慧农场建设模式。依托万亩水稻科技示范园，对标国家智慧农业标准，结合高标准农田与农业数字化建设，沿同三高速公路（富锦段）沿线加快建设一批高标准数字农田，打造农田建设新样板，助力全市“现代农业示范带”建设。推进育制种业智能化，支持科研机构和种业企业共建智能育种平台，重点推广水稻育苗催芽播种等智能装备。深化“卫星+农业”智慧服务模式，推动遥感监测产品、人工影响天气作业需求与农业生产管理深度融合，开发面向新型农业经营主体和政府部门的分众化服务产品，通过专用平台、移动应用等渠道，提供精准的农事建议、灾害预防指导等决策支持信息，实现监测</w:t>
      </w:r>
      <w:r>
        <w:rPr>
          <w:rFonts w:hint="eastAsia" w:ascii="仿宋_GB2312" w:hAnsi="仿宋_GB2312" w:cs="仿宋_GB2312"/>
          <w:lang w:val="en-US" w:eastAsia="zh-CN"/>
        </w:rPr>
        <w:t>－</w:t>
      </w:r>
      <w:r>
        <w:rPr>
          <w:rFonts w:hint="eastAsia" w:ascii="仿宋_GB2312" w:hAnsi="仿宋_GB2312" w:eastAsia="仿宋_GB2312" w:cs="仿宋_GB2312"/>
          <w:lang w:val="en-US" w:eastAsia="zh-CN"/>
        </w:rPr>
        <w:t>预报</w:t>
      </w:r>
      <w:r>
        <w:rPr>
          <w:rFonts w:hint="eastAsia" w:ascii="仿宋_GB2312" w:hAnsi="仿宋_GB2312" w:cs="仿宋_GB2312"/>
          <w:lang w:val="en-US" w:eastAsia="zh-CN"/>
        </w:rPr>
        <w:t>－</w:t>
      </w:r>
      <w:r>
        <w:rPr>
          <w:rFonts w:hint="eastAsia" w:ascii="仿宋_GB2312" w:hAnsi="仿宋_GB2312" w:eastAsia="仿宋_GB2312" w:cs="仿宋_GB2312"/>
          <w:lang w:val="en-US" w:eastAsia="zh-CN"/>
        </w:rPr>
        <w:t>作业</w:t>
      </w:r>
      <w:r>
        <w:rPr>
          <w:rFonts w:hint="eastAsia" w:ascii="仿宋_GB2312" w:hAnsi="仿宋_GB2312" w:cs="仿宋_GB2312"/>
          <w:lang w:val="en-US" w:eastAsia="zh-CN"/>
        </w:rPr>
        <w:t>－</w:t>
      </w:r>
      <w:r>
        <w:rPr>
          <w:rFonts w:hint="eastAsia" w:ascii="仿宋_GB2312" w:hAnsi="仿宋_GB2312" w:eastAsia="仿宋_GB2312" w:cs="仿宋_GB2312"/>
          <w:lang w:val="en-US" w:eastAsia="zh-CN"/>
        </w:rPr>
        <w:t>服务全链条闭环管理。拓展“低空+农业”应用场景，优先在万亩水稻科技示范园、新超农业种植专业合作社联社等探索建设无人农场，重点推进农机无人驾驶、精准智能作业、精量灌排等技术应用，实现无人化或少人化生产，释放农业新质生产力。</w:t>
      </w:r>
    </w:p>
    <w:p w14:paraId="48573784">
      <w:pPr>
        <w:bidi w:val="0"/>
        <w:rPr>
          <w:rFonts w:hint="eastAsia" w:ascii="仿宋_GB2312" w:hAnsi="仿宋_GB2312" w:eastAsia="仿宋_GB2312" w:cs="仿宋_GB2312"/>
          <w:b/>
          <w:bCs/>
          <w:lang w:val="en-US" w:eastAsia="zh-CN"/>
        </w:rPr>
      </w:pPr>
      <w:r>
        <w:rPr>
          <w:rFonts w:hint="eastAsia" w:ascii="仿宋_GB2312" w:hAnsi="仿宋_GB2312" w:eastAsia="仿宋_GB2312" w:cs="仿宋_GB2312"/>
          <w:b/>
          <w:bCs/>
          <w:lang w:val="en-US" w:eastAsia="zh-CN"/>
        </w:rPr>
        <w:t>四、优化现代农业产业技术协同创新推广体系</w:t>
      </w:r>
    </w:p>
    <w:p w14:paraId="6BF8226B">
      <w:pPr>
        <w:bidi w:val="0"/>
        <w:rPr>
          <w:rFonts w:hint="eastAsia" w:ascii="仿宋_GB2312" w:hAnsi="仿宋_GB2312" w:eastAsia="仿宋_GB2312" w:cs="仿宋_GB2312"/>
          <w:lang w:val="en-US" w:eastAsia="zh-CN"/>
        </w:rPr>
      </w:pPr>
      <w:r>
        <w:rPr>
          <w:rFonts w:hint="eastAsia" w:ascii="仿宋_GB2312" w:hAnsi="仿宋_GB2312" w:eastAsia="仿宋_GB2312" w:cs="仿宋_GB2312"/>
          <w:b/>
          <w:bCs/>
          <w:lang w:val="en-US" w:eastAsia="zh-CN"/>
        </w:rPr>
        <w:t>提升农业科技协同创新能力。</w:t>
      </w:r>
      <w:r>
        <w:rPr>
          <w:rFonts w:hint="eastAsia" w:ascii="仿宋_GB2312" w:hAnsi="仿宋_GB2312" w:eastAsia="仿宋_GB2312" w:cs="仿宋_GB2312"/>
          <w:lang w:val="en-US" w:eastAsia="zh-CN"/>
        </w:rPr>
        <w:t>深化“院地”科技合作模式，探索“科研院所+政府+企业+新型经营主体”协同机制，加快设立水稻、大豆、智能农机等产学研协同创新基地，推动更多农业科技成果在富锦转化应用。依托万亩水稻科技示范园，进一步加强全市农业科技创新体系建设，聚焦重点作物，吸引科研机构、高校和企业入驻，提升区域农业技术创新能力。依托立兴植保、丰诺植保、高歌种业、福慧食品等科技型企业，分类培育农业科技领军企业，梯度发展领军型、成长型和潜力型企业，建立</w:t>
      </w:r>
      <w:r>
        <w:rPr>
          <w:rFonts w:hint="eastAsia" w:ascii="仿宋_GB2312" w:hAnsi="仿宋_GB2312" w:cs="仿宋_GB2312"/>
          <w:lang w:val="en-US" w:eastAsia="zh-CN"/>
        </w:rPr>
        <w:t>我市</w:t>
      </w:r>
      <w:r>
        <w:rPr>
          <w:rFonts w:hint="eastAsia" w:ascii="仿宋_GB2312" w:hAnsi="仿宋_GB2312" w:eastAsia="仿宋_GB2312" w:cs="仿宋_GB2312"/>
          <w:lang w:val="en-US" w:eastAsia="zh-CN"/>
        </w:rPr>
        <w:t>农业企业培育库，推动创新资源向企业集聚，强化企业创新主体地位。</w:t>
      </w:r>
    </w:p>
    <w:p w14:paraId="30E38C11">
      <w:pPr>
        <w:bidi w:val="0"/>
        <w:rPr>
          <w:rFonts w:hint="eastAsia" w:ascii="仿宋_GB2312" w:hAnsi="仿宋_GB2312" w:eastAsia="仿宋_GB2312" w:cs="仿宋_GB2312"/>
          <w:lang w:val="en-US" w:eastAsia="zh-CN"/>
        </w:rPr>
      </w:pPr>
      <w:r>
        <w:rPr>
          <w:rFonts w:hint="eastAsia" w:ascii="仿宋_GB2312" w:hAnsi="仿宋_GB2312" w:eastAsia="仿宋_GB2312" w:cs="仿宋_GB2312"/>
          <w:b/>
          <w:bCs/>
          <w:lang w:val="en-US" w:eastAsia="zh-CN"/>
        </w:rPr>
        <w:t>加强农业科技推广体系建设。</w:t>
      </w:r>
      <w:r>
        <w:rPr>
          <w:rFonts w:hint="eastAsia" w:ascii="仿宋_GB2312" w:hAnsi="仿宋_GB2312" w:eastAsia="仿宋_GB2312" w:cs="仿宋_GB2312"/>
          <w:lang w:val="en-US" w:eastAsia="zh-CN"/>
        </w:rPr>
        <w:t>实施农技推广服务特聘计划，引进“土专家”“田秀才”“三支一扶”等特聘农技员，提升农技推广队伍的专业能力和服务水平。加强基层农技人员培训，依托优质培训机构，通过课堂教学、异地研学、实践操作等多种形式，分产业、分层次开展知识更新培训，打造一批政治过硬、业务精通、服务优良、作风扎实的基层农技推广队伍。发挥万亩水稻科技示范园引领作用，聚焦水稻、大豆、玉米、狮头鹅等优势特色品种，加快创建国省级现代农业科技试验示范基地，培育农业科技示范主体，推动主推技术集成规模化应用。</w:t>
      </w:r>
    </w:p>
    <w:tbl>
      <w:tblPr>
        <w:tblStyle w:val="20"/>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0B3BC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8522" w:type="dxa"/>
          </w:tcPr>
          <w:p w14:paraId="1D6A486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黑体" w:cs="Times New Roman"/>
                <w:sz w:val="24"/>
              </w:rPr>
            </w:pPr>
            <w:r>
              <w:rPr>
                <w:rFonts w:hint="eastAsia" w:ascii="黑体" w:hAnsi="黑体" w:eastAsia="黑体" w:cs="黑体"/>
                <w:sz w:val="24"/>
                <w:szCs w:val="22"/>
              </w:rPr>
              <w:t>专栏3-2  科技农业</w:t>
            </w:r>
            <w:r>
              <w:rPr>
                <w:rFonts w:hint="eastAsia" w:ascii="黑体" w:hAnsi="黑体" w:eastAsia="黑体" w:cs="黑体"/>
                <w:sz w:val="24"/>
                <w:szCs w:val="22"/>
                <w:lang w:val="en-US" w:eastAsia="zh-CN"/>
              </w:rPr>
              <w:t>发展</w:t>
            </w:r>
            <w:r>
              <w:rPr>
                <w:rFonts w:hint="eastAsia" w:ascii="黑体" w:hAnsi="黑体" w:eastAsia="黑体" w:cs="黑体"/>
                <w:sz w:val="24"/>
                <w:szCs w:val="22"/>
              </w:rPr>
              <w:t>重点工程</w:t>
            </w:r>
          </w:p>
        </w:tc>
      </w:tr>
      <w:tr w14:paraId="23C8B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522" w:type="dxa"/>
          </w:tcPr>
          <w:p w14:paraId="21FE4428">
            <w:pPr>
              <w:pStyle w:val="8"/>
              <w:bidi w:val="0"/>
            </w:pPr>
            <w:r>
              <w:rPr>
                <w:rFonts w:hint="eastAsia" w:ascii="楷体_GB2312" w:hAnsi="楷体_GB2312" w:eastAsia="楷体_GB2312" w:cs="楷体_GB2312"/>
                <w:b/>
                <w:bCs/>
              </w:rPr>
              <w:t>1.现代种业提升</w:t>
            </w:r>
            <w:r>
              <w:rPr>
                <w:rFonts w:hint="eastAsia" w:ascii="楷体_GB2312" w:hAnsi="楷体_GB2312" w:eastAsia="楷体_GB2312" w:cs="楷体_GB2312"/>
                <w:b/>
                <w:bCs/>
                <w:lang w:val="en-US" w:eastAsia="zh-CN"/>
              </w:rPr>
              <w:t>工程</w:t>
            </w:r>
            <w:r>
              <w:rPr>
                <w:rFonts w:hint="eastAsia" w:ascii="楷体_GB2312" w:hAnsi="楷体_GB2312" w:eastAsia="楷体_GB2312" w:cs="楷体_GB2312"/>
                <w:b/>
                <w:bCs/>
              </w:rPr>
              <w:t>。</w:t>
            </w:r>
            <w:r>
              <w:rPr>
                <w:rFonts w:hint="eastAsia"/>
                <w:lang w:val="en-US" w:eastAsia="zh-CN"/>
              </w:rPr>
              <w:t>深入实施种业振兴行</w:t>
            </w:r>
            <w:r>
              <w:rPr>
                <w:rFonts w:hint="eastAsia"/>
              </w:rPr>
              <w:t>动，</w:t>
            </w:r>
            <w:r>
              <w:rPr>
                <w:rFonts w:hint="eastAsia"/>
                <w:lang w:val="en-US" w:eastAsia="zh-CN"/>
              </w:rPr>
              <w:t>全面深化与国省科研院所、知名高校等机构的“院地合作”模式，共建种业创新联合体，推进</w:t>
            </w:r>
            <w:r>
              <w:rPr>
                <w:rFonts w:hint="eastAsia"/>
              </w:rPr>
              <w:t>国家级大豆种子基地</w:t>
            </w:r>
            <w:r>
              <w:rPr>
                <w:rFonts w:hint="eastAsia"/>
                <w:lang w:val="en-US" w:eastAsia="zh-CN"/>
              </w:rPr>
              <w:t>建设</w:t>
            </w:r>
            <w:r>
              <w:rPr>
                <w:rFonts w:hint="eastAsia"/>
              </w:rPr>
              <w:t>。实施种业企业扶持行动，</w:t>
            </w:r>
            <w:r>
              <w:rPr>
                <w:rFonts w:hint="eastAsia"/>
                <w:lang w:val="en-US" w:eastAsia="zh-CN"/>
              </w:rPr>
              <w:t>引进和培育</w:t>
            </w:r>
            <w:r>
              <w:rPr>
                <w:rFonts w:hint="eastAsia"/>
              </w:rPr>
              <w:t>一批育繁推一体化种业企业。</w:t>
            </w:r>
          </w:p>
          <w:p w14:paraId="23145229">
            <w:pPr>
              <w:pStyle w:val="8"/>
              <w:bidi w:val="0"/>
            </w:pPr>
            <w:r>
              <w:rPr>
                <w:rFonts w:hint="eastAsia" w:ascii="楷体_GB2312" w:hAnsi="楷体_GB2312" w:eastAsia="楷体_GB2312" w:cs="楷体_GB2312"/>
                <w:b/>
                <w:bCs/>
              </w:rPr>
              <w:t>2.农机农艺融合工程。</w:t>
            </w:r>
            <w:r>
              <w:rPr>
                <w:rFonts w:hint="eastAsia"/>
              </w:rPr>
              <w:t>完善农机农艺融合机制，成立农机农艺融合协调小组和专家组，推进“五良”</w:t>
            </w:r>
            <w:r>
              <w:rPr>
                <w:rFonts w:hint="eastAsia"/>
                <w:lang w:val="en-US" w:eastAsia="zh-CN"/>
              </w:rPr>
              <w:t>协同</w:t>
            </w:r>
            <w:r>
              <w:rPr>
                <w:rFonts w:hint="eastAsia"/>
              </w:rPr>
              <w:t>集成</w:t>
            </w:r>
            <w:r>
              <w:rPr>
                <w:rFonts w:hint="eastAsia"/>
                <w:lang w:val="en-US" w:eastAsia="zh-CN"/>
              </w:rPr>
              <w:t>与</w:t>
            </w:r>
            <w:r>
              <w:rPr>
                <w:rFonts w:hint="eastAsia"/>
              </w:rPr>
              <w:t>“三主”融合技术模式</w:t>
            </w:r>
            <w:r>
              <w:rPr>
                <w:rFonts w:hint="eastAsia"/>
                <w:lang w:val="en-US" w:eastAsia="zh-CN"/>
              </w:rPr>
              <w:t>应用</w:t>
            </w:r>
            <w:r>
              <w:rPr>
                <w:rFonts w:hint="eastAsia"/>
              </w:rPr>
              <w:t>。定期举办农机农艺</w:t>
            </w:r>
            <w:r>
              <w:rPr>
                <w:rFonts w:hint="eastAsia"/>
                <w:lang w:val="en-US" w:eastAsia="zh-CN"/>
              </w:rPr>
              <w:t>复合型</w:t>
            </w:r>
            <w:r>
              <w:rPr>
                <w:rFonts w:hint="eastAsia"/>
              </w:rPr>
              <w:t>人才培训班，建立综合实践基地，打造一批农机农艺融合示范点（区）。</w:t>
            </w:r>
          </w:p>
          <w:p w14:paraId="75520B9C">
            <w:pPr>
              <w:pStyle w:val="8"/>
              <w:bidi w:val="0"/>
            </w:pPr>
            <w:r>
              <w:rPr>
                <w:rFonts w:hint="eastAsia" w:ascii="楷体_GB2312" w:hAnsi="楷体_GB2312" w:eastAsia="楷体_GB2312" w:cs="楷体_GB2312"/>
                <w:b/>
                <w:bCs/>
              </w:rPr>
              <w:t>3.智慧农业建设工程。</w:t>
            </w:r>
            <w:r>
              <w:t>引导规模经营主体</w:t>
            </w:r>
            <w:r>
              <w:rPr>
                <w:rFonts w:hint="eastAsia"/>
              </w:rPr>
              <w:t>开展农田生产条件和技术装备的数字</w:t>
            </w:r>
            <w:r>
              <w:rPr>
                <w:rFonts w:hint="eastAsia"/>
                <w:lang w:val="en-US" w:eastAsia="zh-CN"/>
              </w:rPr>
              <w:t>化、智能化改造，健全全市“空天地”一体化农业监测体系。建设“三农”数据仓，实现农业数据的集中存储、管理和共享。沿同三高速公路（富锦段）沿线，建设一批高标准数字农田。支持科研机构和种业企业共建智能育种平台，鼓励</w:t>
            </w:r>
            <w:r>
              <w:rPr>
                <w:rFonts w:hint="eastAsia"/>
              </w:rPr>
              <w:t>现有育秧工厂开展数字化</w:t>
            </w:r>
            <w:r>
              <w:rPr>
                <w:rFonts w:hint="eastAsia"/>
                <w:lang w:val="en-US" w:eastAsia="zh-CN"/>
              </w:rPr>
              <w:t>改造</w:t>
            </w:r>
            <w:r>
              <w:rPr>
                <w:rFonts w:hint="eastAsia"/>
              </w:rPr>
              <w:t>。拓展“低空+农业”应用场景，探索</w:t>
            </w:r>
            <w:r>
              <w:rPr>
                <w:rFonts w:hint="eastAsia"/>
                <w:lang w:val="en-US" w:eastAsia="zh-CN"/>
              </w:rPr>
              <w:t>建设</w:t>
            </w:r>
            <w:r>
              <w:rPr>
                <w:rFonts w:hint="eastAsia"/>
              </w:rPr>
              <w:t>无人农场。</w:t>
            </w:r>
          </w:p>
          <w:p w14:paraId="4D87BB8A">
            <w:pPr>
              <w:pStyle w:val="8"/>
              <w:bidi w:val="0"/>
              <w:rPr>
                <w:rFonts w:hint="default" w:ascii="Times New Roman" w:hAnsi="Times New Roman" w:eastAsia="楷体" w:cs="Times New Roman"/>
                <w:lang w:val="en-US" w:eastAsia="zh-CN"/>
              </w:rPr>
            </w:pPr>
            <w:r>
              <w:rPr>
                <w:rFonts w:hint="eastAsia" w:ascii="楷体_GB2312" w:hAnsi="楷体_GB2312" w:eastAsia="楷体_GB2312" w:cs="楷体_GB2312"/>
                <w:b/>
                <w:bCs/>
              </w:rPr>
              <w:t>4.农业技术协同创新工程。</w:t>
            </w:r>
            <w:r>
              <w:rPr>
                <w:rFonts w:hint="eastAsia"/>
              </w:rPr>
              <w:t>深化“院地”科技合作，加快设立水稻、大豆、智能农机等一批产学研协同创新基地。</w:t>
            </w:r>
            <w:r>
              <w:rPr>
                <w:rFonts w:hint="eastAsia"/>
                <w:lang w:val="en-US" w:eastAsia="zh-CN"/>
              </w:rPr>
              <w:t>围绕</w:t>
            </w:r>
            <w:r>
              <w:rPr>
                <w:rFonts w:hint="eastAsia"/>
              </w:rPr>
              <w:t>水稻、大豆、玉米、狮头鹅等优势特色品种，加快</w:t>
            </w:r>
            <w:r>
              <w:rPr>
                <w:rFonts w:hint="eastAsia"/>
                <w:lang w:val="en-US" w:eastAsia="zh-CN"/>
              </w:rPr>
              <w:t>创建国省级</w:t>
            </w:r>
            <w:r>
              <w:rPr>
                <w:rFonts w:hint="eastAsia"/>
              </w:rPr>
              <w:t>现代农业科技试验示范基地。</w:t>
            </w:r>
            <w:r>
              <w:rPr>
                <w:rFonts w:hint="eastAsia"/>
                <w:lang w:val="en-US" w:eastAsia="zh-CN"/>
              </w:rPr>
              <w:t>依托富锦万亩水稻科技示范园，高标准完成“国家农业气象试验站”申报与建设工作，并以此为基础，加强与国家级、省级业务科研单位的协作，将其打造成为风云卫星农业应用技术验证基地、特色作物（水稻）气象服务关键技术研发中心和高素质农业气象人才培养基地，提升富锦在区域乃至全国农业气象业务体系中的影响力与贡献度。</w:t>
            </w:r>
          </w:p>
        </w:tc>
      </w:tr>
    </w:tbl>
    <w:p w14:paraId="61F133BC">
      <w:pPr>
        <w:pStyle w:val="3"/>
        <w:keepNext w:val="0"/>
        <w:keepLines w:val="0"/>
        <w:widowControl/>
        <w:spacing w:line="240" w:lineRule="auto"/>
        <w:ind w:left="0" w:leftChars="0" w:firstLine="0" w:firstLineChars="0"/>
        <w:jc w:val="center"/>
        <w:rPr>
          <w:rFonts w:hint="eastAsia" w:ascii="Times New Roman" w:hAnsi="Times New Roman" w:eastAsia="楷体_GB2312" w:cs="楷体_GB2312"/>
          <w:lang w:val="en-US" w:eastAsia="zh-CN"/>
        </w:rPr>
      </w:pPr>
      <w:bookmarkStart w:id="16" w:name="_Toc12151"/>
      <w:r>
        <w:rPr>
          <w:rFonts w:hint="eastAsia" w:ascii="Times New Roman" w:hAnsi="Times New Roman" w:eastAsia="楷体_GB2312" w:cs="楷体_GB2312"/>
          <w:lang w:val="en-US" w:eastAsia="zh-CN"/>
        </w:rPr>
        <w:t>第三节  发展绿色农业，构建“生态循环”示范体系</w:t>
      </w:r>
      <w:bookmarkEnd w:id="16"/>
    </w:p>
    <w:p w14:paraId="75799BFC">
      <w:pPr>
        <w:bidi w:val="0"/>
        <w:rPr>
          <w:rFonts w:hint="eastAsia" w:ascii="仿宋_GB2312" w:hAnsi="仿宋_GB2312" w:eastAsia="仿宋_GB2312" w:cs="仿宋_GB2312"/>
          <w:b/>
          <w:bCs/>
          <w:sz w:val="32"/>
          <w:szCs w:val="32"/>
        </w:rPr>
      </w:pPr>
      <w:r>
        <w:rPr>
          <w:rFonts w:hint="eastAsia" w:ascii="Times New Roman" w:hAnsi="Times New Roman" w:cs="Times New Roman"/>
          <w:color w:val="000000"/>
          <w:sz w:val="32"/>
          <w:szCs w:val="32"/>
          <w:u w:val="none"/>
          <w:lang w:val="en-US" w:eastAsia="zh-CN"/>
        </w:rPr>
        <w:t>推进农业发展全面绿色转型，</w:t>
      </w:r>
      <w:r>
        <w:rPr>
          <w:rFonts w:hint="default" w:ascii="Times New Roman" w:hAnsi="Times New Roman" w:eastAsia="仿宋_GB2312" w:cs="Times New Roman"/>
          <w:color w:val="000000"/>
          <w:sz w:val="32"/>
          <w:szCs w:val="32"/>
          <w:u w:val="none"/>
          <w:lang w:val="en-US" w:eastAsia="zh-CN"/>
        </w:rPr>
        <w:t>实施绿色有机提质扩面行动，</w:t>
      </w:r>
      <w:r>
        <w:rPr>
          <w:rFonts w:hint="default" w:ascii="Times New Roman" w:hAnsi="Times New Roman" w:eastAsia="仿宋_GB2312" w:cs="Times New Roman"/>
          <w:color w:val="000000"/>
          <w:sz w:val="32"/>
          <w:szCs w:val="32"/>
          <w:u w:val="none"/>
          <w:lang w:eastAsia="zh-CN"/>
        </w:rPr>
        <w:t>打造</w:t>
      </w:r>
      <w:r>
        <w:rPr>
          <w:rFonts w:hint="default" w:ascii="Times New Roman" w:hAnsi="Times New Roman" w:eastAsia="仿宋_GB2312" w:cs="Times New Roman"/>
          <w:b w:val="0"/>
          <w:bCs w:val="0"/>
          <w:sz w:val="32"/>
          <w:szCs w:val="32"/>
          <w:highlight w:val="none"/>
          <w:lang w:val="en-US" w:eastAsia="zh-CN"/>
        </w:rPr>
        <w:t>非转基因、寒地黑土、绿色有机食品供给基地</w:t>
      </w:r>
      <w:r>
        <w:rPr>
          <w:rFonts w:hint="default" w:ascii="Times New Roman" w:hAnsi="Times New Roman" w:eastAsia="仿宋_GB2312" w:cs="Times New Roman"/>
          <w:b w:val="0"/>
          <w:bCs w:val="0"/>
          <w:sz w:val="32"/>
          <w:szCs w:val="32"/>
          <w:highlight w:val="none"/>
          <w:lang w:eastAsia="zh-CN"/>
        </w:rPr>
        <w:t>，</w:t>
      </w:r>
      <w:r>
        <w:rPr>
          <w:rFonts w:hint="eastAsia" w:ascii="Times New Roman" w:hAnsi="Times New Roman" w:cs="Times New Roman"/>
          <w:b w:val="0"/>
          <w:bCs w:val="0"/>
          <w:sz w:val="32"/>
          <w:szCs w:val="32"/>
          <w:highlight w:val="none"/>
          <w:lang w:val="en-US" w:eastAsia="zh-CN"/>
        </w:rPr>
        <w:t>促进废弃物资源化利用，</w:t>
      </w:r>
      <w:r>
        <w:rPr>
          <w:rFonts w:hint="default" w:ascii="Times New Roman" w:hAnsi="Times New Roman" w:eastAsia="仿宋_GB2312" w:cs="Times New Roman"/>
          <w:b w:val="0"/>
          <w:bCs w:val="0"/>
          <w:sz w:val="32"/>
          <w:szCs w:val="32"/>
          <w:highlight w:val="none"/>
          <w:lang w:eastAsia="zh-CN"/>
        </w:rPr>
        <w:t>推动定制农业</w:t>
      </w:r>
      <w:r>
        <w:rPr>
          <w:rFonts w:hint="eastAsia" w:ascii="Times New Roman" w:hAnsi="Times New Roman" w:cs="Times New Roman"/>
          <w:b w:val="0"/>
          <w:bCs w:val="0"/>
          <w:sz w:val="32"/>
          <w:szCs w:val="32"/>
          <w:highlight w:val="none"/>
          <w:lang w:val="en-US" w:eastAsia="zh-CN"/>
        </w:rPr>
        <w:t>和绿色低碳循环农业</w:t>
      </w:r>
      <w:r>
        <w:rPr>
          <w:rFonts w:hint="default" w:ascii="Times New Roman" w:hAnsi="Times New Roman" w:eastAsia="仿宋_GB2312" w:cs="Times New Roman"/>
          <w:b w:val="0"/>
          <w:bCs w:val="0"/>
          <w:sz w:val="32"/>
          <w:szCs w:val="32"/>
          <w:highlight w:val="none"/>
          <w:lang w:eastAsia="zh-CN"/>
        </w:rPr>
        <w:t>发展。</w:t>
      </w:r>
    </w:p>
    <w:p w14:paraId="543AB11D">
      <w:pPr>
        <w:bidi w:val="0"/>
        <w:rPr>
          <w:rFonts w:hint="eastAsia" w:ascii="仿宋_GB2312" w:hAnsi="仿宋_GB2312" w:eastAsia="仿宋_GB2312" w:cs="仿宋_GB2312"/>
          <w:b/>
          <w:bCs/>
        </w:rPr>
      </w:pPr>
      <w:r>
        <w:rPr>
          <w:rFonts w:hint="eastAsia" w:ascii="仿宋_GB2312" w:hAnsi="仿宋_GB2312" w:eastAsia="仿宋_GB2312" w:cs="仿宋_GB2312"/>
          <w:b/>
          <w:bCs/>
        </w:rPr>
        <w:t>一、大力推行绿色生产方式</w:t>
      </w:r>
    </w:p>
    <w:p w14:paraId="62C0FC14">
      <w:pPr>
        <w:bidi w:val="0"/>
        <w:rPr>
          <w:rFonts w:hint="eastAsia" w:ascii="仿宋_GB2312" w:hAnsi="仿宋_GB2312" w:cs="仿宋_GB2312"/>
          <w:lang w:val="en-US" w:eastAsia="zh-CN"/>
        </w:rPr>
      </w:pPr>
      <w:r>
        <w:rPr>
          <w:rFonts w:hint="eastAsia" w:ascii="仿宋_GB2312" w:hAnsi="仿宋_GB2312" w:eastAsia="仿宋_GB2312" w:cs="仿宋_GB2312"/>
          <w:b/>
          <w:bCs/>
          <w:lang w:val="en-US" w:eastAsia="zh-CN"/>
        </w:rPr>
        <w:t>推进农业投入品控量化。</w:t>
      </w:r>
      <w:r>
        <w:rPr>
          <w:rFonts w:hint="eastAsia" w:ascii="仿宋_GB2312" w:hAnsi="仿宋_GB2312" w:eastAsia="仿宋_GB2312" w:cs="仿宋_GB2312"/>
          <w:lang w:val="en-US" w:eastAsia="zh-CN"/>
        </w:rPr>
        <w:t>实施科学施肥增效行动，推进化肥控量增效，持续开展测土配方施肥，以规模化新型经营主体为重点，建设一批科学施肥示范田，推广侧深施肥、种肥同播、滴灌水肥一体化、无人机追肥等高效施肥模式和装备。实施科学用药增效行动，推进农药控施增效，示范推广高效植保机械，推进绿色防控与统防统治融合。实施高效节水灌溉工程，围绕锦西、幸福、红旗、红卫等灌区，大力推广滴灌浅埋水肥一体化等高效节水技术，</w:t>
      </w:r>
      <w:r>
        <w:rPr>
          <w:rFonts w:hint="eastAsia" w:ascii="仿宋_GB2312" w:hAnsi="仿宋_GB2312" w:cs="仿宋_GB2312"/>
          <w:lang w:val="en-US" w:eastAsia="zh-CN"/>
        </w:rPr>
        <w:t>全面提升</w:t>
      </w:r>
      <w:r>
        <w:rPr>
          <w:rFonts w:hint="eastAsia" w:ascii="仿宋_GB2312" w:hAnsi="仿宋_GB2312" w:eastAsia="仿宋_GB2312" w:cs="仿宋_GB2312"/>
          <w:lang w:val="en-US" w:eastAsia="zh-CN"/>
        </w:rPr>
        <w:t>农业用水</w:t>
      </w:r>
      <w:r>
        <w:rPr>
          <w:rFonts w:hint="eastAsia" w:ascii="仿宋_GB2312" w:hAnsi="仿宋_GB2312" w:cs="仿宋_GB2312"/>
          <w:lang w:val="en-US" w:eastAsia="zh-CN"/>
        </w:rPr>
        <w:t>效率与效益。</w:t>
      </w:r>
    </w:p>
    <w:p w14:paraId="051063BF">
      <w:pPr>
        <w:bidi w:val="0"/>
        <w:rPr>
          <w:rFonts w:hint="eastAsia" w:ascii="仿宋_GB2312" w:hAnsi="仿宋_GB2312" w:eastAsia="仿宋_GB2312" w:cs="仿宋_GB2312"/>
          <w:b/>
          <w:bCs/>
        </w:rPr>
      </w:pPr>
      <w:r>
        <w:rPr>
          <w:rFonts w:hint="eastAsia" w:ascii="仿宋_GB2312" w:hAnsi="仿宋_GB2312" w:eastAsia="仿宋_GB2312" w:cs="仿宋_GB2312"/>
          <w:b/>
          <w:bCs/>
        </w:rPr>
        <w:t>二、加快发展绿色有机农产品</w:t>
      </w:r>
    </w:p>
    <w:p w14:paraId="2416C662">
      <w:pPr>
        <w:bidi w:val="0"/>
        <w:rPr>
          <w:rFonts w:hint="eastAsia" w:ascii="仿宋_GB2312" w:hAnsi="仿宋_GB2312" w:eastAsia="仿宋_GB2312" w:cs="仿宋_GB2312"/>
          <w:lang w:val="en-US" w:eastAsia="zh-CN"/>
        </w:rPr>
      </w:pPr>
      <w:r>
        <w:rPr>
          <w:rFonts w:hint="eastAsia" w:ascii="仿宋_GB2312" w:hAnsi="仿宋_GB2312" w:eastAsia="仿宋_GB2312" w:cs="仿宋_GB2312"/>
          <w:b/>
          <w:bCs/>
          <w:lang w:val="en-US" w:eastAsia="zh-CN"/>
        </w:rPr>
        <w:t>稳步推进绿色有机基地建设。</w:t>
      </w:r>
      <w:r>
        <w:rPr>
          <w:rFonts w:hint="eastAsia" w:ascii="仿宋_GB2312" w:hAnsi="仿宋_GB2312" w:eastAsia="仿宋_GB2312" w:cs="仿宋_GB2312"/>
          <w:lang w:val="en-US" w:eastAsia="zh-CN"/>
        </w:rPr>
        <w:t>实施绿色有机提质扩面行动，加快建设一批技术操作规范、投入品使用安全、生产过程可控、农企高效对接、优质优价销售的绿色食品和有机农产品高效示范基地。引导畜禽养殖场、水产养殖企业、屠宰企业开展标准化示范场（区）创建，提升标准化养殖水平。</w:t>
      </w:r>
    </w:p>
    <w:p w14:paraId="499E0B66">
      <w:pPr>
        <w:bidi w:val="0"/>
        <w:rPr>
          <w:rFonts w:hint="eastAsia" w:ascii="仿宋_GB2312" w:hAnsi="仿宋_GB2312" w:eastAsia="仿宋_GB2312" w:cs="仿宋_GB2312"/>
          <w:lang w:val="en-US" w:eastAsia="zh-CN"/>
        </w:rPr>
      </w:pPr>
      <w:r>
        <w:rPr>
          <w:rFonts w:hint="eastAsia" w:ascii="仿宋_GB2312" w:hAnsi="仿宋_GB2312" w:cs="仿宋_GB2312"/>
          <w:b/>
          <w:bCs/>
          <w:lang w:val="en-US" w:eastAsia="zh-CN"/>
        </w:rPr>
        <w:t>推动定制农业高质量发展。</w:t>
      </w:r>
      <w:r>
        <w:rPr>
          <w:rFonts w:hint="eastAsia" w:ascii="仿宋_GB2312" w:hAnsi="仿宋_GB2312" w:eastAsia="仿宋_GB2312" w:cs="仿宋_GB2312"/>
          <w:lang w:val="en-US" w:eastAsia="zh-CN"/>
        </w:rPr>
        <w:t>落实全省定制农业三年行动计划，发挥大锦农定制农业示范引领作用，支持农业产业化龙头企业、农业专业合作社等面向大型商超、连锁餐饮、重点用户等消费群体，打造一批可视化、可追溯的定制农业标准化示范基地，力争在全省率先构建从田间到餐桌的个性化农产品供应体系。</w:t>
      </w:r>
    </w:p>
    <w:p w14:paraId="4A4D8146">
      <w:pPr>
        <w:bidi w:val="0"/>
        <w:rPr>
          <w:rFonts w:hint="eastAsia" w:ascii="仿宋_GB2312" w:hAnsi="仿宋_GB2312" w:eastAsia="仿宋_GB2312" w:cs="仿宋_GB2312"/>
          <w:b/>
          <w:bCs/>
        </w:rPr>
      </w:pPr>
      <w:r>
        <w:rPr>
          <w:rFonts w:hint="eastAsia" w:ascii="仿宋_GB2312" w:hAnsi="仿宋_GB2312" w:eastAsia="仿宋_GB2312" w:cs="仿宋_GB2312"/>
          <w:b/>
          <w:bCs/>
        </w:rPr>
        <w:t>三、促进废弃物资源化利用</w:t>
      </w:r>
    </w:p>
    <w:p w14:paraId="148D4522">
      <w:pPr>
        <w:bidi w:val="0"/>
        <w:rPr>
          <w:rFonts w:hint="eastAsia" w:ascii="仿宋_GB2312" w:hAnsi="仿宋_GB2312" w:eastAsia="仿宋_GB2312" w:cs="仿宋_GB2312"/>
          <w:lang w:val="en-US" w:eastAsia="zh-CN"/>
        </w:rPr>
      </w:pPr>
      <w:r>
        <w:rPr>
          <w:rFonts w:hint="eastAsia" w:ascii="仿宋_GB2312" w:hAnsi="仿宋_GB2312" w:eastAsia="仿宋_GB2312" w:cs="仿宋_GB2312"/>
          <w:b/>
          <w:bCs/>
          <w:lang w:val="en-US" w:eastAsia="zh-CN"/>
        </w:rPr>
        <w:t>加强畜禽粪污还田利用。</w:t>
      </w:r>
      <w:r>
        <w:rPr>
          <w:rFonts w:hint="eastAsia" w:ascii="仿宋_GB2312" w:hAnsi="仿宋_GB2312" w:eastAsia="仿宋_GB2312" w:cs="仿宋_GB2312"/>
          <w:lang w:val="en-US" w:eastAsia="zh-CN"/>
        </w:rPr>
        <w:t>大力推进标准化规模养殖，推广节水节料饲喂、节水清粪等</w:t>
      </w:r>
      <w:r>
        <w:rPr>
          <w:rFonts w:hint="eastAsia" w:ascii="仿宋_GB2312" w:hAnsi="仿宋_GB2312" w:cs="仿宋_GB2312"/>
          <w:lang w:val="en-US" w:eastAsia="zh-CN"/>
        </w:rPr>
        <w:t>适</w:t>
      </w:r>
      <w:r>
        <w:rPr>
          <w:rFonts w:hint="eastAsia" w:ascii="仿宋_GB2312" w:hAnsi="仿宋_GB2312" w:eastAsia="仿宋_GB2312" w:cs="仿宋_GB2312"/>
          <w:lang w:val="en-US" w:eastAsia="zh-CN"/>
        </w:rPr>
        <w:t>用技术装备，提高粪肥利用效率。新（改、扩）建畜禽养殖场，严格落实“三同时”制度，同步建设粪污处理设施。开展密集区的划定工作，做好散养密集区内污染防治配套设施建设。集成推广畜禽粪肥还田利用技术模式。推广固体粪便堆沤发酵、液体污水厌氧发酵、固液混合发酵、畜禽粪污和秸秆混合发酵等粪污无害化处理模式，以及水肥一体化、粪肥机械化抛撒还田、粪水安全还田等综合利用模式。统筹规划种养发展空间，推进种养结合、绿色循环发展，促进畜牧业生产布局与土地、水资源、环境、经济社会发展相互协调。</w:t>
      </w:r>
    </w:p>
    <w:p w14:paraId="34BFA47D">
      <w:pPr>
        <w:bidi w:val="0"/>
        <w:rPr>
          <w:rFonts w:hint="eastAsia" w:ascii="仿宋_GB2312" w:hAnsi="仿宋_GB2312" w:eastAsia="仿宋_GB2312" w:cs="仿宋_GB2312"/>
          <w:lang w:val="en-US" w:eastAsia="zh-CN"/>
        </w:rPr>
      </w:pPr>
      <w:r>
        <w:rPr>
          <w:rFonts w:hint="eastAsia" w:ascii="仿宋_GB2312" w:hAnsi="仿宋_GB2312" w:eastAsia="仿宋_GB2312" w:cs="仿宋_GB2312"/>
          <w:b/>
          <w:bCs/>
          <w:lang w:val="en-US" w:eastAsia="zh-CN"/>
        </w:rPr>
        <w:t>加强秸秆综合利用。</w:t>
      </w:r>
      <w:r>
        <w:rPr>
          <w:rFonts w:hint="eastAsia" w:ascii="仿宋_GB2312" w:hAnsi="仿宋_GB2312" w:eastAsia="仿宋_GB2312" w:cs="仿宋_GB2312"/>
          <w:lang w:val="en-US" w:eastAsia="zh-CN"/>
        </w:rPr>
        <w:t>推进秸秆还田利用，因地制宜推广翻埋、旋耕等还田技术模式，建设一批秸秆科学还田样板。推进秸秆离田利用，完善扶持政策，培育一批秸秆收储和利用主体，推动秸秆收集、储运、加工、利用全产业链开发，拓宽成型燃料、食用菌基质、人造板材、生物质肥等多元化利用路径。到2030年，全市秸秆综合利用率达到90%以上。</w:t>
      </w:r>
    </w:p>
    <w:p w14:paraId="2091EA36">
      <w:pPr>
        <w:bidi w:val="0"/>
        <w:rPr>
          <w:rFonts w:hint="eastAsia" w:ascii="仿宋_GB2312" w:hAnsi="仿宋_GB2312" w:eastAsia="仿宋_GB2312" w:cs="仿宋_GB2312"/>
          <w:lang w:val="en-US" w:eastAsia="zh-CN"/>
        </w:rPr>
      </w:pPr>
      <w:r>
        <w:rPr>
          <w:rFonts w:hint="eastAsia" w:ascii="仿宋_GB2312" w:hAnsi="仿宋_GB2312" w:eastAsia="仿宋_GB2312" w:cs="仿宋_GB2312"/>
          <w:b/>
          <w:bCs/>
          <w:lang w:val="en-US" w:eastAsia="zh-CN"/>
        </w:rPr>
        <w:t>推进农药包装、废旧农膜回收处理。</w:t>
      </w:r>
      <w:r>
        <w:rPr>
          <w:rFonts w:hint="eastAsia" w:ascii="仿宋_GB2312" w:hAnsi="仿宋_GB2312" w:eastAsia="仿宋_GB2312" w:cs="仿宋_GB2312"/>
          <w:lang w:val="en-US" w:eastAsia="zh-CN"/>
        </w:rPr>
        <w:t>持续开展田间污染源监测与管控，推广“控源头、抓回收、促利用”的全链条治理模式，加强全市废弃物回收站点规范化建设与管理，构建农药包装、废旧农膜“村收集—镇转运—县处理”回收处理体系，促进废弃物减量化、资源化和无害化处理。</w:t>
      </w:r>
    </w:p>
    <w:p w14:paraId="1C308F5A">
      <w:pPr>
        <w:bidi w:val="0"/>
        <w:rPr>
          <w:rFonts w:hint="eastAsia" w:ascii="仿宋_GB2312" w:hAnsi="仿宋_GB2312" w:eastAsia="仿宋_GB2312" w:cs="仿宋_GB2312"/>
          <w:b/>
          <w:bCs/>
        </w:rPr>
      </w:pPr>
      <w:r>
        <w:rPr>
          <w:rFonts w:hint="eastAsia" w:ascii="仿宋_GB2312" w:hAnsi="仿宋_GB2312" w:eastAsia="仿宋_GB2312" w:cs="仿宋_GB2312"/>
          <w:b/>
          <w:bCs/>
        </w:rPr>
        <w:t>四、推进绿色低碳循环农业</w:t>
      </w:r>
    </w:p>
    <w:p w14:paraId="7346864D">
      <w:pPr>
        <w:bidi w:val="0"/>
        <w:rPr>
          <w:rFonts w:hint="eastAsia" w:ascii="仿宋_GB2312" w:hAnsi="仿宋_GB2312" w:eastAsia="仿宋_GB2312" w:cs="仿宋_GB2312"/>
          <w:lang w:val="en-US" w:eastAsia="zh-CN"/>
        </w:rPr>
      </w:pPr>
      <w:r>
        <w:rPr>
          <w:rFonts w:hint="eastAsia" w:ascii="仿宋_GB2312" w:hAnsi="仿宋_GB2312" w:eastAsia="仿宋_GB2312" w:cs="仿宋_GB2312"/>
          <w:b/>
          <w:bCs/>
          <w:lang w:val="en-US" w:eastAsia="zh-CN"/>
        </w:rPr>
        <w:t>推进绿色种养循环。</w:t>
      </w:r>
      <w:r>
        <w:rPr>
          <w:rFonts w:hint="eastAsia" w:ascii="仿宋_GB2312" w:hAnsi="仿宋_GB2312" w:eastAsia="仿宋_GB2312" w:cs="仿宋_GB2312"/>
          <w:lang w:val="en-US" w:eastAsia="zh-CN"/>
        </w:rPr>
        <w:t>以规模化畜禽养殖加工企业为重点，推广大锦农“种养+”生态循环农业全产业链模式，建设一批种养结合型生态农场，促进农牧循环，实现废弃物就地转化。积极争创国家绿色种养循环农业试点，培育一批提供粪肥还田社会化服务主体，探索粪肥还田组织运行模式，形成富锦绿色种养循环农业的技术路径、组织模式和长效机制。</w:t>
      </w:r>
    </w:p>
    <w:p w14:paraId="0C7BD3BC">
      <w:pPr>
        <w:bidi w:val="0"/>
        <w:rPr>
          <w:rFonts w:hint="eastAsia" w:ascii="仿宋_GB2312" w:hAnsi="仿宋_GB2312" w:eastAsia="仿宋_GB2312" w:cs="仿宋_GB2312"/>
          <w:lang w:val="en-US" w:eastAsia="zh-CN"/>
        </w:rPr>
      </w:pPr>
      <w:r>
        <w:rPr>
          <w:rFonts w:hint="eastAsia" w:ascii="仿宋_GB2312" w:hAnsi="仿宋_GB2312" w:eastAsia="仿宋_GB2312" w:cs="仿宋_GB2312"/>
          <w:b/>
          <w:bCs/>
          <w:lang w:val="en-US" w:eastAsia="zh-CN"/>
        </w:rPr>
        <w:t>推广绿色低碳模式。</w:t>
      </w:r>
      <w:r>
        <w:rPr>
          <w:rFonts w:hint="eastAsia" w:ascii="仿宋_GB2312" w:hAnsi="仿宋_GB2312" w:eastAsia="仿宋_GB2312" w:cs="仿宋_GB2312"/>
          <w:lang w:val="en-US" w:eastAsia="zh-CN"/>
        </w:rPr>
        <w:t>探索“光伏+”农业种植</w:t>
      </w:r>
      <w:r>
        <w:rPr>
          <w:rFonts w:hint="eastAsia" w:ascii="仿宋_GB2312" w:hAnsi="仿宋_GB2312" w:cs="仿宋_GB2312"/>
          <w:lang w:val="en-US" w:eastAsia="zh-CN"/>
        </w:rPr>
        <w:t>、</w:t>
      </w:r>
      <w:r>
        <w:rPr>
          <w:rFonts w:hint="eastAsia" w:ascii="仿宋_GB2312" w:hAnsi="仿宋_GB2312" w:eastAsia="仿宋_GB2312" w:cs="仿宋_GB2312"/>
          <w:lang w:val="en-US" w:eastAsia="zh-CN"/>
        </w:rPr>
        <w:t>水产养殖应用场景，建设一批农光互补示范基地，拓展新能源与农业融合空间。发挥</w:t>
      </w:r>
      <w:r>
        <w:rPr>
          <w:rFonts w:hint="eastAsia" w:ascii="仿宋_GB2312" w:hAnsi="仿宋_GB2312" w:cs="仿宋_GB2312"/>
          <w:lang w:val="en-US" w:eastAsia="zh-CN"/>
        </w:rPr>
        <w:t>我</w:t>
      </w:r>
      <w:r>
        <w:rPr>
          <w:rFonts w:hint="eastAsia" w:ascii="仿宋_GB2312" w:hAnsi="仿宋_GB2312" w:eastAsia="仿宋_GB2312" w:cs="仿宋_GB2312"/>
          <w:lang w:val="en-US" w:eastAsia="zh-CN"/>
        </w:rPr>
        <w:t>市作为GEF7项目全省唯一示范区优势，依托万亩水稻公园、上街基镇诚信村、砚山镇连生村等生态低碳农业技术示范基础，强化与北京大学、黑龙江省黑土保护利用研究院等院校合作，聚焦固碳减排、地力提升、生态环境监测、基地示范和品牌创建等领域，构建具有富锦特色和国际影响的生态低碳农业绿色发展体系。</w:t>
      </w:r>
    </w:p>
    <w:tbl>
      <w:tblPr>
        <w:tblStyle w:val="20"/>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1F1D5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vAlign w:val="center"/>
          </w:tcPr>
          <w:p w14:paraId="15ED5F7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黑体" w:cs="Times New Roman"/>
                <w:sz w:val="24"/>
              </w:rPr>
            </w:pPr>
            <w:r>
              <w:rPr>
                <w:rFonts w:hint="eastAsia" w:ascii="黑体" w:hAnsi="黑体" w:eastAsia="黑体" w:cs="黑体"/>
                <w:sz w:val="24"/>
                <w:szCs w:val="22"/>
              </w:rPr>
              <w:t>专栏3-3  绿色农业</w:t>
            </w:r>
            <w:r>
              <w:rPr>
                <w:rFonts w:hint="eastAsia" w:ascii="黑体" w:hAnsi="黑体" w:eastAsia="黑体" w:cs="黑体"/>
                <w:sz w:val="24"/>
                <w:szCs w:val="22"/>
                <w:lang w:val="en-US" w:eastAsia="zh-CN"/>
              </w:rPr>
              <w:t>建设</w:t>
            </w:r>
            <w:r>
              <w:rPr>
                <w:rFonts w:hint="eastAsia" w:ascii="黑体" w:hAnsi="黑体" w:eastAsia="黑体" w:cs="黑体"/>
                <w:sz w:val="24"/>
                <w:szCs w:val="22"/>
              </w:rPr>
              <w:t>重点工程</w:t>
            </w:r>
          </w:p>
        </w:tc>
      </w:tr>
      <w:tr w14:paraId="455E0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76AB0587">
            <w:pPr>
              <w:pStyle w:val="8"/>
              <w:bidi w:val="0"/>
            </w:pPr>
            <w:r>
              <w:rPr>
                <w:rFonts w:hint="eastAsia" w:ascii="楷体_GB2312" w:hAnsi="楷体_GB2312" w:eastAsia="楷体_GB2312" w:cs="楷体_GB2312"/>
                <w:b/>
                <w:bCs/>
              </w:rPr>
              <w:t>1.农业</w:t>
            </w:r>
            <w:r>
              <w:rPr>
                <w:rFonts w:hint="eastAsia" w:ascii="楷体_GB2312" w:hAnsi="楷体_GB2312" w:cs="楷体_GB2312"/>
                <w:b/>
                <w:bCs/>
                <w:lang w:val="en-US" w:eastAsia="zh-CN"/>
              </w:rPr>
              <w:t>投入品控量</w:t>
            </w:r>
            <w:r>
              <w:rPr>
                <w:rFonts w:hint="eastAsia" w:ascii="楷体_GB2312" w:hAnsi="楷体_GB2312" w:eastAsia="楷体_GB2312" w:cs="楷体_GB2312"/>
                <w:b/>
                <w:bCs/>
              </w:rPr>
              <w:t>增效工程。</w:t>
            </w:r>
            <w:r>
              <w:rPr>
                <w:rFonts w:hint="eastAsia" w:ascii="楷体_GB2312" w:hAnsi="楷体_GB2312" w:cs="楷体_GB2312"/>
                <w:b w:val="0"/>
                <w:bCs w:val="0"/>
                <w:lang w:val="en-US" w:eastAsia="zh-CN"/>
              </w:rPr>
              <w:t>深入</w:t>
            </w:r>
            <w:r>
              <w:t>实施科学施肥</w:t>
            </w:r>
            <w:r>
              <w:rPr>
                <w:rFonts w:hint="eastAsia"/>
                <w:lang w:val="en-US" w:eastAsia="zh-CN"/>
              </w:rPr>
              <w:t>和科学用药增</w:t>
            </w:r>
            <w:r>
              <w:t>效行动，建设一批</w:t>
            </w:r>
            <w:r>
              <w:rPr>
                <w:rFonts w:hint="eastAsia"/>
              </w:rPr>
              <w:t>科学施肥示范田</w:t>
            </w:r>
            <w:r>
              <w:t>。实施</w:t>
            </w:r>
            <w:r>
              <w:rPr>
                <w:rFonts w:hint="eastAsia"/>
              </w:rPr>
              <w:t>高效节水灌溉工程，</w:t>
            </w:r>
            <w:r>
              <w:rPr>
                <w:rFonts w:hint="eastAsia"/>
                <w:lang w:val="en-US" w:eastAsia="zh-CN"/>
              </w:rPr>
              <w:t>围绕</w:t>
            </w:r>
            <w:r>
              <w:rPr>
                <w:rFonts w:hint="eastAsia"/>
              </w:rPr>
              <w:t>锦西、幸福、红旗、红卫等灌区</w:t>
            </w:r>
            <w:r>
              <w:rPr>
                <w:rFonts w:hint="eastAsia"/>
                <w:lang w:eastAsia="zh-CN"/>
              </w:rPr>
              <w:t>，</w:t>
            </w:r>
            <w:r>
              <w:rPr>
                <w:rFonts w:hint="eastAsia"/>
              </w:rPr>
              <w:t>推广浅埋</w:t>
            </w:r>
            <w:r>
              <w:rPr>
                <w:rFonts w:hint="eastAsia"/>
                <w:lang w:val="en-US" w:eastAsia="zh-CN"/>
              </w:rPr>
              <w:t>滴灌</w:t>
            </w:r>
            <w:r>
              <w:rPr>
                <w:rFonts w:hint="eastAsia"/>
              </w:rPr>
              <w:t>水肥一体化等高效节水技术。</w:t>
            </w:r>
          </w:p>
          <w:p w14:paraId="68088BB1">
            <w:pPr>
              <w:pStyle w:val="8"/>
              <w:bidi w:val="0"/>
            </w:pPr>
            <w:r>
              <w:rPr>
                <w:rFonts w:hint="eastAsia" w:ascii="楷体_GB2312" w:hAnsi="楷体_GB2312" w:eastAsia="楷体_GB2312" w:cs="楷体_GB2312"/>
                <w:b/>
                <w:bCs/>
              </w:rPr>
              <w:t>2.绿色农业示范基地建设工程。</w:t>
            </w:r>
            <w:r>
              <w:rPr>
                <w:rFonts w:hint="eastAsia"/>
              </w:rPr>
              <w:t>实施绿色有机提质扩面行动，建设一批绿色食品</w:t>
            </w:r>
            <w:r>
              <w:rPr>
                <w:rFonts w:hint="eastAsia"/>
                <w:lang w:val="en-US" w:eastAsia="zh-CN"/>
              </w:rPr>
              <w:t>和</w:t>
            </w:r>
            <w:r>
              <w:rPr>
                <w:rFonts w:hint="eastAsia"/>
              </w:rPr>
              <w:t>有机农产品高效示范基地。引导畜禽养殖场、水产养殖企业、屠宰企业</w:t>
            </w:r>
            <w:r>
              <w:rPr>
                <w:rFonts w:hint="eastAsia"/>
                <w:lang w:val="en-US" w:eastAsia="zh-CN"/>
              </w:rPr>
              <w:t>开展</w:t>
            </w:r>
            <w:r>
              <w:rPr>
                <w:rFonts w:hint="eastAsia"/>
              </w:rPr>
              <w:t>标准化示范场（区）</w:t>
            </w:r>
            <w:r>
              <w:rPr>
                <w:rFonts w:hint="eastAsia"/>
                <w:lang w:val="en-US" w:eastAsia="zh-CN"/>
              </w:rPr>
              <w:t>创建</w:t>
            </w:r>
            <w:r>
              <w:rPr>
                <w:rFonts w:hint="eastAsia"/>
              </w:rPr>
              <w:t>。</w:t>
            </w:r>
          </w:p>
          <w:p w14:paraId="159A8DD7">
            <w:pPr>
              <w:pStyle w:val="8"/>
              <w:bidi w:val="0"/>
            </w:pPr>
            <w:r>
              <w:rPr>
                <w:rFonts w:hint="eastAsia" w:ascii="楷体_GB2312" w:hAnsi="楷体_GB2312" w:eastAsia="楷体_GB2312" w:cs="楷体_GB2312"/>
                <w:b/>
                <w:bCs/>
              </w:rPr>
              <w:t>3.废弃物资源化利用工程。</w:t>
            </w:r>
            <w:r>
              <w:rPr>
                <w:rFonts w:hint="eastAsia"/>
                <w:lang w:val="en-US" w:eastAsia="zh-CN"/>
              </w:rPr>
              <w:t>新（改、扩）建畜禽养殖场，严格落实“三同时”制度，同步建设粪污处理设施。开展密集区划定工作，做好散养密集区内污染防治配套设施建设。</w:t>
            </w:r>
            <w:r>
              <w:rPr>
                <w:rFonts w:hint="eastAsia"/>
              </w:rPr>
              <w:t>加强秸秆综合利用，建设一批秸秆科学还田样板，培育一批秸秆收储和利用主体。加强废弃物回收站点规范化建设</w:t>
            </w:r>
            <w:r>
              <w:rPr>
                <w:rFonts w:hint="eastAsia"/>
                <w:lang w:val="en-US" w:eastAsia="zh-CN"/>
              </w:rPr>
              <w:t>与</w:t>
            </w:r>
            <w:r>
              <w:rPr>
                <w:rFonts w:hint="eastAsia"/>
              </w:rPr>
              <w:t>管理，构建农药包装、废旧农膜“村收集—镇转运—县处理”回收处理体系。</w:t>
            </w:r>
          </w:p>
          <w:p w14:paraId="4D5B1235">
            <w:pPr>
              <w:pStyle w:val="8"/>
              <w:bidi w:val="0"/>
              <w:rPr>
                <w:rFonts w:ascii="Times New Roman" w:hAnsi="Times New Roman" w:eastAsia="楷体" w:cs="Times New Roman"/>
              </w:rPr>
            </w:pPr>
            <w:r>
              <w:rPr>
                <w:rFonts w:hint="eastAsia" w:ascii="楷体_GB2312" w:hAnsi="楷体_GB2312" w:eastAsia="楷体_GB2312" w:cs="楷体_GB2312"/>
                <w:b/>
                <w:bCs/>
              </w:rPr>
              <w:t>4.绿色循环农业发展工程。</w:t>
            </w:r>
            <w:r>
              <w:rPr>
                <w:rFonts w:hint="eastAsia"/>
              </w:rPr>
              <w:t>以规模化畜禽养殖加工企业为重点，建设一批种养结合型生态农场。培育</w:t>
            </w:r>
            <w:r>
              <w:rPr>
                <w:rFonts w:hint="eastAsia"/>
                <w:lang w:val="en-US" w:eastAsia="zh-CN"/>
              </w:rPr>
              <w:t>一批提供</w:t>
            </w:r>
            <w:r>
              <w:rPr>
                <w:rFonts w:hint="eastAsia"/>
              </w:rPr>
              <w:t>粪肥还田</w:t>
            </w:r>
            <w:r>
              <w:rPr>
                <w:rFonts w:hint="eastAsia"/>
                <w:lang w:eastAsia="zh-CN"/>
              </w:rPr>
              <w:t>的</w:t>
            </w:r>
            <w:r>
              <w:rPr>
                <w:rFonts w:hint="eastAsia"/>
              </w:rPr>
              <w:t>社会化服务主体，积极争创国家绿色种养循环农业试点。探索“光伏+”种植、水产养殖应用场景，建设一批农光互补示范基地。发挥GEF7项目全省唯一示范区优势，</w:t>
            </w:r>
            <w:r>
              <w:rPr>
                <w:rFonts w:hint="eastAsia"/>
                <w:lang w:val="en-US" w:eastAsia="zh-CN"/>
              </w:rPr>
              <w:t>大力</w:t>
            </w:r>
            <w:r>
              <w:rPr>
                <w:rFonts w:hint="eastAsia"/>
              </w:rPr>
              <w:t>发展生态低碳农业。</w:t>
            </w:r>
          </w:p>
        </w:tc>
      </w:tr>
    </w:tbl>
    <w:p w14:paraId="486D1F4C">
      <w:pPr>
        <w:pStyle w:val="3"/>
        <w:keepNext w:val="0"/>
        <w:keepLines w:val="0"/>
        <w:widowControl/>
        <w:spacing w:line="240" w:lineRule="auto"/>
        <w:ind w:left="0" w:leftChars="0" w:firstLine="0" w:firstLineChars="0"/>
        <w:jc w:val="center"/>
        <w:rPr>
          <w:rFonts w:hint="eastAsia" w:ascii="Times New Roman" w:hAnsi="Times New Roman" w:eastAsia="楷体_GB2312" w:cs="楷体_GB2312"/>
          <w:lang w:val="en-US" w:eastAsia="zh-CN"/>
        </w:rPr>
      </w:pPr>
      <w:bookmarkStart w:id="17" w:name="_Toc10910"/>
      <w:r>
        <w:rPr>
          <w:rFonts w:hint="eastAsia" w:ascii="Times New Roman" w:hAnsi="Times New Roman" w:eastAsia="楷体_GB2312" w:cs="楷体_GB2312"/>
          <w:lang w:val="en-US" w:eastAsia="zh-CN"/>
        </w:rPr>
        <w:t>第四节  建设品牌农业，塑造“黑土优品”价值高地</w:t>
      </w:r>
      <w:bookmarkEnd w:id="17"/>
    </w:p>
    <w:p w14:paraId="5A626816">
      <w:pPr>
        <w:bidi w:val="0"/>
        <w:rPr>
          <w:rFonts w:hint="eastAsia" w:ascii="仿宋_GB2312" w:hAnsi="仿宋_GB2312" w:eastAsia="仿宋_GB2312" w:cs="仿宋_GB2312"/>
        </w:rPr>
      </w:pPr>
      <w:r>
        <w:rPr>
          <w:rFonts w:hint="eastAsia" w:ascii="仿宋_GB2312" w:hAnsi="仿宋_GB2312" w:eastAsia="仿宋_GB2312" w:cs="仿宋_GB2312"/>
          <w:lang w:eastAsia="zh-CN"/>
        </w:rPr>
        <w:t>实施品牌提升行动，依托“富锦大米”</w:t>
      </w:r>
      <w:r>
        <w:rPr>
          <w:rFonts w:hint="eastAsia" w:ascii="仿宋_GB2312" w:hAnsi="仿宋_GB2312" w:eastAsia="仿宋_GB2312" w:cs="仿宋_GB2312"/>
          <w:lang w:val="en-US" w:eastAsia="zh-CN"/>
        </w:rPr>
        <w:t>“富锦狮头鹅”</w:t>
      </w:r>
      <w:r>
        <w:rPr>
          <w:rFonts w:hint="eastAsia" w:ascii="仿宋_GB2312" w:hAnsi="仿宋_GB2312" w:eastAsia="仿宋_GB2312" w:cs="仿宋_GB2312"/>
          <w:lang w:eastAsia="zh-CN"/>
        </w:rPr>
        <w:t>等品牌带动，加强与大型电商平台合作，拓展国内外市场，扩大品牌影响力。</w:t>
      </w:r>
    </w:p>
    <w:p w14:paraId="62E9015D">
      <w:pPr>
        <w:bidi w:val="0"/>
        <w:rPr>
          <w:rFonts w:hint="eastAsia" w:ascii="仿宋_GB2312" w:hAnsi="仿宋_GB2312" w:eastAsia="仿宋_GB2312" w:cs="仿宋_GB2312"/>
          <w:b/>
          <w:bCs/>
        </w:rPr>
      </w:pPr>
      <w:r>
        <w:rPr>
          <w:rFonts w:hint="eastAsia" w:ascii="仿宋_GB2312" w:hAnsi="仿宋_GB2312" w:eastAsia="仿宋_GB2312" w:cs="仿宋_GB2312"/>
          <w:b/>
          <w:bCs/>
        </w:rPr>
        <w:t>一、培育优质特色品牌</w:t>
      </w:r>
    </w:p>
    <w:p w14:paraId="5E96C2E4">
      <w:pPr>
        <w:bidi w:val="0"/>
        <w:rPr>
          <w:rFonts w:hint="eastAsia" w:ascii="仿宋_GB2312" w:hAnsi="仿宋_GB2312" w:eastAsia="仿宋_GB2312" w:cs="仿宋_GB2312"/>
          <w:lang w:val="en-US" w:eastAsia="zh-CN"/>
        </w:rPr>
      </w:pPr>
      <w:r>
        <w:rPr>
          <w:rFonts w:hint="eastAsia" w:ascii="仿宋_GB2312" w:hAnsi="仿宋_GB2312" w:eastAsia="仿宋_GB2312" w:cs="仿宋_GB2312"/>
          <w:b/>
          <w:bCs/>
          <w:lang w:val="en-US" w:eastAsia="zh-CN"/>
        </w:rPr>
        <w:t>凝聚区域公用品牌合力。</w:t>
      </w:r>
      <w:r>
        <w:rPr>
          <w:rFonts w:hint="eastAsia" w:ascii="仿宋_GB2312" w:hAnsi="仿宋_GB2312" w:eastAsia="仿宋_GB2312" w:cs="仿宋_GB2312"/>
          <w:lang w:val="en-US" w:eastAsia="zh-CN"/>
        </w:rPr>
        <w:t>深入实施品牌强农战略，充分发挥富锦作为非转基因、寒地黑土、绿色有机农产品主产区的优势，持续推进农业品种培优、品质提升、品牌打造和标准化生产。以“富锦大豆”地理标志</w:t>
      </w:r>
      <w:r>
        <w:rPr>
          <w:rFonts w:hint="eastAsia" w:ascii="仿宋_GB2312" w:hAnsi="仿宋_GB2312" w:cs="仿宋_GB2312"/>
          <w:lang w:val="en-US" w:eastAsia="zh-CN"/>
        </w:rPr>
        <w:t>产品</w:t>
      </w:r>
      <w:r>
        <w:rPr>
          <w:rFonts w:hint="eastAsia" w:ascii="仿宋_GB2312" w:hAnsi="仿宋_GB2312" w:eastAsia="仿宋_GB2312" w:cs="仿宋_GB2312"/>
          <w:lang w:val="en-US" w:eastAsia="zh-CN"/>
        </w:rPr>
        <w:t>和“富锦大米”地理</w:t>
      </w:r>
      <w:r>
        <w:rPr>
          <w:rFonts w:hint="eastAsia" w:ascii="仿宋_GB2312" w:hAnsi="仿宋_GB2312" w:cs="仿宋_GB2312"/>
          <w:lang w:val="en-US" w:eastAsia="zh-CN"/>
        </w:rPr>
        <w:t>标志</w:t>
      </w:r>
      <w:r>
        <w:rPr>
          <w:rFonts w:hint="eastAsia" w:ascii="仿宋_GB2312" w:hAnsi="仿宋_GB2312" w:eastAsia="仿宋_GB2312" w:cs="仿宋_GB2312"/>
          <w:lang w:val="en-US" w:eastAsia="zh-CN"/>
        </w:rPr>
        <w:t>证明商标为引领，打造区域公用品牌，成立专业化运营团队，负责品牌的标准体系、使用规范、退出机制等实体化运营工作。加快培育一批以大锦农为代表、拥有自主知识产权和品牌效应的龙头企业品牌，构建“区域品牌+企业品牌”双轮驱动模式，发挥品牌叠加效应，推动“富锦狮头鹅”纳入省级“黑土优品”目录。</w:t>
      </w:r>
    </w:p>
    <w:p w14:paraId="54BAAA20">
      <w:pPr>
        <w:bidi w:val="0"/>
        <w:rPr>
          <w:rFonts w:hint="eastAsia" w:ascii="仿宋_GB2312" w:hAnsi="仿宋_GB2312" w:eastAsia="仿宋_GB2312" w:cs="仿宋_GB2312"/>
          <w:lang w:val="en-US" w:eastAsia="zh-CN"/>
        </w:rPr>
      </w:pPr>
      <w:r>
        <w:rPr>
          <w:rFonts w:hint="eastAsia" w:ascii="仿宋_GB2312" w:hAnsi="仿宋_GB2312" w:eastAsia="仿宋_GB2312" w:cs="仿宋_GB2312"/>
          <w:b/>
          <w:bCs/>
          <w:lang w:val="en-US" w:eastAsia="zh-CN"/>
        </w:rPr>
        <w:t>强化区域公用品牌信任背书。</w:t>
      </w:r>
      <w:r>
        <w:rPr>
          <w:rFonts w:hint="eastAsia" w:ascii="仿宋_GB2312" w:hAnsi="仿宋_GB2312" w:eastAsia="仿宋_GB2312" w:cs="仿宋_GB2312"/>
          <w:lang w:val="en-US" w:eastAsia="zh-CN"/>
        </w:rPr>
        <w:t>结合区域公用品牌发展需求，加快完善</w:t>
      </w:r>
      <w:r>
        <w:rPr>
          <w:rFonts w:hint="eastAsia" w:ascii="仿宋_GB2312" w:hAnsi="仿宋_GB2312" w:cs="仿宋_GB2312"/>
          <w:lang w:val="en-US" w:eastAsia="zh-CN"/>
        </w:rPr>
        <w:t>我市</w:t>
      </w:r>
      <w:r>
        <w:rPr>
          <w:rFonts w:hint="eastAsia" w:ascii="仿宋_GB2312" w:hAnsi="仿宋_GB2312" w:eastAsia="仿宋_GB2312" w:cs="仿宋_GB2312"/>
          <w:lang w:val="en-US" w:eastAsia="zh-CN"/>
        </w:rPr>
        <w:t>农产品全产业链质量安全与品牌认证溯源体系，规范公用品牌使用标准、授权流程及质量追溯要求，实施“种植标准、加工标准、检测标准”三标统一，确保产品质量全程可控。通过加强品牌文化赋能，推动富锦地域文化及产品品质可视化，建设一批“大而优”“小而美”的大宗和特色农产品品牌示范基地。</w:t>
      </w:r>
    </w:p>
    <w:p w14:paraId="58AD279F">
      <w:pPr>
        <w:bidi w:val="0"/>
        <w:rPr>
          <w:rFonts w:hint="eastAsia" w:ascii="仿宋_GB2312" w:hAnsi="仿宋_GB2312" w:eastAsia="仿宋_GB2312" w:cs="仿宋_GB2312"/>
          <w:b/>
          <w:bCs/>
        </w:rPr>
      </w:pPr>
      <w:r>
        <w:rPr>
          <w:rFonts w:hint="eastAsia" w:ascii="仿宋_GB2312" w:hAnsi="仿宋_GB2312" w:eastAsia="仿宋_GB2312" w:cs="仿宋_GB2312"/>
          <w:b/>
          <w:bCs/>
        </w:rPr>
        <w:t>二、强化品牌宣传推广</w:t>
      </w:r>
    </w:p>
    <w:p w14:paraId="1AE72DC3">
      <w:pPr>
        <w:bidi w:val="0"/>
        <w:rPr>
          <w:rFonts w:hint="eastAsia" w:ascii="仿宋_GB2312" w:hAnsi="仿宋_GB2312" w:eastAsia="仿宋_GB2312" w:cs="仿宋_GB2312"/>
          <w:lang w:val="en-US" w:eastAsia="zh-CN"/>
        </w:rPr>
      </w:pPr>
      <w:r>
        <w:rPr>
          <w:rFonts w:hint="eastAsia" w:ascii="仿宋_GB2312" w:hAnsi="仿宋_GB2312" w:eastAsia="仿宋_GB2312" w:cs="仿宋_GB2312"/>
          <w:b/>
          <w:bCs/>
          <w:lang w:val="en-US" w:eastAsia="zh-CN"/>
        </w:rPr>
        <w:t>建立统一的品牌传播体系。</w:t>
      </w:r>
      <w:r>
        <w:rPr>
          <w:rFonts w:hint="eastAsia" w:ascii="仿宋_GB2312" w:hAnsi="仿宋_GB2312" w:eastAsia="仿宋_GB2312" w:cs="仿宋_GB2312"/>
          <w:lang w:val="en-US" w:eastAsia="zh-CN"/>
        </w:rPr>
        <w:t>实施“线上线下融合、国内国际联动”品牌推广策略。依托“绿谷粮都”综合服务平台，深化与京东、抖音等头部电商及新媒体平台的战略合作；在京津冀、长三角等地设立富锦绿色食品旗舰店，打造集展示、体验、销售于一体的品牌形象窗口。加大品牌宣传推广力度，通过电视、报纸、网络等媒体投放富锦农产品品牌公益广告，讲好品牌故事。组织市内品牌主体参加农交会、绿博会等大型展会，指导其入驻国内主流电商和自媒体平台，推动富锦特色名优农产品畅销全省、走向全国，加快形成标准化生产、产业化运营、全链条追溯和品牌化营销的富锦现代农业发展新格局。</w:t>
      </w:r>
    </w:p>
    <w:tbl>
      <w:tblPr>
        <w:tblStyle w:val="20"/>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26827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522" w:type="dxa"/>
          </w:tcPr>
          <w:p w14:paraId="179BF01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黑体" w:cs="Times New Roman"/>
                <w:sz w:val="24"/>
              </w:rPr>
            </w:pPr>
            <w:r>
              <w:rPr>
                <w:rFonts w:hint="eastAsia" w:ascii="黑体" w:hAnsi="黑体" w:eastAsia="黑体" w:cs="黑体"/>
                <w:sz w:val="24"/>
                <w:szCs w:val="22"/>
              </w:rPr>
              <w:t>专栏3-</w:t>
            </w:r>
            <w:r>
              <w:rPr>
                <w:rFonts w:hint="eastAsia" w:ascii="黑体" w:hAnsi="黑体" w:eastAsia="黑体" w:cs="黑体"/>
                <w:sz w:val="24"/>
                <w:szCs w:val="22"/>
                <w:lang w:val="en-US" w:eastAsia="zh-CN"/>
              </w:rPr>
              <w:t>4</w:t>
            </w:r>
            <w:r>
              <w:rPr>
                <w:rFonts w:hint="eastAsia" w:ascii="黑体" w:hAnsi="黑体" w:eastAsia="黑体" w:cs="黑体"/>
                <w:sz w:val="24"/>
                <w:szCs w:val="22"/>
              </w:rPr>
              <w:t xml:space="preserve">  品牌农业</w:t>
            </w:r>
            <w:r>
              <w:rPr>
                <w:rFonts w:hint="eastAsia" w:ascii="黑体" w:hAnsi="黑体" w:eastAsia="黑体" w:cs="黑体"/>
                <w:sz w:val="24"/>
                <w:szCs w:val="22"/>
                <w:lang w:val="en-US" w:eastAsia="zh-CN"/>
              </w:rPr>
              <w:t>培育</w:t>
            </w:r>
            <w:r>
              <w:rPr>
                <w:rFonts w:hint="eastAsia" w:ascii="黑体" w:hAnsi="黑体" w:eastAsia="黑体" w:cs="黑体"/>
                <w:sz w:val="24"/>
                <w:szCs w:val="22"/>
              </w:rPr>
              <w:t>重点工程</w:t>
            </w:r>
          </w:p>
        </w:tc>
      </w:tr>
      <w:tr w14:paraId="11E18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06056640">
            <w:pPr>
              <w:pStyle w:val="8"/>
              <w:bidi w:val="0"/>
            </w:pPr>
            <w:r>
              <w:rPr>
                <w:rFonts w:hint="eastAsia" w:ascii="楷体_GB2312" w:hAnsi="楷体_GB2312" w:eastAsia="楷体_GB2312" w:cs="楷体_GB2312"/>
                <w:b/>
                <w:bCs/>
              </w:rPr>
              <w:t>1.</w:t>
            </w:r>
            <w:r>
              <w:rPr>
                <w:rFonts w:hint="eastAsia" w:ascii="楷体_GB2312" w:hAnsi="楷体_GB2312" w:eastAsia="楷体_GB2312" w:cs="楷体_GB2312"/>
                <w:b/>
                <w:bCs/>
                <w:lang w:val="en-US" w:eastAsia="zh-CN"/>
              </w:rPr>
              <w:t>农业</w:t>
            </w:r>
            <w:r>
              <w:rPr>
                <w:rFonts w:hint="eastAsia" w:ascii="楷体_GB2312" w:hAnsi="楷体_GB2312" w:eastAsia="楷体_GB2312" w:cs="楷体_GB2312"/>
                <w:b/>
                <w:bCs/>
              </w:rPr>
              <w:t>品牌培育工程。</w:t>
            </w:r>
            <w:r>
              <w:rPr>
                <w:rFonts w:hint="eastAsia"/>
                <w:lang w:val="en-US" w:eastAsia="zh-CN"/>
              </w:rPr>
              <w:t>以“富锦大豆”地理标志和“富锦大米”地理证明商标为引领，积极构建以“区域公用品牌为核心、特色单品品牌为补充”的现代农业品牌体系，全面提升富锦农产品市场辨识度、竞争力和附加值。推动“富锦狮头鹅”纳入国家级“名特优新”目录。</w:t>
            </w:r>
          </w:p>
          <w:p w14:paraId="6A3E4677">
            <w:pPr>
              <w:pStyle w:val="8"/>
              <w:bidi w:val="0"/>
              <w:rPr>
                <w:rFonts w:ascii="Times New Roman" w:hAnsi="Times New Roman" w:eastAsia="楷体" w:cs="Times New Roman"/>
              </w:rPr>
            </w:pPr>
            <w:r>
              <w:rPr>
                <w:rFonts w:hint="eastAsia" w:ascii="楷体_GB2312" w:hAnsi="楷体_GB2312" w:eastAsia="楷体_GB2312" w:cs="楷体_GB2312"/>
                <w:b/>
                <w:bCs/>
              </w:rPr>
              <w:t>2.品牌基地建设工程。</w:t>
            </w:r>
            <w:r>
              <w:rPr>
                <w:rFonts w:hint="eastAsia"/>
              </w:rPr>
              <w:t>持续</w:t>
            </w:r>
            <w:r>
              <w:rPr>
                <w:rFonts w:hint="eastAsia"/>
                <w:lang w:val="en-US" w:eastAsia="zh-CN"/>
              </w:rPr>
              <w:t>加强</w:t>
            </w:r>
            <w:r>
              <w:rPr>
                <w:rFonts w:hint="eastAsia"/>
              </w:rPr>
              <w:t>绿色食品</w:t>
            </w:r>
            <w:r>
              <w:rPr>
                <w:rFonts w:hint="eastAsia"/>
                <w:lang w:eastAsia="zh-CN"/>
              </w:rPr>
              <w:t>、</w:t>
            </w:r>
            <w:r>
              <w:rPr>
                <w:rFonts w:hint="eastAsia"/>
              </w:rPr>
              <w:t>有机农产品认证</w:t>
            </w:r>
            <w:r>
              <w:rPr>
                <w:rFonts w:hint="eastAsia"/>
                <w:lang w:val="en-US" w:eastAsia="zh-CN"/>
              </w:rPr>
              <w:t>和地理标志农产品保护，健全富锦农产品全产业链质量安全与品牌认证溯源体系，确保</w:t>
            </w:r>
            <w:r>
              <w:rPr>
                <w:rFonts w:hint="eastAsia"/>
              </w:rPr>
              <w:t>产品质量全程可控，建设一批“大而优”“小而美”的大宗和特色农产品品牌示范基地。</w:t>
            </w:r>
          </w:p>
        </w:tc>
      </w:tr>
    </w:tbl>
    <w:p w14:paraId="28BE613A">
      <w:pPr>
        <w:pStyle w:val="3"/>
        <w:keepNext w:val="0"/>
        <w:keepLines w:val="0"/>
        <w:widowControl/>
        <w:spacing w:line="240" w:lineRule="auto"/>
        <w:ind w:left="0" w:leftChars="0" w:firstLine="0" w:firstLineChars="0"/>
        <w:jc w:val="center"/>
        <w:rPr>
          <w:rFonts w:hint="eastAsia" w:ascii="Times New Roman" w:hAnsi="Times New Roman" w:eastAsia="楷体_GB2312" w:cs="楷体_GB2312"/>
          <w:lang w:val="en-US" w:eastAsia="zh-CN"/>
        </w:rPr>
      </w:pPr>
      <w:bookmarkStart w:id="18" w:name="_Toc3621"/>
      <w:r>
        <w:rPr>
          <w:rFonts w:hint="eastAsia" w:ascii="Times New Roman" w:hAnsi="Times New Roman" w:eastAsia="楷体_GB2312" w:cs="楷体_GB2312"/>
          <w:lang w:val="en-US" w:eastAsia="zh-CN"/>
        </w:rPr>
        <w:t>第五节  延伸产业链条，激活“接二连三”增值动能</w:t>
      </w:r>
      <w:bookmarkEnd w:id="18"/>
    </w:p>
    <w:p w14:paraId="6491F34B">
      <w:pPr>
        <w:bidi w:val="0"/>
        <w:rPr>
          <w:rFonts w:hint="eastAsia" w:ascii="仿宋_GB2312" w:hAnsi="仿宋_GB2312" w:eastAsia="仿宋_GB2312" w:cs="仿宋_GB2312"/>
          <w:b/>
          <w:bCs/>
        </w:rPr>
      </w:pPr>
      <w:r>
        <w:rPr>
          <w:rFonts w:hint="eastAsia" w:ascii="仿宋_GB2312" w:hAnsi="仿宋_GB2312" w:eastAsia="仿宋_GB2312" w:cs="仿宋_GB2312"/>
          <w:b/>
          <w:bCs/>
        </w:rPr>
        <w:t>一、推进农业全产业链融合发展</w:t>
      </w:r>
    </w:p>
    <w:p w14:paraId="23ADACB0">
      <w:pPr>
        <w:bidi w:val="0"/>
        <w:rPr>
          <w:rFonts w:hint="eastAsia" w:ascii="仿宋_GB2312" w:hAnsi="仿宋_GB2312" w:eastAsia="仿宋_GB2312" w:cs="仿宋_GB2312"/>
          <w:lang w:val="en-US" w:eastAsia="zh-CN"/>
        </w:rPr>
      </w:pPr>
      <w:r>
        <w:rPr>
          <w:rFonts w:hint="eastAsia" w:ascii="仿宋_GB2312" w:hAnsi="仿宋_GB2312" w:eastAsia="仿宋_GB2312" w:cs="仿宋_GB2312"/>
          <w:b/>
          <w:bCs/>
          <w:lang w:val="en-US" w:eastAsia="zh-CN"/>
        </w:rPr>
        <w:t>推进农业全产业链建设。</w:t>
      </w:r>
      <w:r>
        <w:rPr>
          <w:rFonts w:hint="eastAsia" w:ascii="仿宋_GB2312" w:hAnsi="仿宋_GB2312" w:eastAsia="仿宋_GB2312" w:cs="仿宋_GB2312"/>
          <w:lang w:val="en-US" w:eastAsia="zh-CN"/>
        </w:rPr>
        <w:t>发挥农业科技示范园区（基地）和国家现代农业产业园的示范带动作用，集中打造现代农业全产业链标准化生产示范基地，推进农业产业化联合体建设。围绕玉米、大豆、水稻、狮头鹅等优势特色产业，实施农业单品产业链专项行动，大力发展农产品全产业链精深加工，打造玉米生物科技、畜禽乳肉等主导产业链集群。实施农产品精深加工企业专项行动，扶持和培育农业产业化龙头企业，做大“链主”企业，做优中小企业，形成富锦重点产业链内部生产协同、技术互补、要素共享的企业发展格局。</w:t>
      </w:r>
    </w:p>
    <w:p w14:paraId="54AB22D1">
      <w:pPr>
        <w:bidi w:val="0"/>
        <w:rPr>
          <w:rFonts w:hint="eastAsia" w:ascii="仿宋_GB2312" w:hAnsi="仿宋_GB2312" w:eastAsia="仿宋_GB2312" w:cs="仿宋_GB2312"/>
          <w:lang w:val="en-US" w:eastAsia="zh-CN"/>
        </w:rPr>
      </w:pPr>
      <w:r>
        <w:rPr>
          <w:rFonts w:hint="eastAsia" w:ascii="仿宋_GB2312" w:hAnsi="仿宋_GB2312" w:eastAsia="仿宋_GB2312" w:cs="仿宋_GB2312"/>
          <w:b/>
          <w:bCs/>
          <w:lang w:val="en-US" w:eastAsia="zh-CN"/>
        </w:rPr>
        <w:t>推进农村产业融合发展。</w:t>
      </w:r>
      <w:r>
        <w:rPr>
          <w:rFonts w:hint="eastAsia" w:ascii="仿宋_GB2312" w:hAnsi="仿宋_GB2312" w:eastAsia="仿宋_GB2312" w:cs="仿宋_GB2312"/>
          <w:lang w:val="en-US" w:eastAsia="zh-CN"/>
        </w:rPr>
        <w:t>依托</w:t>
      </w:r>
      <w:r>
        <w:rPr>
          <w:rFonts w:hint="eastAsia" w:ascii="仿宋_GB2312" w:hAnsi="仿宋_GB2312" w:cs="仿宋_GB2312"/>
          <w:lang w:val="en-US" w:eastAsia="zh-CN"/>
        </w:rPr>
        <w:t>我市</w:t>
      </w:r>
      <w:r>
        <w:rPr>
          <w:rFonts w:hint="eastAsia" w:ascii="仿宋_GB2312" w:hAnsi="仿宋_GB2312" w:eastAsia="仿宋_GB2312" w:cs="仿宋_GB2312"/>
          <w:lang w:val="en-US" w:eastAsia="zh-CN"/>
        </w:rPr>
        <w:t>大农业、大生态优势，发挥全省首家万亩水稻公园的示范引领作用，结合采摘园、垂钓园、风情街、民俗村、农业主题公园，积极拓展农业多元化功能，创新推广“休闲农业+”“科技+农业+旅游”等融合模式，打造一批花园式乡景基地，建设一批学农劳动、研学实践、科普教育等实训基地，发展科技农业、创意农业、景观农业、体验农业、生态农业等新业态，促进农业与旅游、文化等产业深度融合，积极争创国家农村产业融合发展示范园。围绕“粮头食尾”“农头工尾”，加快发展“富克锦”粉条、“老农民”杂粮、“万户喜”笨榨豆油、“佟老太”盘酱等镇级特色农产品，支持头林镇打造“酒香小镇”品牌。</w:t>
      </w:r>
    </w:p>
    <w:p w14:paraId="4E35F270">
      <w:pPr>
        <w:bidi w:val="0"/>
        <w:rPr>
          <w:rFonts w:hint="eastAsia"/>
          <w:b/>
          <w:bCs/>
        </w:rPr>
      </w:pPr>
      <w:r>
        <w:rPr>
          <w:rFonts w:hint="eastAsia"/>
          <w:b/>
          <w:bCs/>
        </w:rPr>
        <w:t>二、健全农产品现代流通体系</w:t>
      </w:r>
    </w:p>
    <w:p w14:paraId="40FDCF8A">
      <w:pPr>
        <w:bidi w:val="0"/>
        <w:rPr>
          <w:rFonts w:hint="eastAsia" w:ascii="仿宋_GB2312" w:hAnsi="仿宋_GB2312" w:eastAsia="仿宋_GB2312" w:cs="仿宋_GB2312"/>
          <w:lang w:val="en-US" w:eastAsia="zh-CN"/>
        </w:rPr>
      </w:pPr>
      <w:r>
        <w:rPr>
          <w:rFonts w:hint="eastAsia"/>
          <w:lang w:val="en-US" w:eastAsia="zh-CN"/>
        </w:rPr>
        <w:t>依托我市粮食仓储优势，深入实施粮食仓储物流业“百企提升”工程，推动现有物流园区提档升级，推进多功能一体化的现代粮食物流（产业）园区建设，打造三江平原最大的粮食物流交易中心。以农产品骨干冷链物流重点县（重点市）建设为契机，加快市域冷链物流体系建设，优化产地冷链集配中心布局，引导参与品牌建设的农民合作社、家庭农场和村级集体经济组织建设一批产地仓储保鲜冷链设施，加快补齐农产品产地基础设施短板。培育特色农产品专业批发市场，集中打造三江平原特色农产品生产供应基地。深入实施“数商兴农”工程，引导电商企业在产地建设田头市场，推动产地市场开展农产品线上批发、零售和产销对接等活动，完善市镇村电子商务和快递物流配送体系。推动电商产业园提质升级，增强直播电商服务功能，建设“绿谷粮都”大型直播电商基地，</w:t>
      </w:r>
      <w:r>
        <w:rPr>
          <w:rFonts w:hint="eastAsia" w:ascii="仿宋_GB2312" w:hAnsi="仿宋_GB2312" w:eastAsia="仿宋_GB2312" w:cs="仿宋_GB2312"/>
          <w:lang w:val="en-US" w:eastAsia="zh-CN"/>
        </w:rPr>
        <w:t>加快构建“县级直播基地+企业直播间+大众创业直播”协同发展格局，激活全市农产品销售“数字引擎”。</w:t>
      </w:r>
    </w:p>
    <w:tbl>
      <w:tblPr>
        <w:tblStyle w:val="20"/>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181E6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2328E09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黑体" w:cs="Times New Roman"/>
                <w:sz w:val="24"/>
              </w:rPr>
            </w:pPr>
            <w:r>
              <w:rPr>
                <w:rFonts w:hint="eastAsia" w:ascii="黑体" w:hAnsi="黑体" w:eastAsia="黑体" w:cs="黑体"/>
                <w:sz w:val="24"/>
                <w:szCs w:val="22"/>
              </w:rPr>
              <w:t>专栏3-</w:t>
            </w:r>
            <w:r>
              <w:rPr>
                <w:rFonts w:hint="eastAsia" w:ascii="黑体" w:hAnsi="黑体" w:eastAsia="黑体" w:cs="黑体"/>
                <w:sz w:val="24"/>
                <w:szCs w:val="22"/>
                <w:lang w:val="en-US" w:eastAsia="zh-CN"/>
              </w:rPr>
              <w:t>5</w:t>
            </w:r>
            <w:r>
              <w:rPr>
                <w:rFonts w:hint="eastAsia" w:ascii="黑体" w:hAnsi="黑体" w:eastAsia="黑体" w:cs="黑体"/>
                <w:sz w:val="24"/>
                <w:szCs w:val="22"/>
              </w:rPr>
              <w:t xml:space="preserve">  </w:t>
            </w:r>
            <w:r>
              <w:rPr>
                <w:rFonts w:hint="eastAsia" w:ascii="黑体" w:hAnsi="黑体" w:eastAsia="黑体" w:cs="黑体"/>
                <w:sz w:val="24"/>
                <w:szCs w:val="22"/>
                <w:lang w:eastAsia="zh-CN"/>
              </w:rPr>
              <w:t>农村一二三产业融合</w:t>
            </w:r>
            <w:r>
              <w:rPr>
                <w:rFonts w:hint="eastAsia" w:ascii="黑体" w:hAnsi="黑体" w:eastAsia="黑体" w:cs="黑体"/>
                <w:sz w:val="24"/>
                <w:szCs w:val="22"/>
              </w:rPr>
              <w:t>发展重点工程</w:t>
            </w:r>
          </w:p>
        </w:tc>
      </w:tr>
      <w:tr w14:paraId="6EFBF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522" w:type="dxa"/>
          </w:tcPr>
          <w:p w14:paraId="4EDA0667">
            <w:pPr>
              <w:pStyle w:val="8"/>
              <w:bidi w:val="0"/>
            </w:pPr>
            <w:r>
              <w:rPr>
                <w:rFonts w:hint="eastAsia" w:ascii="楷体_GB2312" w:hAnsi="楷体_GB2312" w:eastAsia="楷体_GB2312" w:cs="楷体_GB2312"/>
                <w:b/>
                <w:bCs/>
              </w:rPr>
              <w:t>1.产业融合示范区建设工程。</w:t>
            </w:r>
            <w:r>
              <w:rPr>
                <w:rFonts w:hint="eastAsia"/>
                <w:lang w:val="en-US" w:eastAsia="zh-CN"/>
              </w:rPr>
              <w:t>集中打造</w:t>
            </w:r>
            <w:r>
              <w:t>现代农业全产业链标准化生产</w:t>
            </w:r>
            <w:r>
              <w:rPr>
                <w:rFonts w:hint="eastAsia"/>
                <w:lang w:val="en-US" w:eastAsia="zh-CN"/>
              </w:rPr>
              <w:t>示范</w:t>
            </w:r>
            <w:r>
              <w:t>基地，推进农业产业化联合体建设。</w:t>
            </w:r>
            <w:r>
              <w:rPr>
                <w:rFonts w:hint="eastAsia"/>
              </w:rPr>
              <w:t>实施农业单品产业链专项行动，打造玉米生物科技、畜禽乳肉等主导产业集群。积极拓展农业多元化功能，打造一批花园式乡景基地，建设学农劳动、研学实践、科普教育等实训基地，争创国家农村产业融合发展示范园。</w:t>
            </w:r>
            <w:r>
              <w:rPr>
                <w:rFonts w:hint="eastAsia"/>
                <w:lang w:val="en-US" w:eastAsia="zh-CN"/>
              </w:rPr>
              <w:t>支持头林镇打造“酒香小镇”品牌。</w:t>
            </w:r>
          </w:p>
          <w:p w14:paraId="45809C3E">
            <w:pPr>
              <w:pStyle w:val="8"/>
              <w:bidi w:val="0"/>
              <w:rPr>
                <w:rFonts w:hint="eastAsia"/>
              </w:rPr>
            </w:pPr>
            <w:r>
              <w:rPr>
                <w:rFonts w:hint="eastAsia" w:ascii="楷体_GB2312" w:hAnsi="楷体_GB2312" w:eastAsia="楷体_GB2312" w:cs="楷体_GB2312"/>
                <w:b/>
                <w:bCs/>
              </w:rPr>
              <w:t>2.农产品仓储冷链物流设施建设工程。</w:t>
            </w:r>
            <w:r>
              <w:rPr>
                <w:rFonts w:hint="eastAsia"/>
              </w:rPr>
              <w:t>推动现有物流园区提档升级，推进多功能一体化现代粮食物流（产业）园区建设。建设一批产地仓储保鲜冷链设施，培育特色农产品专业批发市场。</w:t>
            </w:r>
            <w:r>
              <w:rPr>
                <w:rFonts w:hint="eastAsia"/>
                <w:lang w:val="en-US" w:eastAsia="zh-CN"/>
              </w:rPr>
              <w:t>引导</w:t>
            </w:r>
            <w:r>
              <w:rPr>
                <w:rFonts w:hint="eastAsia"/>
              </w:rPr>
              <w:t>电商企业在产地建设田头市场。推动电商产业园提质升级，建设“绿谷粮都”大型直播电商基地。</w:t>
            </w:r>
          </w:p>
          <w:p w14:paraId="24DD549D">
            <w:pPr>
              <w:pStyle w:val="8"/>
              <w:bidi w:val="0"/>
              <w:rPr>
                <w:rFonts w:hint="default" w:eastAsia="楷体_GB2312"/>
                <w:lang w:val="en-US" w:eastAsia="zh-CN"/>
              </w:rPr>
            </w:pPr>
            <w:r>
              <w:rPr>
                <w:rFonts w:hint="eastAsia" w:ascii="楷体_GB2312" w:hAnsi="楷体_GB2312" w:eastAsia="楷体_GB2312" w:cs="楷体_GB2312"/>
                <w:b/>
                <w:bCs/>
                <w:lang w:val="en-US" w:eastAsia="zh-CN"/>
              </w:rPr>
              <w:t>3.富锦市农产品批发市场项目。</w:t>
            </w:r>
            <w:r>
              <w:rPr>
                <w:rFonts w:hint="eastAsia" w:ascii="楷体_GB2312" w:hAnsi="楷体_GB2312" w:eastAsia="楷体_GB2312" w:cs="楷体_GB2312"/>
                <w:lang w:val="en-US" w:eastAsia="zh-CN"/>
              </w:rPr>
              <w:t>新建2座农产品批发市场，其中东市场总占地面积25218.02平方米，总建筑面积10511.97平方米，主要建设果蔬区2046.55平方米，快餐区3000平方米，生鲜区3000平方米，日杂区2000平方米，公厕及管理用房217.10平方米以及地下消防泵房水池248.32平方米。西市场占地面积13421.78平方米，总建筑面积7960平方米，主要建设果蔬区2096.40平方米，快餐区3000平方米，生鲜区2592平方米以及地下消防泵房水池271.60平方米。</w:t>
            </w:r>
          </w:p>
        </w:tc>
      </w:tr>
    </w:tbl>
    <w:p w14:paraId="783A8154">
      <w:pPr>
        <w:pStyle w:val="3"/>
        <w:keepNext w:val="0"/>
        <w:keepLines w:val="0"/>
        <w:widowControl/>
        <w:spacing w:line="240" w:lineRule="auto"/>
        <w:ind w:left="0" w:leftChars="0" w:firstLine="0" w:firstLineChars="0"/>
        <w:jc w:val="center"/>
        <w:rPr>
          <w:rFonts w:hint="eastAsia" w:ascii="Times New Roman" w:hAnsi="Times New Roman" w:eastAsia="楷体_GB2312" w:cs="楷体_GB2312"/>
          <w:lang w:val="en-US" w:eastAsia="zh-CN"/>
        </w:rPr>
      </w:pPr>
      <w:bookmarkStart w:id="19" w:name="_Toc26319"/>
      <w:r>
        <w:rPr>
          <w:rFonts w:hint="eastAsia" w:ascii="Times New Roman" w:hAnsi="Times New Roman" w:eastAsia="楷体_GB2312" w:cs="楷体_GB2312"/>
          <w:lang w:val="en-US" w:eastAsia="zh-CN"/>
        </w:rPr>
        <w:t>第六节  培育新型主体，健全“规模集约”经营体系</w:t>
      </w:r>
      <w:bookmarkEnd w:id="19"/>
    </w:p>
    <w:p w14:paraId="5FECCAFA">
      <w:pPr>
        <w:bidi w:val="0"/>
        <w:rPr>
          <w:rFonts w:hint="eastAsia" w:ascii="仿宋_GB2312" w:hAnsi="仿宋_GB2312" w:eastAsia="仿宋_GB2312" w:cs="仿宋_GB2312"/>
          <w:b/>
          <w:bCs/>
        </w:rPr>
      </w:pPr>
      <w:r>
        <w:rPr>
          <w:rFonts w:hint="eastAsia" w:ascii="仿宋_GB2312" w:hAnsi="仿宋_GB2312" w:eastAsia="仿宋_GB2312" w:cs="仿宋_GB2312"/>
          <w:b/>
          <w:bCs/>
        </w:rPr>
        <w:t>一、推进新型农业经营主体提质增效</w:t>
      </w:r>
    </w:p>
    <w:p w14:paraId="63CA85C2">
      <w:pPr>
        <w:bidi w:val="0"/>
        <w:rPr>
          <w:rFonts w:hint="eastAsia" w:ascii="仿宋_GB2312" w:hAnsi="仿宋_GB2312" w:eastAsia="仿宋_GB2312" w:cs="仿宋_GB2312"/>
          <w:lang w:val="en-US" w:eastAsia="zh-CN"/>
        </w:rPr>
      </w:pPr>
      <w:r>
        <w:rPr>
          <w:rFonts w:hint="eastAsia" w:ascii="仿宋_GB2312" w:hAnsi="仿宋_GB2312" w:eastAsia="仿宋_GB2312" w:cs="仿宋_GB2312"/>
          <w:b/>
          <w:bCs/>
          <w:lang w:val="en-US" w:eastAsia="zh-CN"/>
        </w:rPr>
        <w:t>实施新型农业经营主体提升行动。</w:t>
      </w:r>
      <w:r>
        <w:rPr>
          <w:rFonts w:hint="eastAsia" w:ascii="仿宋_GB2312" w:hAnsi="仿宋_GB2312" w:eastAsia="仿宋_GB2312" w:cs="仿宋_GB2312"/>
          <w:lang w:val="en-US" w:eastAsia="zh-CN"/>
        </w:rPr>
        <w:t>落实家庭农场高质量发展培育计划，引导农户发展家庭农场，支持培优育强，开展家庭农场示范创建。规范提升农民合作社，支持组建农民合作社联合社，实现资源共享、优势互补、抱团发展。加快培育一批国、省、市级示范家庭农场、示范合作社、农业产业化联合体和多元化农业服务主体。依托富锦农机合作社基础，推广“共享农机合作社”服务模式，降低小农户农业生产成本。联合富锦职业技术学校、市农业技术推广中心及域外涉农科研院校，持续开展“新农人”职业农民培训，</w:t>
      </w:r>
      <w:r>
        <w:rPr>
          <w:rFonts w:hint="eastAsia" w:ascii="仿宋_GB2312" w:hAnsi="仿宋_GB2312" w:cs="仿宋_GB2312"/>
          <w:lang w:val="en-US" w:eastAsia="zh-CN"/>
        </w:rPr>
        <w:t>打造高素质农民队伍，</w:t>
      </w:r>
      <w:r>
        <w:rPr>
          <w:rFonts w:hint="eastAsia" w:ascii="仿宋_GB2312" w:hAnsi="仿宋_GB2312" w:eastAsia="仿宋_GB2312" w:cs="仿宋_GB2312"/>
          <w:lang w:val="en-US" w:eastAsia="zh-CN"/>
        </w:rPr>
        <w:t>加快建设农民田间学校和高素质农民实训基地。深入实施乡村产业振兴带头人“头雁”项目，打造一支与富锦农业农村现代化相适应的“头雁”队伍，形成“头雁”领飞、“群雁”齐飞、“雏雁”跟飞的雁阵格局。</w:t>
      </w:r>
    </w:p>
    <w:p w14:paraId="4D04893D">
      <w:pPr>
        <w:bidi w:val="0"/>
        <w:rPr>
          <w:rFonts w:hint="eastAsia" w:ascii="仿宋_GB2312" w:hAnsi="仿宋_GB2312" w:eastAsia="仿宋_GB2312" w:cs="仿宋_GB2312"/>
          <w:b/>
          <w:bCs/>
        </w:rPr>
      </w:pPr>
      <w:r>
        <w:rPr>
          <w:rFonts w:hint="eastAsia" w:ascii="仿宋_GB2312" w:hAnsi="仿宋_GB2312" w:eastAsia="仿宋_GB2312" w:cs="仿宋_GB2312"/>
          <w:b/>
          <w:bCs/>
        </w:rPr>
        <w:t>二、健全便捷高效的农业社会化服务体系</w:t>
      </w:r>
    </w:p>
    <w:p w14:paraId="193085D2">
      <w:pPr>
        <w:bidi w:val="0"/>
        <w:rPr>
          <w:rFonts w:hint="eastAsia" w:ascii="仿宋_GB2312" w:hAnsi="仿宋_GB2312" w:eastAsia="仿宋_GB2312" w:cs="仿宋_GB2312"/>
          <w:lang w:val="en-US" w:eastAsia="zh-CN"/>
        </w:rPr>
      </w:pPr>
      <w:r>
        <w:rPr>
          <w:rFonts w:hint="eastAsia" w:ascii="仿宋_GB2312" w:hAnsi="仿宋_GB2312" w:eastAsia="仿宋_GB2312" w:cs="仿宋_GB2312"/>
          <w:b/>
          <w:bCs/>
          <w:lang w:val="en-US" w:eastAsia="zh-CN"/>
        </w:rPr>
        <w:t>推动农业社会化服务提质扩面。</w:t>
      </w:r>
      <w:r>
        <w:rPr>
          <w:rFonts w:hint="eastAsia" w:ascii="仿宋_GB2312" w:hAnsi="仿宋_GB2312" w:eastAsia="仿宋_GB2312" w:cs="仿宋_GB2312"/>
          <w:lang w:val="en-US" w:eastAsia="zh-CN"/>
        </w:rPr>
        <w:t>加强农业社会化服务主体能力建设，围绕农民合作社、服务专业户、专业服务公司、农村集体经济组织、供销合作社等各类主体，建立优质服务主体管理名录，引导其与科研机构、金融机构深度合作，提升服务能力，探索创新服务模式和机制。引导各类涉农主体拓展至社会化服务领域，推动服务由粮油作物向经济作物、畜禽水产养殖等领域延伸，由产中向产前、产后环节覆盖，探索开展畜禽粪污资源化利用社会化服务模式示范。创新金融赋能服务，探索“粮食仓单收储质押”试点，盘活静态储粮流动资金。以农机社会服务体系建设为抓手，推广单环节、多环节托管、订单农业等服务模式，依托农业社会化服务中心搭建农业生产“大托管”服务平台，联动乡镇托管服务站，提供耕、种、收、产、储、销等全产业链托管服务，全市</w:t>
      </w:r>
      <w:r>
        <w:rPr>
          <w:rFonts w:hint="eastAsia" w:ascii="仿宋_GB2312" w:hAnsi="仿宋_GB2312" w:eastAsia="仿宋_GB2312" w:cs="仿宋_GB2312"/>
        </w:rPr>
        <w:t>托管面积</w:t>
      </w:r>
      <w:r>
        <w:rPr>
          <w:rFonts w:hint="eastAsia" w:ascii="仿宋_GB2312" w:hAnsi="仿宋_GB2312" w:eastAsia="仿宋_GB2312" w:cs="仿宋_GB2312"/>
          <w:lang w:val="en-US" w:eastAsia="zh-CN"/>
        </w:rPr>
        <w:t>稳定在200</w:t>
      </w:r>
      <w:r>
        <w:rPr>
          <w:rFonts w:hint="eastAsia" w:ascii="仿宋_GB2312" w:hAnsi="仿宋_GB2312" w:eastAsia="仿宋_GB2312" w:cs="仿宋_GB2312"/>
        </w:rPr>
        <w:t>万亩以上</w:t>
      </w:r>
      <w:r>
        <w:rPr>
          <w:rFonts w:hint="eastAsia" w:ascii="仿宋_GB2312" w:hAnsi="仿宋_GB2312" w:eastAsia="仿宋_GB2312" w:cs="仿宋_GB2312"/>
          <w:lang w:val="en-US" w:eastAsia="zh-CN"/>
        </w:rPr>
        <w:t>。</w:t>
      </w:r>
    </w:p>
    <w:p w14:paraId="3968CD55">
      <w:pPr>
        <w:bidi w:val="0"/>
        <w:rPr>
          <w:rFonts w:hint="eastAsia" w:ascii="仿宋_GB2312" w:hAnsi="仿宋_GB2312" w:eastAsia="仿宋_GB2312" w:cs="仿宋_GB2312"/>
          <w:lang w:val="en-US" w:eastAsia="zh-CN"/>
        </w:rPr>
      </w:pPr>
      <w:r>
        <w:rPr>
          <w:rFonts w:hint="eastAsia" w:ascii="仿宋_GB2312" w:hAnsi="仿宋_GB2312" w:eastAsia="仿宋_GB2312" w:cs="仿宋_GB2312"/>
          <w:b/>
          <w:bCs/>
          <w:lang w:val="en-US" w:eastAsia="zh-CN"/>
        </w:rPr>
        <w:t>健全新型农业基层指导服务体系。</w:t>
      </w:r>
      <w:r>
        <w:rPr>
          <w:rFonts w:hint="eastAsia" w:ascii="仿宋_GB2312" w:hAnsi="仿宋_GB2312" w:eastAsia="仿宋_GB2312" w:cs="仿宋_GB2312"/>
          <w:sz w:val="32"/>
          <w:szCs w:val="32"/>
          <w:lang w:val="en-US" w:eastAsia="zh-CN"/>
        </w:rPr>
        <w:t>以全国供销合作社“绿色农资”升级行动试点县为抓手，</w:t>
      </w:r>
      <w:r>
        <w:rPr>
          <w:rFonts w:hint="default" w:ascii="Times New Roman" w:hAnsi="Times New Roman" w:eastAsia="仿宋_GB2312" w:cs="Times New Roman"/>
          <w:color w:val="000000"/>
          <w:kern w:val="2"/>
          <w:sz w:val="32"/>
          <w:szCs w:val="32"/>
          <w:u w:val="none"/>
          <w:lang w:val="en-US" w:eastAsia="zh-CN" w:bidi="ar-SA"/>
        </w:rPr>
        <w:t>深化</w:t>
      </w:r>
      <w:r>
        <w:rPr>
          <w:rFonts w:hint="eastAsia" w:ascii="Times New Roman" w:hAnsi="Times New Roman" w:cs="Times New Roman"/>
          <w:color w:val="000000"/>
          <w:kern w:val="2"/>
          <w:sz w:val="32"/>
          <w:szCs w:val="32"/>
          <w:u w:val="none"/>
          <w:lang w:val="en-US" w:eastAsia="zh-CN" w:bidi="ar-SA"/>
        </w:rPr>
        <w:t>供销合作社综合改革</w:t>
      </w:r>
      <w:r>
        <w:rPr>
          <w:rFonts w:hint="default" w:ascii="Times New Roman" w:hAnsi="Times New Roman" w:eastAsia="仿宋_GB2312" w:cs="Times New Roman"/>
          <w:color w:val="000000"/>
          <w:kern w:val="2"/>
          <w:sz w:val="32"/>
          <w:szCs w:val="32"/>
          <w:u w:val="none"/>
          <w:lang w:eastAsia="zh-CN" w:bidi="ar-SA"/>
        </w:rPr>
        <w:t>，</w:t>
      </w:r>
      <w:r>
        <w:rPr>
          <w:rFonts w:hint="eastAsia" w:ascii="Times New Roman" w:hAnsi="Times New Roman" w:cs="Times New Roman"/>
          <w:color w:val="000000"/>
          <w:kern w:val="2"/>
          <w:sz w:val="32"/>
          <w:szCs w:val="32"/>
          <w:u w:val="none"/>
          <w:lang w:val="en-US" w:eastAsia="zh-CN" w:bidi="ar-SA"/>
        </w:rPr>
        <w:t>发展农业适度规模经营，</w:t>
      </w:r>
      <w:r>
        <w:rPr>
          <w:rFonts w:hint="eastAsia" w:ascii="仿宋_GB2312" w:hAnsi="仿宋_GB2312" w:cs="仿宋_GB2312"/>
          <w:sz w:val="32"/>
          <w:szCs w:val="32"/>
          <w:lang w:val="en-US" w:eastAsia="zh-CN"/>
        </w:rPr>
        <w:t>深化</w:t>
      </w:r>
      <w:r>
        <w:rPr>
          <w:rFonts w:hint="eastAsia" w:ascii="仿宋_GB2312" w:hAnsi="仿宋_GB2312" w:eastAsia="仿宋_GB2312" w:cs="仿宋_GB2312"/>
          <w:sz w:val="32"/>
          <w:szCs w:val="32"/>
          <w:lang w:val="en-US" w:eastAsia="zh-CN"/>
        </w:rPr>
        <w:t>“基层供销社+专业合作社”两社融合发展</w:t>
      </w:r>
      <w:r>
        <w:rPr>
          <w:rFonts w:hint="eastAsia" w:ascii="仿宋_GB2312" w:hAnsi="仿宋_GB2312" w:cs="仿宋_GB2312"/>
          <w:sz w:val="32"/>
          <w:szCs w:val="32"/>
          <w:lang w:val="en-US" w:eastAsia="zh-CN"/>
        </w:rPr>
        <w:t>模式</w:t>
      </w:r>
      <w:r>
        <w:rPr>
          <w:rFonts w:hint="eastAsia" w:ascii="仿宋_GB2312" w:hAnsi="仿宋_GB2312" w:eastAsia="仿宋_GB2312" w:cs="仿宋_GB2312"/>
          <w:sz w:val="32"/>
          <w:szCs w:val="32"/>
          <w:lang w:val="en-US" w:eastAsia="zh-CN"/>
        </w:rPr>
        <w:t>，</w:t>
      </w:r>
      <w:r>
        <w:rPr>
          <w:rFonts w:hint="eastAsia" w:ascii="仿宋_GB2312" w:hAnsi="仿宋_GB2312" w:cs="仿宋_GB2312"/>
          <w:sz w:val="32"/>
          <w:szCs w:val="32"/>
          <w:lang w:val="en-US" w:eastAsia="zh-CN"/>
        </w:rPr>
        <w:t>完善</w:t>
      </w:r>
      <w:r>
        <w:rPr>
          <w:rFonts w:hint="eastAsia" w:ascii="仿宋_GB2312" w:hAnsi="仿宋_GB2312" w:eastAsia="仿宋_GB2312" w:cs="仿宋_GB2312"/>
          <w:sz w:val="32"/>
          <w:szCs w:val="32"/>
          <w:lang w:val="en-US" w:eastAsia="zh-CN"/>
        </w:rPr>
        <w:t>市域“为农综合服务中心+综合服务站”</w:t>
      </w:r>
      <w:r>
        <w:rPr>
          <w:rFonts w:hint="eastAsia" w:ascii="仿宋_GB2312" w:hAnsi="仿宋_GB2312" w:cs="仿宋_GB2312"/>
          <w:sz w:val="32"/>
          <w:szCs w:val="32"/>
          <w:lang w:val="en-US" w:eastAsia="zh-CN"/>
        </w:rPr>
        <w:t>现代</w:t>
      </w:r>
      <w:r>
        <w:rPr>
          <w:rFonts w:hint="eastAsia" w:ascii="仿宋_GB2312" w:hAnsi="仿宋_GB2312" w:eastAsia="仿宋_GB2312" w:cs="仿宋_GB2312"/>
          <w:sz w:val="32"/>
          <w:szCs w:val="32"/>
          <w:lang w:val="en-US" w:eastAsia="zh-CN"/>
        </w:rPr>
        <w:t>农业社会化服务体系，提升平台服务能级，</w:t>
      </w:r>
      <w:r>
        <w:rPr>
          <w:rFonts w:hint="default" w:ascii="Times New Roman" w:hAnsi="Times New Roman" w:eastAsia="仿宋_GB2312" w:cs="Times New Roman"/>
          <w:color w:val="000000"/>
          <w:kern w:val="2"/>
          <w:sz w:val="32"/>
          <w:szCs w:val="32"/>
          <w:u w:val="none"/>
          <w:lang w:val="en-US" w:eastAsia="zh-CN" w:bidi="ar-SA"/>
        </w:rPr>
        <w:t>促进小农户和现代农业发展有机衔接</w:t>
      </w:r>
      <w:r>
        <w:rPr>
          <w:rFonts w:hint="eastAsia" w:ascii="Times New Roman" w:hAnsi="Times New Roman" w:cs="Times New Roman"/>
          <w:color w:val="000000"/>
          <w:kern w:val="2"/>
          <w:sz w:val="32"/>
          <w:szCs w:val="32"/>
          <w:u w:val="none"/>
          <w:lang w:val="en-US" w:eastAsia="zh-CN" w:bidi="ar-SA"/>
        </w:rPr>
        <w:t>，</w:t>
      </w:r>
      <w:r>
        <w:rPr>
          <w:rFonts w:hint="eastAsia" w:ascii="仿宋_GB2312" w:hAnsi="仿宋_GB2312" w:eastAsia="仿宋_GB2312" w:cs="仿宋_GB2312"/>
          <w:sz w:val="32"/>
          <w:szCs w:val="32"/>
          <w:lang w:val="en-US" w:eastAsia="zh-CN"/>
        </w:rPr>
        <w:t>打造辐射三江平原的区域性农业社会化服务中心和农服平台。以专业技术人员、村组干部、新型农业经营主体带头人、农业乡土专家等为重点，建强全市新型农业经营主体辅导员队伍，建立健全辅导员名录库，定期开展培训，依托为农综合服务中心，加强辅导员信息交流与资源共享，为行业检测和业务协调提供支持，构建由“服务中心+辅导员”组成的富锦新型农业基层指导服务体系。</w:t>
      </w:r>
    </w:p>
    <w:tbl>
      <w:tblPr>
        <w:tblStyle w:val="20"/>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274BD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00DB958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黑体" w:cs="Times New Roman"/>
                <w:sz w:val="24"/>
              </w:rPr>
            </w:pPr>
            <w:r>
              <w:rPr>
                <w:rFonts w:hint="eastAsia" w:ascii="黑体" w:hAnsi="黑体" w:eastAsia="黑体" w:cs="黑体"/>
                <w:sz w:val="24"/>
                <w:szCs w:val="22"/>
              </w:rPr>
              <w:t>专栏3-6  农业规模经营重点工程</w:t>
            </w:r>
          </w:p>
        </w:tc>
      </w:tr>
      <w:tr w14:paraId="2243E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556C3B77">
            <w:pPr>
              <w:pStyle w:val="8"/>
              <w:bidi w:val="0"/>
            </w:pPr>
            <w:r>
              <w:rPr>
                <w:rFonts w:hint="eastAsia" w:ascii="楷体_GB2312" w:hAnsi="楷体_GB2312" w:eastAsia="楷体_GB2312" w:cs="楷体_GB2312"/>
                <w:b/>
                <w:bCs/>
              </w:rPr>
              <w:t>1.新型经营主体培育壮大工程。</w:t>
            </w:r>
            <w:r>
              <w:rPr>
                <w:rFonts w:hint="eastAsia"/>
                <w:lang w:val="en-US" w:eastAsia="zh-CN"/>
              </w:rPr>
              <w:t>落实</w:t>
            </w:r>
            <w:r>
              <w:rPr>
                <w:rFonts w:hint="eastAsia"/>
              </w:rPr>
              <w:t>家庭农场高质量发展培育计划</w:t>
            </w:r>
            <w:r>
              <w:t>，</w:t>
            </w:r>
            <w:r>
              <w:rPr>
                <w:rFonts w:hint="eastAsia"/>
              </w:rPr>
              <w:t>开展示范家庭农场创建。培育一批</w:t>
            </w:r>
            <w:r>
              <w:rPr>
                <w:rFonts w:hint="eastAsia"/>
                <w:lang w:val="en-US" w:eastAsia="zh-CN"/>
              </w:rPr>
              <w:t>国省</w:t>
            </w:r>
            <w:r>
              <w:rPr>
                <w:rFonts w:hint="eastAsia"/>
              </w:rPr>
              <w:t>市级示范家庭农场、示范合作社、农业产业化联合体和多元化农业服务</w:t>
            </w:r>
            <w:r>
              <w:rPr>
                <w:rFonts w:hint="eastAsia"/>
                <w:lang w:val="en-US" w:eastAsia="zh-CN"/>
              </w:rPr>
              <w:t>组织</w:t>
            </w:r>
            <w:r>
              <w:rPr>
                <w:rFonts w:hint="eastAsia"/>
              </w:rPr>
              <w:t>。</w:t>
            </w:r>
            <w:r>
              <w:rPr>
                <w:rFonts w:hint="eastAsia"/>
                <w:lang w:val="en-US" w:eastAsia="zh-CN"/>
              </w:rPr>
              <w:t>加快建设</w:t>
            </w:r>
            <w:r>
              <w:rPr>
                <w:rFonts w:hint="eastAsia"/>
              </w:rPr>
              <w:t>农民田间学校和高素质农民实训基地。</w:t>
            </w:r>
          </w:p>
          <w:p w14:paraId="074185E6">
            <w:pPr>
              <w:pStyle w:val="8"/>
              <w:bidi w:val="0"/>
              <w:rPr>
                <w:rFonts w:hint="default" w:ascii="Times New Roman" w:hAnsi="Times New Roman" w:eastAsia="楷体_GB2312" w:cs="Times New Roman"/>
                <w:lang w:val="en-US" w:eastAsia="zh-CN"/>
              </w:rPr>
            </w:pPr>
            <w:r>
              <w:rPr>
                <w:rFonts w:hint="eastAsia" w:ascii="楷体_GB2312" w:hAnsi="楷体_GB2312" w:eastAsia="楷体_GB2312" w:cs="楷体_GB2312"/>
                <w:b/>
                <w:bCs/>
              </w:rPr>
              <w:t>2.农业社会化服务提升工程。</w:t>
            </w:r>
            <w:r>
              <w:rPr>
                <w:rFonts w:hint="eastAsia" w:ascii="楷体_GB2312" w:hAnsi="楷体_GB2312" w:eastAsia="楷体_GB2312" w:cs="楷体_GB2312"/>
              </w:rPr>
              <w:t>建立富锦市优质农业社会化服务主体管理名录。探索</w:t>
            </w:r>
            <w:r>
              <w:rPr>
                <w:rFonts w:hint="eastAsia" w:ascii="楷体_GB2312" w:hAnsi="楷体_GB2312" w:eastAsia="楷体_GB2312" w:cs="楷体_GB2312"/>
                <w:lang w:val="en-US" w:eastAsia="zh-CN"/>
              </w:rPr>
              <w:t>开展</w:t>
            </w:r>
            <w:r>
              <w:rPr>
                <w:rFonts w:hint="eastAsia" w:ascii="楷体_GB2312" w:hAnsi="楷体_GB2312" w:eastAsia="楷体_GB2312" w:cs="楷体_GB2312"/>
              </w:rPr>
              <w:t>畜禽粪污资源化利用社会化服务</w:t>
            </w:r>
            <w:r>
              <w:rPr>
                <w:rFonts w:hint="eastAsia" w:ascii="楷体_GB2312" w:hAnsi="楷体_GB2312" w:eastAsia="楷体_GB2312" w:cs="楷体_GB2312"/>
                <w:lang w:val="en-US" w:eastAsia="zh-CN"/>
              </w:rPr>
              <w:t>模式示范</w:t>
            </w:r>
            <w:r>
              <w:rPr>
                <w:rFonts w:hint="eastAsia" w:ascii="楷体_GB2312" w:hAnsi="楷体_GB2312" w:eastAsia="楷体_GB2312" w:cs="楷体_GB2312"/>
              </w:rPr>
              <w:t>。</w:t>
            </w:r>
            <w:r>
              <w:rPr>
                <w:rFonts w:hint="eastAsia" w:ascii="楷体_GB2312" w:hAnsi="楷体_GB2312" w:eastAsia="楷体_GB2312" w:cs="楷体_GB2312"/>
                <w:lang w:val="en-US" w:eastAsia="zh-CN"/>
              </w:rPr>
              <w:t>探索</w:t>
            </w:r>
            <w:r>
              <w:rPr>
                <w:rFonts w:hint="eastAsia" w:ascii="楷体_GB2312" w:hAnsi="楷体_GB2312" w:eastAsia="楷体_GB2312" w:cs="楷体_GB2312"/>
              </w:rPr>
              <w:t>“粮食仓单收储质押”试点。</w:t>
            </w:r>
            <w:r>
              <w:rPr>
                <w:rFonts w:hint="eastAsia" w:ascii="楷体_GB2312" w:hAnsi="楷体_GB2312" w:eastAsia="楷体_GB2312" w:cs="楷体_GB2312"/>
                <w:lang w:val="en-US" w:eastAsia="zh-CN"/>
              </w:rPr>
              <w:t>依托农业社会化服务中心搭建农业生产“大托管”服务平台，联动乡镇托管服务站，提供耕、种、收、产、储、销等全产业链托管服务。支持农业产业化龙头企业、农业专业合作社打造一批可视化、可追溯的定制农业标准化示范基地。健全</w:t>
            </w:r>
            <w:r>
              <w:rPr>
                <w:rFonts w:hint="eastAsia" w:ascii="楷体_GB2312" w:hAnsi="楷体_GB2312" w:eastAsia="楷体_GB2312" w:cs="楷体_GB2312"/>
              </w:rPr>
              <w:t>“为农综合服务中心+综合服务站”</w:t>
            </w:r>
            <w:r>
              <w:rPr>
                <w:rFonts w:hint="eastAsia" w:ascii="楷体_GB2312" w:hAnsi="楷体_GB2312" w:eastAsia="楷体_GB2312" w:cs="楷体_GB2312"/>
                <w:lang w:val="en-US" w:eastAsia="zh-CN"/>
              </w:rPr>
              <w:t>市域农业社会化</w:t>
            </w:r>
            <w:r>
              <w:rPr>
                <w:rFonts w:hint="eastAsia" w:ascii="楷体_GB2312" w:hAnsi="楷体_GB2312" w:eastAsia="楷体_GB2312" w:cs="楷体_GB2312"/>
              </w:rPr>
              <w:t>服务体系，打造辐射三江平原的区域性农业社会化</w:t>
            </w:r>
            <w:r>
              <w:rPr>
                <w:rFonts w:hint="eastAsia" w:ascii="楷体_GB2312" w:hAnsi="楷体_GB2312" w:eastAsia="楷体_GB2312" w:cs="楷体_GB2312"/>
                <w:lang w:val="en-US" w:eastAsia="zh-CN"/>
              </w:rPr>
              <w:t>服务中心和农服平台</w:t>
            </w:r>
            <w:r>
              <w:rPr>
                <w:rFonts w:hint="eastAsia" w:ascii="楷体_GB2312" w:hAnsi="楷体_GB2312" w:eastAsia="楷体_GB2312" w:cs="楷体_GB2312"/>
              </w:rPr>
              <w:t>。</w:t>
            </w:r>
            <w:r>
              <w:rPr>
                <w:rFonts w:hint="eastAsia" w:ascii="楷体_GB2312" w:hAnsi="楷体_GB2312" w:eastAsia="楷体_GB2312" w:cs="楷体_GB2312"/>
                <w:lang w:val="en-US" w:eastAsia="zh-CN"/>
              </w:rPr>
              <w:t>实施2026年农业社会化服务项目，开展素质培训、生资集采、“耕、种、防、收”多环节的服务作业，预计2026年“耕、种、防、收”多环节的服务作业托管面积达130万亩。</w:t>
            </w:r>
          </w:p>
        </w:tc>
      </w:tr>
    </w:tbl>
    <w:p w14:paraId="604C9B41">
      <w:pPr>
        <w:pStyle w:val="3"/>
        <w:keepNext w:val="0"/>
        <w:keepLines w:val="0"/>
        <w:widowControl/>
        <w:spacing w:line="240" w:lineRule="auto"/>
        <w:ind w:left="0" w:leftChars="0" w:firstLine="0" w:firstLineChars="0"/>
        <w:jc w:val="center"/>
        <w:rPr>
          <w:rFonts w:ascii="Times New Roman" w:hAnsi="Times New Roman" w:eastAsia="楷体_GB2312" w:cs="楷体_GB2312"/>
        </w:rPr>
      </w:pPr>
      <w:bookmarkStart w:id="20" w:name="_Toc3202"/>
      <w:r>
        <w:rPr>
          <w:rFonts w:hint="eastAsia" w:ascii="Times New Roman" w:hAnsi="Times New Roman" w:eastAsia="楷体_GB2312" w:cs="楷体_GB2312"/>
        </w:rPr>
        <w:t>第</w:t>
      </w:r>
      <w:r>
        <w:rPr>
          <w:rFonts w:hint="eastAsia" w:ascii="Times New Roman" w:hAnsi="Times New Roman" w:cs="楷体_GB2312"/>
          <w:lang w:val="en-US" w:eastAsia="zh-CN"/>
        </w:rPr>
        <w:t>七</w:t>
      </w:r>
      <w:r>
        <w:rPr>
          <w:rFonts w:hint="eastAsia" w:ascii="Times New Roman" w:hAnsi="Times New Roman" w:eastAsia="楷体_GB2312" w:cs="楷体_GB2312"/>
        </w:rPr>
        <w:t xml:space="preserve">节  </w:t>
      </w:r>
      <w:r>
        <w:rPr>
          <w:rFonts w:hint="eastAsia" w:ascii="Times New Roman" w:hAnsi="Times New Roman" w:eastAsia="楷体_GB2312" w:cs="楷体_GB2312"/>
          <w:lang w:val="en-US" w:eastAsia="zh-CN"/>
        </w:rPr>
        <w:t>高质量推进宜居宜业和美乡村建设</w:t>
      </w:r>
      <w:bookmarkEnd w:id="20"/>
    </w:p>
    <w:p w14:paraId="15E45D23">
      <w:pPr>
        <w:bidi w:val="0"/>
        <w:rPr>
          <w:rFonts w:hint="eastAsia"/>
          <w:lang w:val="en-US" w:eastAsia="zh-CN"/>
        </w:rPr>
      </w:pPr>
      <w:r>
        <w:rPr>
          <w:rFonts w:hint="default"/>
          <w:lang w:eastAsia="zh-CN"/>
        </w:rPr>
        <w:t>充分</w:t>
      </w:r>
      <w:r>
        <w:rPr>
          <w:rFonts w:hint="default"/>
          <w:lang w:val="en-US" w:eastAsia="zh-CN"/>
        </w:rPr>
        <w:t>学习借鉴</w:t>
      </w:r>
      <w:r>
        <w:rPr>
          <w:rFonts w:hint="eastAsia"/>
          <w:lang w:val="en-US" w:eastAsia="zh-CN"/>
        </w:rPr>
        <w:t>“</w:t>
      </w:r>
      <w:r>
        <w:rPr>
          <w:rFonts w:hint="default"/>
          <w:lang w:val="en-US" w:eastAsia="zh-CN"/>
        </w:rPr>
        <w:t>千万工程</w:t>
      </w:r>
      <w:r>
        <w:rPr>
          <w:rFonts w:hint="eastAsia"/>
          <w:lang w:val="en-US" w:eastAsia="zh-CN"/>
        </w:rPr>
        <w:t>”</w:t>
      </w:r>
      <w:r>
        <w:rPr>
          <w:rFonts w:hint="default"/>
          <w:lang w:val="en-US" w:eastAsia="zh-CN"/>
        </w:rPr>
        <w:t>经验，因地制宜完善乡村建设实施机制，逐步提高农村基础设施完备度、公共服务便利度、人居环境舒适度，推动农村基本具备现代生活条件。</w:t>
      </w:r>
    </w:p>
    <w:p w14:paraId="01A06ED7">
      <w:pPr>
        <w:ind w:firstLine="643" w:firstLineChars="200"/>
        <w:rPr>
          <w:rFonts w:hint="default" w:ascii="仿宋" w:hAnsi="仿宋" w:eastAsia="仿宋" w:cs="仿宋_GB2312"/>
          <w:b/>
          <w:kern w:val="0"/>
          <w:sz w:val="32"/>
          <w:szCs w:val="32"/>
          <w:lang w:val="en-US" w:eastAsia="zh-CN"/>
        </w:rPr>
      </w:pPr>
      <w:r>
        <w:rPr>
          <w:rFonts w:hint="eastAsia" w:ascii="仿宋" w:hAnsi="仿宋" w:cs="仿宋_GB2312"/>
          <w:b/>
          <w:kern w:val="0"/>
          <w:sz w:val="32"/>
          <w:szCs w:val="32"/>
          <w:lang w:val="en-US" w:eastAsia="zh-CN"/>
        </w:rPr>
        <w:t>一、全面改善农村人居环境</w:t>
      </w:r>
    </w:p>
    <w:p w14:paraId="28BB71D8">
      <w:pPr>
        <w:bidi w:val="0"/>
        <w:rPr>
          <w:rFonts w:hint="eastAsia"/>
          <w:lang w:eastAsia="zh-CN"/>
        </w:rPr>
      </w:pPr>
      <w:r>
        <w:rPr>
          <w:rFonts w:hint="eastAsia"/>
          <w:b/>
          <w:bCs/>
          <w:lang w:val="en-US" w:eastAsia="zh-CN"/>
        </w:rPr>
        <w:t>持续整治提升农村人居环境</w:t>
      </w:r>
      <w:r>
        <w:rPr>
          <w:rFonts w:hint="eastAsia"/>
          <w:b/>
          <w:bCs/>
        </w:rPr>
        <w:t>。</w:t>
      </w:r>
      <w:r>
        <w:rPr>
          <w:rFonts w:hint="eastAsia"/>
        </w:rPr>
        <w:t>统筹推进农村生活污水治理与农村改厕有效衔接，实施村庄生活污水治理工程</w:t>
      </w:r>
      <w:r>
        <w:rPr>
          <w:rFonts w:hint="eastAsia"/>
          <w:lang w:eastAsia="zh-CN"/>
        </w:rPr>
        <w:t>，</w:t>
      </w:r>
      <w:r>
        <w:rPr>
          <w:rFonts w:hint="default" w:ascii="Times New Roman" w:hAnsi="Times New Roman" w:eastAsia="仿宋_GB2312" w:cs="Times New Roman"/>
          <w:color w:val="000000"/>
          <w:kern w:val="2"/>
          <w:sz w:val="34"/>
          <w:szCs w:val="34"/>
          <w:u w:val="none"/>
          <w:lang w:val="en-US" w:eastAsia="zh-CN" w:bidi="ar-SA"/>
        </w:rPr>
        <w:t>探索推广适宜北方寒地改厕模式，提升农村改厕管护水平</w:t>
      </w:r>
      <w:r>
        <w:rPr>
          <w:rFonts w:hint="eastAsia"/>
        </w:rPr>
        <w:t>。完善农村生活垃圾“收转运”体系，全面推进生活垃圾治理，提升垃圾治理水平。强化畜禽粪污资源化利用，提高畜禽粪污利用率，有序改善农业生态环境。因地制宜开展村庄绿化，加大村屯公共空间和庭院环境整治力度，营造干净、便捷、美丽、安全的农村人居环境。</w:t>
      </w:r>
      <w:r>
        <w:t>扎实推进全省</w:t>
      </w:r>
      <w:r>
        <w:rPr>
          <w:rFonts w:hint="eastAsia"/>
        </w:rPr>
        <w:t>“</w:t>
      </w:r>
      <w:r>
        <w:t>百村精品、千村示范、万村创建</w:t>
      </w:r>
      <w:r>
        <w:rPr>
          <w:rFonts w:hint="eastAsia"/>
        </w:rPr>
        <w:t>”工程</w:t>
      </w:r>
      <w:r>
        <w:t>，</w:t>
      </w:r>
      <w:r>
        <w:rPr>
          <w:rFonts w:hint="eastAsia"/>
        </w:rPr>
        <w:t>持续推进美丽宜居示范镇、示范村建设</w:t>
      </w:r>
      <w:r>
        <w:rPr>
          <w:rFonts w:hint="eastAsia"/>
          <w:lang w:eastAsia="zh-CN"/>
        </w:rPr>
        <w:t>。</w:t>
      </w:r>
    </w:p>
    <w:p w14:paraId="5D8159A0">
      <w:pPr>
        <w:bidi w:val="0"/>
        <w:rPr>
          <w:rFonts w:hint="eastAsia"/>
        </w:rPr>
      </w:pPr>
      <w:r>
        <w:rPr>
          <w:rFonts w:hint="eastAsia"/>
          <w:b/>
          <w:bCs/>
        </w:rPr>
        <w:t>强化乡村风貌保护塑造。</w:t>
      </w:r>
      <w:r>
        <w:rPr>
          <w:rFonts w:hint="eastAsia"/>
        </w:rPr>
        <w:t>保留乡村历史风貌，承载乡土文化，挖掘传统村落资源，加强乡村文化遗产保护传承和活化利用，深入实施乡村文物保护工程。传承农村地区传统制作技艺及相关产品，培育工匠精神，弘扬优秀农耕文化和乡风民俗。</w:t>
      </w:r>
    </w:p>
    <w:p w14:paraId="39CFB333">
      <w:pPr>
        <w:bidi w:val="0"/>
        <w:rPr>
          <w:rFonts w:hint="eastAsia" w:ascii="仿宋_GB2312" w:hAnsi="仿宋_GB2312" w:eastAsia="仿宋_GB2312" w:cs="仿宋_GB2312"/>
          <w:b/>
          <w:bCs/>
          <w:lang w:val="en-US" w:eastAsia="zh-CN"/>
        </w:rPr>
      </w:pPr>
      <w:r>
        <w:rPr>
          <w:rFonts w:hint="eastAsia" w:ascii="仿宋_GB2312" w:hAnsi="仿宋_GB2312" w:eastAsia="仿宋_GB2312" w:cs="仿宋_GB2312"/>
          <w:b/>
          <w:bCs/>
          <w:lang w:val="en-US" w:eastAsia="zh-CN"/>
        </w:rPr>
        <w:t>二、优化乡村公共资源配置</w:t>
      </w:r>
    </w:p>
    <w:p w14:paraId="2484D18C">
      <w:pPr>
        <w:bidi w:val="0"/>
        <w:rPr>
          <w:rFonts w:hint="eastAsia" w:ascii="仿宋_GB2312" w:hAnsi="仿宋_GB2312" w:eastAsia="仿宋_GB2312" w:cs="仿宋_GB2312"/>
        </w:rPr>
      </w:pPr>
      <w:r>
        <w:rPr>
          <w:rFonts w:hint="eastAsia" w:ascii="仿宋_GB2312" w:hAnsi="仿宋_GB2312" w:eastAsia="仿宋_GB2312" w:cs="仿宋_GB2312"/>
          <w:b/>
          <w:bCs/>
          <w:lang w:val="en-US" w:eastAsia="zh-CN"/>
        </w:rPr>
        <w:t>加强</w:t>
      </w:r>
      <w:r>
        <w:rPr>
          <w:rFonts w:hint="eastAsia" w:ascii="仿宋_GB2312" w:hAnsi="仿宋_GB2312" w:eastAsia="仿宋_GB2312" w:cs="仿宋_GB2312"/>
          <w:b/>
          <w:bCs/>
        </w:rPr>
        <w:t>农村基础设施建设。</w:t>
      </w:r>
      <w:r>
        <w:rPr>
          <w:rFonts w:hint="eastAsia" w:ascii="仿宋_GB2312" w:hAnsi="仿宋_GB2312" w:eastAsia="仿宋_GB2312" w:cs="仿宋_GB2312"/>
        </w:rPr>
        <w:t>推动基础设施向农村延伸，实施农村道路畅通工程，持续提升改造农村公路。强化农村防汛抗旱和供水保障，加快推进农村供水保障工程项目</w:t>
      </w:r>
      <w:r>
        <w:rPr>
          <w:rFonts w:hint="eastAsia" w:ascii="仿宋_GB2312" w:hAnsi="仿宋_GB2312" w:eastAsia="仿宋_GB2312" w:cs="仿宋_GB2312"/>
          <w:lang w:val="en-US" w:eastAsia="zh-CN"/>
        </w:rPr>
        <w:t>和</w:t>
      </w:r>
      <w:r>
        <w:rPr>
          <w:rFonts w:hint="eastAsia" w:ascii="仿宋_GB2312" w:hAnsi="仿宋_GB2312" w:eastAsia="仿宋_GB2312" w:cs="仿宋_GB2312"/>
        </w:rPr>
        <w:t>农村饮水工程维修养护项目</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加强老旧供水管网改造及后续运营管理</w:t>
      </w:r>
      <w:r>
        <w:rPr>
          <w:rFonts w:hint="eastAsia" w:ascii="仿宋_GB2312" w:hAnsi="仿宋_GB2312" w:eastAsia="仿宋_GB2312" w:cs="仿宋_GB2312"/>
        </w:rPr>
        <w:t>。提速新一轮农村电网升级改造，推进农村通讯基础设施建设，完善5G基站建设。巩固乡镇和建制村通客车成果，推进农村客货邮融合发展。持续深化快递进村，</w:t>
      </w:r>
      <w:r>
        <w:rPr>
          <w:rFonts w:hint="eastAsia" w:ascii="仿宋_GB2312" w:hAnsi="仿宋_GB2312" w:cs="仿宋_GB2312"/>
          <w:lang w:val="en-US" w:eastAsia="zh-CN"/>
        </w:rPr>
        <w:t>推进</w:t>
      </w:r>
      <w:r>
        <w:rPr>
          <w:rFonts w:hint="eastAsia" w:ascii="仿宋_GB2312" w:hAnsi="仿宋_GB2312" w:eastAsia="仿宋_GB2312" w:cs="仿宋_GB2312"/>
        </w:rPr>
        <w:t>村级寄递物流综合服务站建设。</w:t>
      </w:r>
    </w:p>
    <w:p w14:paraId="65745A53">
      <w:pPr>
        <w:bidi w:val="0"/>
        <w:rPr>
          <w:rFonts w:hint="eastAsia" w:ascii="仿宋_GB2312" w:hAnsi="仿宋_GB2312" w:eastAsia="仿宋_GB2312" w:cs="仿宋_GB2312"/>
        </w:rPr>
      </w:pPr>
      <w:r>
        <w:rPr>
          <w:rFonts w:hint="eastAsia" w:ascii="仿宋_GB2312" w:hAnsi="仿宋_GB2312" w:eastAsia="仿宋_GB2312" w:cs="仿宋_GB2312"/>
          <w:b/>
          <w:bCs/>
        </w:rPr>
        <w:t>提高农村公共服务</w:t>
      </w:r>
      <w:r>
        <w:rPr>
          <w:rFonts w:hint="eastAsia" w:ascii="仿宋_GB2312" w:hAnsi="仿宋_GB2312" w:eastAsia="仿宋_GB2312" w:cs="仿宋_GB2312"/>
          <w:b/>
          <w:bCs/>
          <w:lang w:val="en-US" w:eastAsia="zh-CN"/>
        </w:rPr>
        <w:t>便利度</w:t>
      </w:r>
      <w:r>
        <w:rPr>
          <w:rFonts w:hint="eastAsia" w:ascii="仿宋_GB2312" w:hAnsi="仿宋_GB2312" w:eastAsia="仿宋_GB2312" w:cs="仿宋_GB2312"/>
          <w:b/>
          <w:bCs/>
          <w:lang w:eastAsia="zh-CN"/>
        </w:rPr>
        <w:t>。</w:t>
      </w:r>
      <w:r>
        <w:rPr>
          <w:rFonts w:hint="default" w:ascii="仿宋_GB2312" w:hAnsi="仿宋_GB2312" w:eastAsia="仿宋_GB2312" w:cs="仿宋_GB2312"/>
          <w:lang w:val="en-US" w:eastAsia="zh-CN"/>
        </w:rPr>
        <w:t>持续改善农村养老、教育、卫生供给能力</w:t>
      </w:r>
      <w:r>
        <w:rPr>
          <w:rFonts w:hint="default" w:ascii="仿宋_GB2312" w:hAnsi="仿宋_GB2312" w:eastAsia="仿宋_GB2312" w:cs="仿宋_GB2312"/>
          <w:lang w:eastAsia="zh-CN"/>
        </w:rPr>
        <w:t>，</w:t>
      </w:r>
      <w:r>
        <w:rPr>
          <w:rFonts w:hint="default" w:ascii="仿宋_GB2312" w:hAnsi="仿宋_GB2312" w:eastAsia="仿宋_GB2312" w:cs="仿宋_GB2312"/>
          <w:lang w:val="en-US" w:eastAsia="zh-CN"/>
        </w:rPr>
        <w:t>提高农村基本公共服务水平。</w:t>
      </w:r>
      <w:r>
        <w:rPr>
          <w:rFonts w:hint="eastAsia" w:ascii="仿宋_GB2312" w:hAnsi="仿宋_GB2312" w:eastAsia="仿宋_GB2312" w:cs="仿宋_GB2312"/>
        </w:rPr>
        <w:t>推进“县医院—镇卫生院—村卫生室”三级医联体建设，提升中心乡镇卫生院服务能力，推动远程医疗服务体系建设。推动建设农村居家养老服务中心，稳步推进社会福利中心、养护院等项目建设。改善农村学校办学条件，为农村中小学校进行维修改造、采购教学设备，优化农村学校教师队伍结构。全面加强农村义务教育学生营养改善计划管理，确保食品安全和资金规范使用。进一步推进农村配备健身器材、篮球场等体育设施，促进农村体育事业发展。</w:t>
      </w:r>
    </w:p>
    <w:p w14:paraId="5AD8FB33">
      <w:pPr>
        <w:bidi w:val="0"/>
        <w:rPr>
          <w:rFonts w:hint="eastAsia" w:ascii="仿宋_GB2312" w:hAnsi="仿宋_GB2312" w:eastAsia="仿宋_GB2312" w:cs="仿宋_GB2312"/>
        </w:rPr>
      </w:pPr>
      <w:bookmarkStart w:id="21" w:name="OLE_LINK34"/>
      <w:bookmarkStart w:id="22" w:name="OLE_LINK33"/>
      <w:r>
        <w:rPr>
          <w:rFonts w:hint="eastAsia" w:ascii="仿宋_GB2312" w:hAnsi="仿宋_GB2312" w:eastAsia="仿宋_GB2312" w:cs="仿宋_GB2312"/>
          <w:b/>
          <w:bCs/>
          <w:lang w:val="en-US" w:eastAsia="zh-CN"/>
        </w:rPr>
        <w:t>推动</w:t>
      </w:r>
      <w:r>
        <w:rPr>
          <w:rFonts w:hint="eastAsia" w:ascii="仿宋_GB2312" w:hAnsi="仿宋_GB2312" w:eastAsia="仿宋_GB2312" w:cs="仿宋_GB2312"/>
          <w:b/>
          <w:bCs/>
        </w:rPr>
        <w:t>乡村文化繁荣</w:t>
      </w:r>
      <w:r>
        <w:rPr>
          <w:rFonts w:hint="eastAsia" w:ascii="仿宋_GB2312" w:hAnsi="仿宋_GB2312" w:eastAsia="仿宋_GB2312" w:cs="仿宋_GB2312"/>
          <w:b/>
          <w:bCs/>
          <w:lang w:val="en-US" w:eastAsia="zh-CN"/>
        </w:rPr>
        <w:t>发展</w:t>
      </w:r>
      <w:r>
        <w:rPr>
          <w:rFonts w:hint="eastAsia" w:ascii="仿宋_GB2312" w:hAnsi="仿宋_GB2312" w:eastAsia="仿宋_GB2312" w:cs="仿宋_GB2312"/>
          <w:b/>
          <w:bCs/>
        </w:rPr>
        <w:t>。</w:t>
      </w:r>
      <w:r>
        <w:rPr>
          <w:rFonts w:hint="eastAsia" w:ascii="仿宋_GB2312" w:hAnsi="仿宋_GB2312" w:eastAsia="仿宋_GB2312" w:cs="仿宋_GB2312"/>
        </w:rPr>
        <w:t>坚持教育引导、实践养成、制度保障</w:t>
      </w:r>
      <w:r>
        <w:rPr>
          <w:rFonts w:hint="eastAsia" w:ascii="仿宋_GB2312" w:hAnsi="仿宋_GB2312" w:cs="仿宋_GB2312"/>
          <w:lang w:val="en-US" w:eastAsia="zh-CN"/>
        </w:rPr>
        <w:t>相结合</w:t>
      </w:r>
      <w:r>
        <w:rPr>
          <w:rFonts w:hint="eastAsia" w:ascii="仿宋_GB2312" w:hAnsi="仿宋_GB2312" w:eastAsia="仿宋_GB2312" w:cs="仿宋_GB2312"/>
        </w:rPr>
        <w:t>，</w:t>
      </w:r>
      <w:r>
        <w:rPr>
          <w:rFonts w:hint="eastAsia" w:ascii="仿宋_GB2312" w:hAnsi="仿宋_GB2312" w:cs="仿宋_GB2312"/>
          <w:lang w:val="en-US" w:eastAsia="zh-CN"/>
        </w:rPr>
        <w:t>将</w:t>
      </w:r>
      <w:r>
        <w:rPr>
          <w:rFonts w:hint="eastAsia" w:ascii="仿宋_GB2312" w:hAnsi="仿宋_GB2312" w:eastAsia="仿宋_GB2312" w:cs="仿宋_GB2312"/>
        </w:rPr>
        <w:t>社会主义核心价值观</w:t>
      </w:r>
      <w:r>
        <w:rPr>
          <w:rFonts w:hint="eastAsia" w:ascii="仿宋_GB2312" w:hAnsi="仿宋_GB2312" w:cs="仿宋_GB2312"/>
          <w:lang w:val="en-US" w:eastAsia="zh-CN"/>
        </w:rPr>
        <w:t>深度融入乡村治理和村民生活</w:t>
      </w:r>
      <w:r>
        <w:rPr>
          <w:rFonts w:hint="eastAsia" w:ascii="仿宋_GB2312" w:hAnsi="仿宋_GB2312" w:eastAsia="仿宋_GB2312" w:cs="仿宋_GB2312"/>
        </w:rPr>
        <w:t>，</w:t>
      </w:r>
      <w:r>
        <w:rPr>
          <w:rFonts w:hint="eastAsia" w:ascii="仿宋_GB2312" w:hAnsi="仿宋_GB2312" w:cs="仿宋_GB2312"/>
          <w:lang w:val="en-US" w:eastAsia="zh-CN"/>
        </w:rPr>
        <w:t>转化</w:t>
      </w:r>
      <w:r>
        <w:rPr>
          <w:rFonts w:hint="eastAsia" w:ascii="仿宋_GB2312" w:hAnsi="仿宋_GB2312" w:eastAsia="仿宋_GB2312" w:cs="仿宋_GB2312"/>
        </w:rPr>
        <w:t>为村民的情感认同和行为习惯。</w:t>
      </w:r>
      <w:r>
        <w:rPr>
          <w:rFonts w:hint="eastAsia" w:ascii="仿宋_GB2312" w:hAnsi="仿宋_GB2312" w:cs="仿宋_GB2312"/>
          <w:lang w:val="en-US" w:eastAsia="zh-CN"/>
        </w:rPr>
        <w:t>深入</w:t>
      </w:r>
      <w:r>
        <w:rPr>
          <w:rFonts w:hint="eastAsia" w:ascii="仿宋_GB2312" w:hAnsi="仿宋_GB2312" w:eastAsia="仿宋_GB2312" w:cs="仿宋_GB2312"/>
        </w:rPr>
        <w:t>开展中国特色社会主义和中国梦宣传教育</w:t>
      </w:r>
      <w:r>
        <w:rPr>
          <w:rFonts w:hint="eastAsia" w:ascii="仿宋_GB2312" w:hAnsi="仿宋_GB2312" w:cs="仿宋_GB2312"/>
          <w:lang w:eastAsia="zh-CN"/>
        </w:rPr>
        <w:t>，</w:t>
      </w:r>
      <w:r>
        <w:rPr>
          <w:rFonts w:hint="eastAsia" w:ascii="仿宋_GB2312" w:hAnsi="仿宋_GB2312" w:cs="仿宋_GB2312"/>
          <w:lang w:val="en-US" w:eastAsia="zh-CN"/>
        </w:rPr>
        <w:t>加强</w:t>
      </w:r>
      <w:r>
        <w:rPr>
          <w:rFonts w:hint="eastAsia" w:ascii="仿宋_GB2312" w:hAnsi="仿宋_GB2312" w:eastAsia="仿宋_GB2312" w:cs="仿宋_GB2312"/>
        </w:rPr>
        <w:t>理想信念教育。</w:t>
      </w:r>
      <w:r>
        <w:rPr>
          <w:rFonts w:hint="eastAsia" w:ascii="仿宋_GB2312" w:hAnsi="仿宋_GB2312" w:cs="仿宋_GB2312"/>
          <w:lang w:val="en-US" w:eastAsia="zh-CN"/>
        </w:rPr>
        <w:t>健全</w:t>
      </w:r>
      <w:r>
        <w:rPr>
          <w:rFonts w:hint="eastAsia" w:ascii="仿宋_GB2312" w:hAnsi="仿宋_GB2312" w:eastAsia="仿宋_GB2312" w:cs="仿宋_GB2312"/>
        </w:rPr>
        <w:t>乡村公共文化服务体系，推动</w:t>
      </w:r>
      <w:r>
        <w:rPr>
          <w:rFonts w:hint="eastAsia" w:ascii="仿宋_GB2312" w:hAnsi="仿宋_GB2312" w:cs="仿宋_GB2312"/>
          <w:lang w:val="en-US" w:eastAsia="zh-CN"/>
        </w:rPr>
        <w:t>优质</w:t>
      </w:r>
      <w:r>
        <w:rPr>
          <w:rFonts w:hint="eastAsia" w:ascii="仿宋_GB2312" w:hAnsi="仿宋_GB2312" w:eastAsia="仿宋_GB2312" w:cs="仿宋_GB2312"/>
        </w:rPr>
        <w:t>公共文化资源</w:t>
      </w:r>
      <w:r>
        <w:rPr>
          <w:rFonts w:hint="eastAsia" w:ascii="仿宋_GB2312" w:hAnsi="仿宋_GB2312" w:cs="仿宋_GB2312"/>
          <w:lang w:val="en-US" w:eastAsia="zh-CN"/>
        </w:rPr>
        <w:t>下沉</w:t>
      </w:r>
      <w:r>
        <w:rPr>
          <w:rFonts w:hint="eastAsia" w:ascii="仿宋_GB2312" w:hAnsi="仿宋_GB2312" w:eastAsia="仿宋_GB2312" w:cs="仿宋_GB2312"/>
        </w:rPr>
        <w:t>。</w:t>
      </w:r>
      <w:r>
        <w:rPr>
          <w:rFonts w:hint="eastAsia" w:ascii="仿宋_GB2312" w:hAnsi="仿宋_GB2312" w:cs="仿宋_GB2312"/>
          <w:lang w:val="en-US" w:eastAsia="zh-CN"/>
        </w:rPr>
        <w:t>推进智慧广电乡村工程和各类文化惠民项目，</w:t>
      </w:r>
      <w:r>
        <w:rPr>
          <w:rFonts w:hint="eastAsia" w:ascii="仿宋_GB2312" w:hAnsi="仿宋_GB2312" w:eastAsia="仿宋_GB2312" w:cs="仿宋_GB2312"/>
        </w:rPr>
        <w:t>完善农村广播电视公共服务覆盖体系。</w:t>
      </w:r>
      <w:r>
        <w:rPr>
          <w:rFonts w:hint="eastAsia" w:ascii="仿宋_GB2312" w:hAnsi="仿宋_GB2312" w:cs="仿宋_GB2312"/>
          <w:lang w:val="en-US" w:eastAsia="zh-CN"/>
        </w:rPr>
        <w:t>鼓励创作</w:t>
      </w:r>
      <w:r>
        <w:rPr>
          <w:rFonts w:hint="eastAsia" w:ascii="仿宋_GB2312" w:hAnsi="仿宋_GB2312" w:eastAsia="仿宋_GB2312" w:cs="仿宋_GB2312"/>
        </w:rPr>
        <w:t>“三农”题材文艺</w:t>
      </w:r>
      <w:r>
        <w:rPr>
          <w:rFonts w:hint="eastAsia" w:ascii="仿宋_GB2312" w:hAnsi="仿宋_GB2312" w:cs="仿宋_GB2312"/>
          <w:lang w:val="en-US" w:eastAsia="zh-CN"/>
        </w:rPr>
        <w:t>精品</w:t>
      </w:r>
      <w:r>
        <w:rPr>
          <w:rFonts w:hint="eastAsia" w:ascii="仿宋_GB2312" w:hAnsi="仿宋_GB2312" w:eastAsia="仿宋_GB2312" w:cs="仿宋_GB2312"/>
        </w:rPr>
        <w:t>，</w:t>
      </w:r>
      <w:r>
        <w:rPr>
          <w:rFonts w:hint="eastAsia" w:ascii="仿宋_GB2312" w:hAnsi="仿宋_GB2312" w:cs="仿宋_GB2312"/>
          <w:lang w:val="en-US" w:eastAsia="zh-CN"/>
        </w:rPr>
        <w:t>支持开展富有乡土特色的群众性文化活动，打造乡村数字文化服务空间，丰富高质量文化供给</w:t>
      </w:r>
      <w:r>
        <w:rPr>
          <w:rFonts w:hint="eastAsia" w:ascii="仿宋_GB2312" w:hAnsi="仿宋_GB2312" w:eastAsia="仿宋_GB2312" w:cs="仿宋_GB2312"/>
        </w:rPr>
        <w:t>。</w:t>
      </w:r>
    </w:p>
    <w:bookmarkEnd w:id="21"/>
    <w:bookmarkEnd w:id="22"/>
    <w:p w14:paraId="7CA1A5CE">
      <w:pPr>
        <w:bidi w:val="0"/>
        <w:rPr>
          <w:rFonts w:hint="eastAsia" w:ascii="仿宋_GB2312" w:hAnsi="仿宋_GB2312" w:eastAsia="仿宋_GB2312" w:cs="仿宋_GB2312"/>
          <w:b/>
          <w:bCs/>
          <w:lang w:val="en-US" w:eastAsia="zh-CN"/>
        </w:rPr>
      </w:pPr>
      <w:r>
        <w:rPr>
          <w:rFonts w:hint="eastAsia" w:ascii="仿宋_GB2312" w:hAnsi="仿宋_GB2312" w:eastAsia="仿宋_GB2312" w:cs="仿宋_GB2312"/>
          <w:b/>
          <w:bCs/>
          <w:lang w:val="en-US" w:eastAsia="zh-CN"/>
        </w:rPr>
        <w:t>三、深入推进乡村治理现代化</w:t>
      </w:r>
    </w:p>
    <w:p w14:paraId="5C5BAC81">
      <w:pPr>
        <w:bidi w:val="0"/>
        <w:rPr>
          <w:rFonts w:hint="eastAsia" w:ascii="仿宋_GB2312" w:hAnsi="仿宋_GB2312" w:eastAsia="仿宋_GB2312" w:cs="仿宋_GB2312"/>
        </w:rPr>
      </w:pPr>
      <w:r>
        <w:rPr>
          <w:rFonts w:hint="eastAsia" w:ascii="仿宋_GB2312" w:hAnsi="仿宋_GB2312" w:eastAsia="仿宋_GB2312" w:cs="仿宋_GB2312"/>
          <w:b/>
          <w:bCs/>
        </w:rPr>
        <w:t>加强农村基层党组织建设。</w:t>
      </w:r>
      <w:r>
        <w:rPr>
          <w:rFonts w:hint="eastAsia" w:ascii="仿宋_GB2312" w:hAnsi="仿宋_GB2312" w:eastAsia="仿宋_GB2312" w:cs="仿宋_GB2312"/>
        </w:rPr>
        <w:t>增强党组织在乡村振兴战略实施中的号召力、</w:t>
      </w:r>
      <w:r>
        <w:rPr>
          <w:rFonts w:hint="eastAsia" w:ascii="仿宋_GB2312" w:hAnsi="仿宋_GB2312" w:cs="仿宋_GB2312"/>
          <w:lang w:eastAsia="zh-CN"/>
        </w:rPr>
        <w:t>创造力、凝聚力和战斗力</w:t>
      </w:r>
      <w:r>
        <w:rPr>
          <w:rFonts w:hint="eastAsia" w:ascii="仿宋_GB2312" w:hAnsi="仿宋_GB2312" w:eastAsia="仿宋_GB2312" w:cs="仿宋_GB2312"/>
        </w:rPr>
        <w:t>。</w:t>
      </w:r>
      <w:r>
        <w:rPr>
          <w:rFonts w:hint="eastAsia" w:ascii="仿宋_GB2312" w:hAnsi="仿宋_GB2312" w:eastAsia="仿宋_GB2312" w:cs="仿宋_GB2312"/>
          <w:lang w:val="en-US" w:eastAsia="zh-CN"/>
        </w:rPr>
        <w:t>以</w:t>
      </w:r>
      <w:r>
        <w:rPr>
          <w:rFonts w:hint="eastAsia" w:ascii="仿宋_GB2312" w:hAnsi="仿宋_GB2312" w:eastAsia="仿宋_GB2312" w:cs="仿宋_GB2312"/>
        </w:rPr>
        <w:t>加强农村党员队伍建设</w:t>
      </w:r>
      <w:r>
        <w:rPr>
          <w:rFonts w:hint="eastAsia" w:ascii="仿宋_GB2312" w:hAnsi="仿宋_GB2312" w:eastAsia="仿宋_GB2312" w:cs="仿宋_GB2312"/>
          <w:lang w:val="en-US" w:eastAsia="zh-CN"/>
        </w:rPr>
        <w:t>为引领</w:t>
      </w:r>
      <w:r>
        <w:rPr>
          <w:rFonts w:hint="eastAsia" w:ascii="仿宋_GB2312" w:hAnsi="仿宋_GB2312" w:eastAsia="仿宋_GB2312" w:cs="仿宋_GB2312"/>
        </w:rPr>
        <w:t>，</w:t>
      </w:r>
      <w:r>
        <w:rPr>
          <w:rFonts w:hint="eastAsia" w:ascii="仿宋_GB2312" w:hAnsi="仿宋_GB2312" w:eastAsia="仿宋_GB2312" w:cs="仿宋_GB2312"/>
          <w:lang w:val="en-US" w:eastAsia="zh-CN"/>
        </w:rPr>
        <w:t>筑牢</w:t>
      </w:r>
      <w:r>
        <w:rPr>
          <w:rFonts w:hint="eastAsia" w:ascii="仿宋_GB2312" w:hAnsi="仿宋_GB2312" w:eastAsia="仿宋_GB2312" w:cs="仿宋_GB2312"/>
        </w:rPr>
        <w:t>基层政权</w:t>
      </w:r>
      <w:r>
        <w:rPr>
          <w:rFonts w:hint="eastAsia" w:ascii="仿宋_GB2312" w:hAnsi="仿宋_GB2312" w:eastAsia="仿宋_GB2312" w:cs="仿宋_GB2312"/>
          <w:lang w:val="en-US" w:eastAsia="zh-CN"/>
        </w:rPr>
        <w:t>根基</w:t>
      </w:r>
      <w:r>
        <w:rPr>
          <w:rFonts w:hint="eastAsia" w:ascii="仿宋_GB2312" w:hAnsi="仿宋_GB2312" w:eastAsia="仿宋_GB2312" w:cs="仿宋_GB2312"/>
        </w:rPr>
        <w:t>，</w:t>
      </w:r>
      <w:r>
        <w:rPr>
          <w:rFonts w:hint="eastAsia" w:ascii="仿宋_GB2312" w:hAnsi="仿宋_GB2312" w:eastAsia="仿宋_GB2312" w:cs="仿宋_GB2312"/>
          <w:lang w:val="en-US" w:eastAsia="zh-CN"/>
        </w:rPr>
        <w:t>持续深化</w:t>
      </w:r>
      <w:r>
        <w:rPr>
          <w:rFonts w:hint="eastAsia" w:ascii="仿宋_GB2312" w:hAnsi="仿宋_GB2312" w:eastAsia="仿宋_GB2312" w:cs="仿宋_GB2312"/>
        </w:rPr>
        <w:t>党风廉政建设，</w:t>
      </w:r>
      <w:r>
        <w:rPr>
          <w:rFonts w:hint="eastAsia" w:ascii="仿宋_GB2312" w:hAnsi="仿宋_GB2312" w:eastAsia="仿宋_GB2312" w:cs="仿宋_GB2312"/>
          <w:lang w:val="en-US" w:eastAsia="zh-CN"/>
        </w:rPr>
        <w:t>提升</w:t>
      </w:r>
      <w:r>
        <w:rPr>
          <w:rFonts w:hint="eastAsia" w:ascii="仿宋_GB2312" w:hAnsi="仿宋_GB2312" w:eastAsia="仿宋_GB2312" w:cs="仿宋_GB2312"/>
        </w:rPr>
        <w:t>基层组织依法治理</w:t>
      </w:r>
      <w:r>
        <w:rPr>
          <w:rFonts w:hint="eastAsia" w:ascii="仿宋_GB2312" w:hAnsi="仿宋_GB2312" w:eastAsia="仿宋_GB2312" w:cs="仿宋_GB2312"/>
          <w:lang w:val="en-US" w:eastAsia="zh-CN"/>
        </w:rPr>
        <w:t>效能</w:t>
      </w:r>
      <w:r>
        <w:rPr>
          <w:rFonts w:hint="eastAsia" w:ascii="仿宋_GB2312" w:hAnsi="仿宋_GB2312" w:eastAsia="仿宋_GB2312" w:cs="仿宋_GB2312"/>
        </w:rPr>
        <w:t>。实施干部“强基提素”工程，提高干部能力本领。加强农村党员、干部教育培训，深入实施农村基层干部领航乡村振兴素质提升行动，</w:t>
      </w:r>
      <w:r>
        <w:rPr>
          <w:rFonts w:hint="eastAsia" w:ascii="仿宋_GB2312" w:hAnsi="仿宋_GB2312" w:cs="仿宋_GB2312"/>
          <w:lang w:val="en-US" w:eastAsia="zh-CN"/>
        </w:rPr>
        <w:t>着力提升</w:t>
      </w:r>
      <w:r>
        <w:rPr>
          <w:rFonts w:hint="eastAsia" w:ascii="仿宋_GB2312" w:hAnsi="仿宋_GB2312" w:eastAsia="仿宋_GB2312" w:cs="仿宋_GB2312"/>
        </w:rPr>
        <w:t>乡镇、村领导班子</w:t>
      </w:r>
      <w:r>
        <w:rPr>
          <w:rFonts w:hint="eastAsia" w:ascii="仿宋_GB2312" w:hAnsi="仿宋_GB2312" w:cs="仿宋_GB2312"/>
          <w:lang w:val="en-US" w:eastAsia="zh-CN"/>
        </w:rPr>
        <w:t>推进</w:t>
      </w:r>
      <w:r>
        <w:rPr>
          <w:rFonts w:hint="eastAsia" w:ascii="仿宋_GB2312" w:hAnsi="仿宋_GB2312" w:eastAsia="仿宋_GB2312" w:cs="仿宋_GB2312"/>
        </w:rPr>
        <w:t>乡村振兴</w:t>
      </w:r>
      <w:r>
        <w:rPr>
          <w:rFonts w:hint="eastAsia" w:ascii="仿宋_GB2312" w:hAnsi="仿宋_GB2312" w:eastAsia="仿宋_GB2312" w:cs="仿宋_GB2312"/>
          <w:lang w:eastAsia="zh-CN"/>
        </w:rPr>
        <w:t>的</w:t>
      </w:r>
      <w:r>
        <w:rPr>
          <w:rFonts w:hint="eastAsia" w:ascii="仿宋_GB2312" w:hAnsi="仿宋_GB2312" w:cs="仿宋_GB2312"/>
          <w:lang w:val="en-US" w:eastAsia="zh-CN"/>
        </w:rPr>
        <w:t>履职能力和</w:t>
      </w:r>
      <w:r>
        <w:rPr>
          <w:rFonts w:hint="eastAsia" w:ascii="仿宋_GB2312" w:hAnsi="仿宋_GB2312" w:eastAsia="仿宋_GB2312" w:cs="仿宋_GB2312"/>
          <w:lang w:val="en-US" w:eastAsia="zh-CN"/>
        </w:rPr>
        <w:t>实战</w:t>
      </w:r>
      <w:r>
        <w:rPr>
          <w:rFonts w:hint="eastAsia" w:ascii="仿宋_GB2312" w:hAnsi="仿宋_GB2312" w:cs="仿宋_GB2312"/>
          <w:lang w:val="en-US" w:eastAsia="zh-CN"/>
        </w:rPr>
        <w:t>本领</w:t>
      </w:r>
      <w:r>
        <w:rPr>
          <w:rFonts w:hint="eastAsia" w:ascii="仿宋_GB2312" w:hAnsi="仿宋_GB2312" w:eastAsia="仿宋_GB2312" w:cs="仿宋_GB2312"/>
        </w:rPr>
        <w:t>。</w:t>
      </w:r>
    </w:p>
    <w:p w14:paraId="51DBDD49">
      <w:pPr>
        <w:bidi w:val="0"/>
        <w:rPr>
          <w:rFonts w:hint="eastAsia" w:ascii="仿宋_GB2312" w:hAnsi="仿宋_GB2312" w:eastAsia="仿宋_GB2312" w:cs="仿宋_GB2312"/>
        </w:rPr>
      </w:pPr>
      <w:r>
        <w:rPr>
          <w:rFonts w:hint="eastAsia" w:ascii="仿宋_GB2312" w:hAnsi="仿宋_GB2312" w:eastAsia="仿宋_GB2312" w:cs="仿宋_GB2312"/>
          <w:b/>
          <w:bCs/>
        </w:rPr>
        <w:t>深化</w:t>
      </w:r>
      <w:r>
        <w:rPr>
          <w:rFonts w:hint="eastAsia" w:ascii="仿宋_GB2312" w:hAnsi="仿宋_GB2312" w:cs="仿宋_GB2312"/>
          <w:b/>
          <w:bCs/>
          <w:lang w:val="en-US" w:eastAsia="zh-CN"/>
        </w:rPr>
        <w:t>乡村治理体系建设</w:t>
      </w:r>
      <w:r>
        <w:rPr>
          <w:rFonts w:hint="eastAsia" w:ascii="仿宋_GB2312" w:hAnsi="仿宋_GB2312" w:eastAsia="仿宋_GB2312" w:cs="仿宋_GB2312"/>
          <w:b/>
          <w:bCs/>
        </w:rPr>
        <w:t>。</w:t>
      </w:r>
      <w:r>
        <w:rPr>
          <w:rFonts w:hint="eastAsia" w:ascii="仿宋_GB2312" w:hAnsi="仿宋_GB2312" w:cs="仿宋_GB2312"/>
          <w:lang w:val="en-US" w:eastAsia="zh-CN"/>
        </w:rPr>
        <w:t>健全党组织领导下的</w:t>
      </w:r>
      <w:r>
        <w:rPr>
          <w:rFonts w:hint="eastAsia" w:ascii="仿宋_GB2312" w:hAnsi="仿宋_GB2312" w:eastAsia="仿宋_GB2312" w:cs="仿宋_GB2312"/>
        </w:rPr>
        <w:t>村民自治</w:t>
      </w:r>
      <w:r>
        <w:rPr>
          <w:rFonts w:hint="eastAsia" w:ascii="仿宋_GB2312" w:hAnsi="仿宋_GB2312" w:cs="仿宋_GB2312"/>
          <w:lang w:val="en-US" w:eastAsia="zh-CN"/>
        </w:rPr>
        <w:t>机制</w:t>
      </w:r>
      <w:r>
        <w:rPr>
          <w:rFonts w:hint="eastAsia" w:ascii="仿宋_GB2312" w:hAnsi="仿宋_GB2312" w:eastAsia="仿宋_GB2312" w:cs="仿宋_GB2312"/>
        </w:rPr>
        <w:t>，</w:t>
      </w:r>
      <w:r>
        <w:rPr>
          <w:rFonts w:hint="eastAsia" w:ascii="仿宋_GB2312" w:hAnsi="仿宋_GB2312" w:cs="仿宋_GB2312"/>
          <w:lang w:val="en-US" w:eastAsia="zh-CN"/>
        </w:rPr>
        <w:t>规范</w:t>
      </w:r>
      <w:r>
        <w:rPr>
          <w:rFonts w:hint="eastAsia" w:ascii="仿宋_GB2312" w:hAnsi="仿宋_GB2312" w:eastAsia="仿宋_GB2312" w:cs="仿宋_GB2312"/>
        </w:rPr>
        <w:t>议事决策程序。</w:t>
      </w:r>
      <w:r>
        <w:rPr>
          <w:rFonts w:hint="eastAsia" w:ascii="仿宋_GB2312" w:hAnsi="仿宋_GB2312" w:cs="仿宋_GB2312"/>
          <w:lang w:val="en-US" w:eastAsia="zh-CN"/>
        </w:rPr>
        <w:t>深入推进</w:t>
      </w:r>
      <w:r>
        <w:rPr>
          <w:rFonts w:hint="eastAsia" w:ascii="仿宋_GB2312" w:hAnsi="仿宋_GB2312" w:eastAsia="仿宋_GB2312" w:cs="仿宋_GB2312"/>
        </w:rPr>
        <w:t>乡村文明实践，常态化排查化解矛盾纠纷，</w:t>
      </w:r>
      <w:r>
        <w:rPr>
          <w:rFonts w:hint="eastAsia" w:ascii="仿宋_GB2312" w:hAnsi="仿宋_GB2312" w:cs="仿宋_GB2312"/>
          <w:lang w:val="en-US" w:eastAsia="zh-CN"/>
        </w:rPr>
        <w:t>提升乡风文明水平</w:t>
      </w:r>
      <w:r>
        <w:rPr>
          <w:rFonts w:hint="eastAsia" w:ascii="仿宋_GB2312" w:hAnsi="仿宋_GB2312" w:eastAsia="仿宋_GB2312" w:cs="仿宋_GB2312"/>
        </w:rPr>
        <w:t>。</w:t>
      </w:r>
      <w:r>
        <w:rPr>
          <w:rFonts w:hint="eastAsia" w:ascii="仿宋_GB2312" w:hAnsi="仿宋_GB2312" w:cs="仿宋_GB2312"/>
          <w:lang w:val="en-US" w:eastAsia="zh-CN"/>
        </w:rPr>
        <w:t>完善</w:t>
      </w:r>
      <w:r>
        <w:rPr>
          <w:rFonts w:hint="eastAsia" w:ascii="仿宋_GB2312" w:hAnsi="仿宋_GB2312" w:eastAsia="仿宋_GB2312" w:cs="仿宋_GB2312"/>
        </w:rPr>
        <w:t>农村社会治安防控体系，</w:t>
      </w:r>
      <w:r>
        <w:rPr>
          <w:rFonts w:hint="eastAsia" w:ascii="仿宋_GB2312" w:hAnsi="仿宋_GB2312" w:cs="仿宋_GB2312"/>
          <w:lang w:eastAsia="zh-CN"/>
        </w:rPr>
        <w:t>常态化开展扫黑除恶</w:t>
      </w:r>
      <w:r>
        <w:rPr>
          <w:rFonts w:hint="eastAsia" w:ascii="仿宋_GB2312" w:hAnsi="仿宋_GB2312" w:cs="仿宋_GB2312"/>
          <w:lang w:val="en-US" w:eastAsia="zh-CN"/>
        </w:rPr>
        <w:t>与安全隐患治理，</w:t>
      </w:r>
      <w:r>
        <w:rPr>
          <w:rFonts w:hint="eastAsia" w:ascii="仿宋_GB2312" w:hAnsi="仿宋_GB2312" w:eastAsia="仿宋_GB2312" w:cs="仿宋_GB2312"/>
        </w:rPr>
        <w:t>维护农村和谐稳定。推进乡村智能治理新模式，</w:t>
      </w:r>
      <w:r>
        <w:rPr>
          <w:rFonts w:hint="eastAsia" w:ascii="仿宋_GB2312" w:hAnsi="仿宋_GB2312" w:cs="仿宋_GB2312"/>
          <w:lang w:val="en-US" w:eastAsia="zh-CN"/>
        </w:rPr>
        <w:t>建设</w:t>
      </w:r>
      <w:r>
        <w:rPr>
          <w:rFonts w:hint="eastAsia" w:ascii="仿宋_GB2312" w:hAnsi="仿宋_GB2312" w:eastAsia="仿宋_GB2312" w:cs="仿宋_GB2312"/>
        </w:rPr>
        <w:t>乡村数智化治理综合平台，</w:t>
      </w:r>
      <w:r>
        <w:rPr>
          <w:rFonts w:hint="eastAsia" w:ascii="仿宋_GB2312" w:hAnsi="仿宋_GB2312" w:cs="仿宋_GB2312"/>
          <w:lang w:val="en-US" w:eastAsia="zh-CN"/>
        </w:rPr>
        <w:t>强化算力支撑，提升治理效能</w:t>
      </w:r>
      <w:r>
        <w:rPr>
          <w:rFonts w:hint="eastAsia" w:ascii="仿宋_GB2312" w:hAnsi="仿宋_GB2312" w:eastAsia="仿宋_GB2312" w:cs="仿宋_GB2312"/>
        </w:rPr>
        <w:t>。</w:t>
      </w:r>
    </w:p>
    <w:tbl>
      <w:tblPr>
        <w:tblStyle w:val="20"/>
        <w:tblW w:w="8335"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335"/>
      </w:tblGrid>
      <w:tr w14:paraId="2FD06E6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2" w:hRule="atLeast"/>
          <w:jc w:val="center"/>
        </w:trPr>
        <w:tc>
          <w:tcPr>
            <w:tcW w:w="8335" w:type="dxa"/>
            <w:tcBorders>
              <w:top w:val="single" w:color="auto" w:sz="4" w:space="0"/>
              <w:bottom w:val="single" w:color="auto" w:sz="4" w:space="0"/>
            </w:tcBorders>
            <w:vAlign w:val="center"/>
          </w:tcPr>
          <w:p w14:paraId="353D3E2C">
            <w:pPr>
              <w:spacing w:line="340" w:lineRule="exact"/>
              <w:jc w:val="center"/>
              <w:rPr>
                <w:rFonts w:hint="default" w:ascii="仿宋" w:hAnsi="仿宋" w:eastAsia="黑体"/>
                <w:color w:val="000000" w:themeColor="text1"/>
                <w:sz w:val="28"/>
                <w:szCs w:val="28"/>
                <w:lang w:val="en-US" w:eastAsia="zh-CN"/>
                <w14:textFill>
                  <w14:solidFill>
                    <w14:schemeClr w14:val="tx1"/>
                  </w14:solidFill>
                </w14:textFill>
              </w:rPr>
            </w:pPr>
            <w:bookmarkStart w:id="23" w:name="OLE_LINK24"/>
            <w:r>
              <w:rPr>
                <w:rFonts w:hint="eastAsia" w:ascii="黑体" w:hAnsi="黑体" w:eastAsia="黑体" w:cs="黑体"/>
                <w:b w:val="0"/>
                <w:bCs w:val="0"/>
                <w:sz w:val="24"/>
                <w:szCs w:val="24"/>
              </w:rPr>
              <w:t>专栏</w:t>
            </w:r>
            <w:r>
              <w:rPr>
                <w:rFonts w:hint="eastAsia" w:ascii="黑体" w:hAnsi="黑体" w:eastAsia="黑体" w:cs="黑体"/>
                <w:b w:val="0"/>
                <w:bCs w:val="0"/>
                <w:sz w:val="24"/>
                <w:szCs w:val="24"/>
                <w:lang w:val="en-US" w:eastAsia="zh-CN"/>
              </w:rPr>
              <w:t>3</w:t>
            </w:r>
            <w:r>
              <w:rPr>
                <w:rFonts w:hint="eastAsia" w:ascii="黑体" w:hAnsi="黑体" w:eastAsia="黑体" w:cs="黑体"/>
                <w:b w:val="0"/>
                <w:bCs w:val="0"/>
                <w:sz w:val="24"/>
                <w:szCs w:val="24"/>
              </w:rPr>
              <w:t>-</w:t>
            </w:r>
            <w:r>
              <w:rPr>
                <w:rFonts w:hint="eastAsia" w:ascii="黑体" w:hAnsi="黑体" w:eastAsia="黑体" w:cs="黑体"/>
                <w:b w:val="0"/>
                <w:bCs w:val="0"/>
                <w:sz w:val="24"/>
                <w:szCs w:val="24"/>
                <w:lang w:val="en-US" w:eastAsia="zh-CN"/>
              </w:rPr>
              <w:t xml:space="preserve">7  </w:t>
            </w:r>
            <w:r>
              <w:rPr>
                <w:rFonts w:hint="eastAsia" w:ascii="黑体" w:hAnsi="黑体" w:eastAsia="黑体" w:cs="黑体"/>
                <w:b w:val="0"/>
                <w:bCs w:val="0"/>
                <w:sz w:val="24"/>
                <w:szCs w:val="24"/>
              </w:rPr>
              <w:t>乡村振兴</w:t>
            </w:r>
            <w:r>
              <w:rPr>
                <w:rFonts w:hint="eastAsia" w:ascii="黑体" w:hAnsi="黑体" w:eastAsia="黑体" w:cs="黑体"/>
                <w:b w:val="0"/>
                <w:bCs w:val="0"/>
                <w:sz w:val="24"/>
                <w:szCs w:val="24"/>
                <w:lang w:val="en-US" w:eastAsia="zh-CN"/>
              </w:rPr>
              <w:t>提质</w:t>
            </w:r>
            <w:r>
              <w:rPr>
                <w:rFonts w:hint="eastAsia" w:ascii="黑体" w:hAnsi="黑体" w:eastAsia="黑体" w:cs="黑体"/>
                <w:b w:val="0"/>
                <w:bCs w:val="0"/>
                <w:sz w:val="24"/>
                <w:szCs w:val="24"/>
              </w:rPr>
              <w:t>重点工程</w:t>
            </w:r>
          </w:p>
        </w:tc>
      </w:tr>
      <w:tr w14:paraId="32D3366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6" w:hRule="atLeast"/>
          <w:jc w:val="center"/>
        </w:trPr>
        <w:tc>
          <w:tcPr>
            <w:tcW w:w="8335" w:type="dxa"/>
            <w:tcBorders>
              <w:top w:val="single" w:color="auto" w:sz="4" w:space="0"/>
            </w:tcBorders>
          </w:tcPr>
          <w:p w14:paraId="458889FC">
            <w:pPr>
              <w:pStyle w:val="8"/>
              <w:bidi w:val="0"/>
              <w:rPr>
                <w:rFonts w:hint="eastAsia" w:ascii="楷体_GB2312" w:hAnsi="楷体_GB2312" w:eastAsia="楷体_GB2312" w:cs="楷体_GB2312"/>
                <w:b/>
                <w:bCs/>
                <w:lang w:val="en-US" w:eastAsia="zh-CN"/>
              </w:rPr>
            </w:pPr>
            <w:r>
              <w:rPr>
                <w:rFonts w:hint="eastAsia" w:ascii="楷体_GB2312" w:hAnsi="楷体_GB2312" w:eastAsia="楷体_GB2312" w:cs="楷体_GB2312"/>
                <w:b/>
                <w:bCs/>
                <w:lang w:val="en-US" w:eastAsia="zh-CN"/>
              </w:rPr>
              <w:t>1.农村人居环境与生态治理工程</w:t>
            </w:r>
          </w:p>
          <w:p w14:paraId="14B55D43">
            <w:pPr>
              <w:pStyle w:val="8"/>
              <w:bidi w:val="0"/>
              <w:rPr>
                <w:rFonts w:hint="eastAsia" w:ascii="楷体_GB2312" w:hAnsi="楷体_GB2312" w:eastAsia="楷体_GB2312" w:cs="楷体_GB2312"/>
              </w:rPr>
            </w:pPr>
            <w:r>
              <w:rPr>
                <w:rFonts w:hint="eastAsia" w:ascii="楷体_GB2312" w:hAnsi="楷体_GB2312" w:eastAsia="楷体_GB2312" w:cs="楷体_GB2312"/>
                <w:lang w:eastAsia="zh-CN"/>
              </w:rPr>
              <w:t>（</w:t>
            </w:r>
            <w:r>
              <w:rPr>
                <w:rFonts w:hint="eastAsia" w:ascii="楷体_GB2312" w:hAnsi="楷体_GB2312" w:eastAsia="楷体_GB2312" w:cs="楷体_GB2312"/>
                <w:lang w:val="en-US" w:eastAsia="zh-CN"/>
              </w:rPr>
              <w:t>1</w:t>
            </w:r>
            <w:r>
              <w:rPr>
                <w:rFonts w:hint="eastAsia" w:ascii="楷体_GB2312" w:hAnsi="楷体_GB2312" w:eastAsia="楷体_GB2312" w:cs="楷体_GB2312"/>
                <w:lang w:eastAsia="zh-CN"/>
              </w:rPr>
              <w:t>）</w:t>
            </w:r>
            <w:r>
              <w:rPr>
                <w:rFonts w:hint="eastAsia" w:ascii="楷体_GB2312" w:hAnsi="楷体_GB2312" w:eastAsia="楷体_GB2312" w:cs="楷体_GB2312"/>
              </w:rPr>
              <w:t>农村生活污水</w:t>
            </w:r>
            <w:r>
              <w:rPr>
                <w:rFonts w:hint="eastAsia" w:ascii="楷体_GB2312" w:hAnsi="楷体_GB2312" w:eastAsia="楷体_GB2312" w:cs="楷体_GB2312"/>
                <w:lang w:val="en-US" w:eastAsia="zh-CN"/>
              </w:rPr>
              <w:t>综合治理工程</w:t>
            </w:r>
            <w:r>
              <w:rPr>
                <w:rFonts w:hint="eastAsia" w:ascii="楷体_GB2312" w:hAnsi="楷体_GB2312" w:eastAsia="楷体_GB2312" w:cs="楷体_GB2312"/>
              </w:rPr>
              <w:t>。围绕长安镇、</w:t>
            </w:r>
            <w:r>
              <w:rPr>
                <w:rFonts w:hint="eastAsia" w:ascii="楷体_GB2312" w:hAnsi="楷体_GB2312" w:eastAsia="楷体_GB2312" w:cs="楷体_GB2312"/>
                <w:lang w:val="en-US" w:eastAsia="zh-CN"/>
              </w:rPr>
              <w:t>向</w:t>
            </w:r>
            <w:r>
              <w:rPr>
                <w:rFonts w:hint="eastAsia" w:ascii="楷体_GB2312" w:hAnsi="楷体_GB2312" w:eastAsia="楷体_GB2312" w:cs="楷体_GB2312"/>
              </w:rPr>
              <w:t>阳川镇、砚山镇</w:t>
            </w:r>
            <w:r>
              <w:rPr>
                <w:rFonts w:hint="eastAsia" w:ascii="楷体_GB2312" w:hAnsi="楷体_GB2312" w:eastAsia="楷体_GB2312" w:cs="楷体_GB2312"/>
                <w:lang w:eastAsia="zh-CN"/>
              </w:rPr>
              <w:t>，</w:t>
            </w:r>
            <w:r>
              <w:rPr>
                <w:rFonts w:hint="eastAsia" w:ascii="楷体_GB2312" w:hAnsi="楷体_GB2312" w:eastAsia="楷体_GB2312" w:cs="楷体_GB2312"/>
              </w:rPr>
              <w:t>因地制宜建设</w:t>
            </w:r>
            <w:r>
              <w:rPr>
                <w:rFonts w:hint="eastAsia" w:ascii="楷体_GB2312" w:hAnsi="楷体_GB2312" w:eastAsia="楷体_GB2312" w:cs="楷体_GB2312"/>
                <w:lang w:val="en-US" w:eastAsia="zh-CN"/>
              </w:rPr>
              <w:t>农村生活</w:t>
            </w:r>
            <w:r>
              <w:rPr>
                <w:rFonts w:hint="eastAsia" w:ascii="楷体_GB2312" w:hAnsi="楷体_GB2312" w:eastAsia="楷体_GB2312" w:cs="楷体_GB2312"/>
              </w:rPr>
              <w:t>污水处理设施</w:t>
            </w:r>
            <w:r>
              <w:rPr>
                <w:rFonts w:hint="eastAsia" w:ascii="楷体_GB2312" w:hAnsi="楷体_GB2312" w:eastAsia="楷体_GB2312" w:cs="楷体_GB2312"/>
                <w:lang w:val="en-US" w:eastAsia="zh-CN"/>
              </w:rPr>
              <w:t>及配套管网。项目以</w:t>
            </w:r>
            <w:r>
              <w:rPr>
                <w:rFonts w:hint="eastAsia" w:ascii="楷体_GB2312" w:hAnsi="楷体_GB2312" w:eastAsia="楷体_GB2312" w:cs="楷体_GB2312"/>
              </w:rPr>
              <w:t>主干道沿线村屯</w:t>
            </w:r>
            <w:r>
              <w:rPr>
                <w:rFonts w:hint="eastAsia" w:ascii="楷体_GB2312" w:hAnsi="楷体_GB2312" w:eastAsia="楷体_GB2312" w:cs="楷体_GB2312"/>
                <w:lang w:val="en-US" w:eastAsia="zh-CN"/>
              </w:rPr>
              <w:t>为重点，治理后的出水水质</w:t>
            </w:r>
            <w:r>
              <w:rPr>
                <w:rFonts w:hint="eastAsia" w:ascii="楷体_GB2312" w:hAnsi="楷体_GB2312" w:eastAsia="楷体_GB2312" w:cs="楷体_GB2312"/>
              </w:rPr>
              <w:t>达到城市洒扫杂用水排放标准，</w:t>
            </w:r>
            <w:r>
              <w:rPr>
                <w:rFonts w:hint="eastAsia" w:ascii="楷体_GB2312" w:hAnsi="楷体_GB2312" w:eastAsia="楷体_GB2312" w:cs="楷体_GB2312"/>
                <w:lang w:val="en-US" w:eastAsia="zh-CN"/>
              </w:rPr>
              <w:t>并</w:t>
            </w:r>
            <w:r>
              <w:rPr>
                <w:rFonts w:hint="eastAsia" w:ascii="楷体_GB2312" w:hAnsi="楷体_GB2312" w:eastAsia="楷体_GB2312" w:cs="楷体_GB2312"/>
              </w:rPr>
              <w:t>满足农田灌溉</w:t>
            </w:r>
            <w:r>
              <w:rPr>
                <w:rFonts w:hint="eastAsia" w:ascii="楷体_GB2312" w:hAnsi="楷体_GB2312" w:eastAsia="楷体_GB2312" w:cs="楷体_GB2312"/>
                <w:lang w:val="en-US" w:eastAsia="zh-CN"/>
              </w:rPr>
              <w:t>需求，实现污水资源化利用</w:t>
            </w:r>
            <w:r>
              <w:rPr>
                <w:rFonts w:hint="eastAsia" w:ascii="楷体_GB2312" w:hAnsi="楷体_GB2312" w:eastAsia="楷体_GB2312" w:cs="楷体_GB2312"/>
              </w:rPr>
              <w:t>。</w:t>
            </w:r>
          </w:p>
          <w:p w14:paraId="64CD3915">
            <w:pPr>
              <w:pStyle w:val="8"/>
              <w:bidi w:val="0"/>
              <w:rPr>
                <w:rFonts w:hint="eastAsia" w:ascii="楷体_GB2312" w:hAnsi="楷体_GB2312" w:eastAsia="楷体_GB2312" w:cs="楷体_GB2312"/>
              </w:rPr>
            </w:pPr>
            <w:r>
              <w:rPr>
                <w:rFonts w:hint="eastAsia" w:ascii="楷体_GB2312" w:hAnsi="楷体_GB2312" w:eastAsia="楷体_GB2312" w:cs="楷体_GB2312"/>
                <w:lang w:eastAsia="zh-CN"/>
              </w:rPr>
              <w:t>（</w:t>
            </w:r>
            <w:r>
              <w:rPr>
                <w:rFonts w:hint="eastAsia" w:ascii="楷体_GB2312" w:hAnsi="楷体_GB2312" w:eastAsia="楷体_GB2312" w:cs="楷体_GB2312"/>
                <w:lang w:val="en-US" w:eastAsia="zh-CN"/>
              </w:rPr>
              <w:t>2</w:t>
            </w:r>
            <w:r>
              <w:rPr>
                <w:rFonts w:hint="eastAsia" w:ascii="楷体_GB2312" w:hAnsi="楷体_GB2312" w:eastAsia="楷体_GB2312" w:cs="楷体_GB2312"/>
                <w:lang w:eastAsia="zh-CN"/>
              </w:rPr>
              <w:t>）</w:t>
            </w:r>
            <w:r>
              <w:rPr>
                <w:rFonts w:hint="eastAsia" w:ascii="楷体_GB2312" w:hAnsi="楷体_GB2312" w:eastAsia="楷体_GB2312" w:cs="楷体_GB2312"/>
              </w:rPr>
              <w:t>农村人居环境整治提升</w:t>
            </w:r>
            <w:r>
              <w:rPr>
                <w:rFonts w:hint="eastAsia" w:ascii="楷体_GB2312" w:hAnsi="楷体_GB2312" w:eastAsia="楷体_GB2312" w:cs="楷体_GB2312"/>
                <w:lang w:val="en-US" w:eastAsia="zh-CN"/>
              </w:rPr>
              <w:t>与示范村创建工程</w:t>
            </w:r>
            <w:r>
              <w:rPr>
                <w:rFonts w:hint="eastAsia" w:ascii="楷体_GB2312" w:hAnsi="楷体_GB2312" w:eastAsia="楷体_GB2312" w:cs="楷体_GB2312"/>
              </w:rPr>
              <w:t>。纵深推进人居环境整治，深化农村移风易俗，开展农村厕所革命，继续推进养殖场粪污治理工作，稳步解决乡村自来水入户难题，有序改善农业生态环境，打造人居环境示范村。</w:t>
            </w:r>
          </w:p>
          <w:p w14:paraId="5647421A">
            <w:pPr>
              <w:pStyle w:val="8"/>
              <w:bidi w:val="0"/>
              <w:rPr>
                <w:rFonts w:hint="eastAsia" w:ascii="楷体_GB2312" w:hAnsi="楷体_GB2312" w:eastAsia="楷体_GB2312" w:cs="楷体_GB2312"/>
                <w:lang w:val="en-US"/>
              </w:rPr>
            </w:pPr>
            <w:r>
              <w:rPr>
                <w:rFonts w:hint="eastAsia" w:ascii="楷体_GB2312" w:hAnsi="楷体_GB2312" w:eastAsia="楷体_GB2312" w:cs="楷体_GB2312"/>
                <w:lang w:eastAsia="zh-CN"/>
              </w:rPr>
              <w:t>（</w:t>
            </w:r>
            <w:r>
              <w:rPr>
                <w:rFonts w:hint="eastAsia" w:ascii="楷体_GB2312" w:hAnsi="楷体_GB2312" w:eastAsia="楷体_GB2312" w:cs="楷体_GB2312"/>
                <w:lang w:val="en-US" w:eastAsia="zh-CN"/>
              </w:rPr>
              <w:t>3</w:t>
            </w:r>
            <w:r>
              <w:rPr>
                <w:rFonts w:hint="eastAsia" w:ascii="楷体_GB2312" w:hAnsi="楷体_GB2312" w:eastAsia="楷体_GB2312" w:cs="楷体_GB2312"/>
                <w:lang w:eastAsia="zh-CN"/>
              </w:rPr>
              <w:t>）</w:t>
            </w:r>
            <w:r>
              <w:rPr>
                <w:rFonts w:hint="eastAsia" w:ascii="楷体_GB2312" w:hAnsi="楷体_GB2312" w:eastAsia="楷体_GB2312" w:cs="楷体_GB2312"/>
              </w:rPr>
              <w:t>乡村风貌</w:t>
            </w:r>
            <w:r>
              <w:rPr>
                <w:rFonts w:hint="eastAsia" w:ascii="楷体_GB2312" w:hAnsi="楷体_GB2312" w:eastAsia="楷体_GB2312" w:cs="楷体_GB2312"/>
                <w:lang w:val="en-US" w:eastAsia="zh-CN"/>
              </w:rPr>
              <w:t>提升与特色民居改造工程</w:t>
            </w:r>
            <w:r>
              <w:rPr>
                <w:rFonts w:hint="eastAsia" w:ascii="楷体_GB2312" w:hAnsi="楷体_GB2312" w:eastAsia="楷体_GB2312" w:cs="楷体_GB2312"/>
              </w:rPr>
              <w:t>。</w:t>
            </w:r>
            <w:r>
              <w:rPr>
                <w:rFonts w:hint="eastAsia" w:ascii="楷体_GB2312" w:hAnsi="楷体_GB2312" w:eastAsia="楷体_GB2312" w:cs="楷体_GB2312"/>
                <w:lang w:val="en-US" w:eastAsia="zh-CN"/>
              </w:rPr>
              <w:t>本项目旨在系统推进乡村风貌提升，核心内容包括：实施</w:t>
            </w:r>
            <w:r>
              <w:rPr>
                <w:rFonts w:hint="eastAsia" w:ascii="楷体_GB2312" w:hAnsi="楷体_GB2312" w:eastAsia="楷体_GB2312" w:cs="楷体_GB2312"/>
              </w:rPr>
              <w:t>民居</w:t>
            </w:r>
            <w:r>
              <w:rPr>
                <w:rFonts w:hint="eastAsia" w:ascii="楷体_GB2312" w:hAnsi="楷体_GB2312" w:eastAsia="楷体_GB2312" w:cs="楷体_GB2312"/>
                <w:lang w:val="en-US" w:eastAsia="zh-CN"/>
              </w:rPr>
              <w:t>与</w:t>
            </w:r>
            <w:r>
              <w:rPr>
                <w:rFonts w:hint="eastAsia" w:ascii="楷体_GB2312" w:hAnsi="楷体_GB2312" w:eastAsia="楷体_GB2312" w:cs="楷体_GB2312"/>
              </w:rPr>
              <w:t>村内基础设施改造，</w:t>
            </w:r>
            <w:r>
              <w:rPr>
                <w:rFonts w:hint="eastAsia" w:ascii="楷体_GB2312" w:hAnsi="楷体_GB2312" w:eastAsia="楷体_GB2312" w:cs="楷体_GB2312"/>
                <w:lang w:val="en-US" w:eastAsia="zh-CN"/>
              </w:rPr>
              <w:t>重点</w:t>
            </w:r>
            <w:r>
              <w:rPr>
                <w:rFonts w:hint="eastAsia" w:ascii="楷体_GB2312" w:hAnsi="楷体_GB2312" w:eastAsia="楷体_GB2312" w:cs="楷体_GB2312"/>
              </w:rPr>
              <w:t>村镇</w:t>
            </w:r>
            <w:r>
              <w:rPr>
                <w:rFonts w:hint="eastAsia" w:ascii="楷体_GB2312" w:hAnsi="楷体_GB2312" w:eastAsia="楷体_GB2312" w:cs="楷体_GB2312"/>
                <w:lang w:eastAsia="zh-CN"/>
              </w:rPr>
              <w:t>的</w:t>
            </w:r>
            <w:r>
              <w:rPr>
                <w:rFonts w:hint="eastAsia" w:ascii="楷体_GB2312" w:hAnsi="楷体_GB2312" w:eastAsia="楷体_GB2312" w:cs="楷体_GB2312"/>
              </w:rPr>
              <w:t>整体民居</w:t>
            </w:r>
            <w:r>
              <w:rPr>
                <w:rFonts w:hint="eastAsia" w:ascii="楷体_GB2312" w:hAnsi="楷体_GB2312" w:eastAsia="楷体_GB2312" w:cs="楷体_GB2312"/>
                <w:lang w:val="en-US" w:eastAsia="zh-CN"/>
              </w:rPr>
              <w:t>风貌保护与更新</w:t>
            </w:r>
            <w:r>
              <w:rPr>
                <w:rFonts w:hint="eastAsia" w:ascii="楷体_GB2312" w:hAnsi="楷体_GB2312" w:eastAsia="楷体_GB2312" w:cs="楷体_GB2312"/>
              </w:rPr>
              <w:t>，</w:t>
            </w:r>
            <w:r>
              <w:rPr>
                <w:rFonts w:hint="eastAsia" w:ascii="楷体_GB2312" w:hAnsi="楷体_GB2312" w:eastAsia="楷体_GB2312" w:cs="楷体_GB2312"/>
                <w:lang w:val="en-US" w:eastAsia="zh-CN"/>
              </w:rPr>
              <w:t>并以此为基础，积极引导和培育</w:t>
            </w:r>
            <w:r>
              <w:rPr>
                <w:rFonts w:hint="eastAsia" w:ascii="楷体_GB2312" w:hAnsi="楷体_GB2312" w:eastAsia="楷体_GB2312" w:cs="楷体_GB2312"/>
              </w:rPr>
              <w:t>庭院经济和民宿</w:t>
            </w:r>
            <w:r>
              <w:rPr>
                <w:rFonts w:hint="eastAsia" w:ascii="楷体_GB2312" w:hAnsi="楷体_GB2312" w:eastAsia="楷体_GB2312" w:cs="楷体_GB2312"/>
                <w:lang w:val="en-US" w:eastAsia="zh-CN"/>
              </w:rPr>
              <w:t>产业，实现人居环境改善与产业发展的良性互动。</w:t>
            </w:r>
          </w:p>
          <w:p w14:paraId="71245C83">
            <w:pPr>
              <w:pStyle w:val="8"/>
              <w:bidi w:val="0"/>
              <w:rPr>
                <w:rFonts w:hint="eastAsia" w:ascii="楷体_GB2312" w:hAnsi="楷体_GB2312" w:eastAsia="楷体_GB2312" w:cs="楷体_GB2312"/>
                <w:b/>
                <w:bCs/>
                <w:lang w:val="en-US" w:eastAsia="zh-CN"/>
              </w:rPr>
            </w:pPr>
            <w:r>
              <w:rPr>
                <w:rFonts w:hint="eastAsia" w:ascii="楷体_GB2312" w:hAnsi="楷体_GB2312" w:eastAsia="楷体_GB2312" w:cs="楷体_GB2312"/>
                <w:b/>
                <w:bCs/>
                <w:lang w:val="en-US" w:eastAsia="zh-CN"/>
              </w:rPr>
              <w:t>2.农村基础设施提升工程</w:t>
            </w:r>
          </w:p>
          <w:p w14:paraId="2017183F">
            <w:pPr>
              <w:pStyle w:val="8"/>
              <w:bidi w:val="0"/>
              <w:rPr>
                <w:rFonts w:hint="eastAsia" w:ascii="楷体_GB2312" w:hAnsi="楷体_GB2312" w:eastAsia="楷体_GB2312" w:cs="楷体_GB2312"/>
              </w:rPr>
            </w:pPr>
            <w:r>
              <w:rPr>
                <w:rFonts w:hint="eastAsia" w:ascii="楷体_GB2312" w:hAnsi="楷体_GB2312" w:eastAsia="楷体_GB2312" w:cs="楷体_GB2312"/>
                <w:lang w:eastAsia="zh-CN"/>
              </w:rPr>
              <w:t>（</w:t>
            </w:r>
            <w:r>
              <w:rPr>
                <w:rFonts w:hint="eastAsia" w:ascii="楷体_GB2312" w:hAnsi="楷体_GB2312" w:eastAsia="楷体_GB2312" w:cs="楷体_GB2312"/>
                <w:lang w:val="en-US" w:eastAsia="zh-CN"/>
              </w:rPr>
              <w:t>1</w:t>
            </w:r>
            <w:r>
              <w:rPr>
                <w:rFonts w:hint="eastAsia" w:ascii="楷体_GB2312" w:hAnsi="楷体_GB2312" w:eastAsia="楷体_GB2312" w:cs="楷体_GB2312"/>
                <w:lang w:eastAsia="zh-CN"/>
              </w:rPr>
              <w:t>）</w:t>
            </w:r>
            <w:r>
              <w:rPr>
                <w:rFonts w:hint="eastAsia" w:ascii="楷体_GB2312" w:hAnsi="楷体_GB2312" w:eastAsia="楷体_GB2312" w:cs="楷体_GB2312"/>
              </w:rPr>
              <w:t>农村电网巩固提升工程。加快补齐农村电网短板，优化地区配电网结构，提升农村地区整体安全供电保障能力，满足农业生产生活用电需求。</w:t>
            </w:r>
          </w:p>
          <w:p w14:paraId="2DBFBB64">
            <w:pPr>
              <w:pStyle w:val="8"/>
              <w:bidi w:val="0"/>
              <w:rPr>
                <w:rFonts w:hint="eastAsia" w:ascii="楷体_GB2312" w:hAnsi="楷体_GB2312" w:eastAsia="楷体_GB2312" w:cs="楷体_GB2312"/>
              </w:rPr>
            </w:pPr>
            <w:r>
              <w:rPr>
                <w:rFonts w:hint="eastAsia" w:ascii="楷体_GB2312" w:hAnsi="楷体_GB2312" w:eastAsia="楷体_GB2312" w:cs="楷体_GB2312"/>
                <w:lang w:eastAsia="zh-CN"/>
              </w:rPr>
              <w:t>（</w:t>
            </w:r>
            <w:r>
              <w:rPr>
                <w:rFonts w:hint="eastAsia" w:ascii="楷体_GB2312" w:hAnsi="楷体_GB2312" w:eastAsia="楷体_GB2312" w:cs="楷体_GB2312"/>
                <w:lang w:val="en-US" w:eastAsia="zh-CN"/>
              </w:rPr>
              <w:t>2</w:t>
            </w:r>
            <w:r>
              <w:rPr>
                <w:rFonts w:hint="eastAsia" w:ascii="楷体_GB2312" w:hAnsi="楷体_GB2312" w:eastAsia="楷体_GB2312" w:cs="楷体_GB2312"/>
                <w:lang w:eastAsia="zh-CN"/>
              </w:rPr>
              <w:t>）</w:t>
            </w:r>
            <w:r>
              <w:rPr>
                <w:rFonts w:hint="eastAsia" w:ascii="楷体_GB2312" w:hAnsi="楷体_GB2312" w:eastAsia="楷体_GB2312" w:cs="楷体_GB2312"/>
              </w:rPr>
              <w:t>农村通讯基础设施</w:t>
            </w:r>
            <w:r>
              <w:rPr>
                <w:rFonts w:hint="eastAsia" w:ascii="楷体_GB2312" w:hAnsi="楷体_GB2312" w:eastAsia="楷体_GB2312" w:cs="楷体_GB2312"/>
                <w:lang w:val="en-US" w:eastAsia="zh-CN"/>
              </w:rPr>
              <w:t>升级攻坚工程</w:t>
            </w:r>
            <w:r>
              <w:rPr>
                <w:rFonts w:hint="eastAsia" w:ascii="楷体_GB2312" w:hAnsi="楷体_GB2312" w:eastAsia="楷体_GB2312" w:cs="楷体_GB2312"/>
              </w:rPr>
              <w:t>。完善5G基站建设，</w:t>
            </w:r>
            <w:r>
              <w:rPr>
                <w:rFonts w:hint="eastAsia" w:ascii="楷体_GB2312" w:hAnsi="楷体_GB2312" w:eastAsia="楷体_GB2312" w:cs="楷体_GB2312"/>
                <w:lang w:val="en-US" w:eastAsia="zh-CN"/>
              </w:rPr>
              <w:t>实现</w:t>
            </w:r>
            <w:r>
              <w:rPr>
                <w:rFonts w:hint="eastAsia" w:ascii="楷体_GB2312" w:hAnsi="楷体_GB2312" w:eastAsia="楷体_GB2312" w:cs="楷体_GB2312"/>
              </w:rPr>
              <w:t>行政村</w:t>
            </w:r>
            <w:r>
              <w:rPr>
                <w:rFonts w:hint="eastAsia" w:ascii="楷体_GB2312" w:hAnsi="楷体_GB2312" w:eastAsia="楷体_GB2312" w:cs="楷体_GB2312"/>
                <w:lang w:val="en-US" w:eastAsia="zh-CN"/>
              </w:rPr>
              <w:t>全覆盖，并提升网络服务质量，打通农村信息“大动脉”，为数字乡村建设和智慧农业发展奠定坚实基础</w:t>
            </w:r>
            <w:r>
              <w:rPr>
                <w:rFonts w:hint="eastAsia" w:ascii="楷体_GB2312" w:hAnsi="楷体_GB2312" w:eastAsia="楷体_GB2312" w:cs="楷体_GB2312"/>
              </w:rPr>
              <w:t>。</w:t>
            </w:r>
          </w:p>
          <w:p w14:paraId="4CC834E8">
            <w:pPr>
              <w:pStyle w:val="8"/>
              <w:bidi w:val="0"/>
              <w:rPr>
                <w:rFonts w:hint="eastAsia" w:ascii="楷体_GB2312" w:hAnsi="楷体_GB2312" w:eastAsia="楷体_GB2312" w:cs="楷体_GB2312"/>
              </w:rPr>
            </w:pPr>
            <w:r>
              <w:rPr>
                <w:rFonts w:hint="eastAsia" w:ascii="楷体_GB2312" w:hAnsi="楷体_GB2312" w:eastAsia="楷体_GB2312" w:cs="楷体_GB2312"/>
                <w:lang w:eastAsia="zh-CN"/>
              </w:rPr>
              <w:t>（</w:t>
            </w:r>
            <w:r>
              <w:rPr>
                <w:rFonts w:hint="eastAsia" w:ascii="楷体_GB2312" w:hAnsi="楷体_GB2312" w:eastAsia="楷体_GB2312" w:cs="楷体_GB2312"/>
                <w:lang w:val="en-US" w:eastAsia="zh-CN"/>
              </w:rPr>
              <w:t>3</w:t>
            </w:r>
            <w:r>
              <w:rPr>
                <w:rFonts w:hint="eastAsia" w:ascii="楷体_GB2312" w:hAnsi="楷体_GB2312" w:eastAsia="楷体_GB2312" w:cs="楷体_GB2312"/>
                <w:lang w:eastAsia="zh-CN"/>
              </w:rPr>
              <w:t>）</w:t>
            </w:r>
            <w:r>
              <w:rPr>
                <w:rFonts w:hint="eastAsia" w:ascii="楷体_GB2312" w:hAnsi="楷体_GB2312" w:eastAsia="楷体_GB2312" w:cs="楷体_GB2312"/>
              </w:rPr>
              <w:t>农村道路提升改造工程。重点推进</w:t>
            </w:r>
            <w:r>
              <w:rPr>
                <w:rFonts w:hint="eastAsia" w:ascii="楷体_GB2312" w:hAnsi="楷体_GB2312" w:eastAsia="楷体_GB2312" w:cs="楷体_GB2312"/>
                <w:lang w:val="en-US" w:eastAsia="zh-CN"/>
              </w:rPr>
              <w:t>在建</w:t>
            </w:r>
            <w:r>
              <w:rPr>
                <w:rFonts w:hint="eastAsia" w:ascii="楷体_GB2312" w:hAnsi="楷体_GB2312" w:eastAsia="楷体_GB2312" w:cs="楷体_GB2312"/>
              </w:rPr>
              <w:t>农村公路重点项目建设进度</w:t>
            </w:r>
            <w:r>
              <w:rPr>
                <w:rFonts w:hint="eastAsia" w:ascii="楷体_GB2312" w:hAnsi="楷体_GB2312" w:cs="楷体_GB2312"/>
                <w:lang w:eastAsia="zh-CN"/>
              </w:rPr>
              <w:t>，</w:t>
            </w:r>
            <w:r>
              <w:rPr>
                <w:rFonts w:hint="eastAsia" w:ascii="楷体_GB2312" w:hAnsi="楷体_GB2312" w:cs="楷体_GB2312"/>
                <w:lang w:val="en-US" w:eastAsia="zh-CN"/>
              </w:rPr>
              <w:t>推动农村公路建制村通双车道，</w:t>
            </w:r>
            <w:r>
              <w:rPr>
                <w:rFonts w:hint="eastAsia" w:ascii="楷体_GB2312" w:hAnsi="楷体_GB2312" w:eastAsia="楷体_GB2312" w:cs="楷体_GB2312"/>
                <w:lang w:val="en-US" w:eastAsia="zh-CN"/>
              </w:rPr>
              <w:t>同步实施道路</w:t>
            </w:r>
            <w:r>
              <w:rPr>
                <w:rFonts w:hint="eastAsia" w:ascii="楷体_GB2312" w:hAnsi="楷体_GB2312" w:eastAsia="楷体_GB2312" w:cs="楷体_GB2312"/>
              </w:rPr>
              <w:t>畅通</w:t>
            </w:r>
            <w:r>
              <w:rPr>
                <w:rFonts w:hint="eastAsia" w:ascii="楷体_GB2312" w:hAnsi="楷体_GB2312" w:eastAsia="楷体_GB2312" w:cs="楷体_GB2312"/>
                <w:lang w:val="en-US" w:eastAsia="zh-CN"/>
              </w:rPr>
              <w:t>与安全防护专项工作</w:t>
            </w:r>
            <w:r>
              <w:rPr>
                <w:rFonts w:hint="eastAsia" w:ascii="楷体_GB2312" w:hAnsi="楷体_GB2312" w:cs="楷体_GB2312"/>
                <w:lang w:val="en-US" w:eastAsia="zh-CN"/>
              </w:rPr>
              <w:t>，</w:t>
            </w:r>
            <w:r>
              <w:rPr>
                <w:rFonts w:hint="eastAsia" w:ascii="楷体_GB2312" w:hAnsi="楷体_GB2312" w:eastAsia="楷体_GB2312" w:cs="楷体_GB2312"/>
                <w:lang w:val="en-US" w:eastAsia="zh-CN"/>
              </w:rPr>
              <w:t>全面提升网络通行效率与保障能力，为乡村振兴战略提供坚实的交通支撑</w:t>
            </w:r>
            <w:r>
              <w:rPr>
                <w:rFonts w:hint="eastAsia" w:ascii="楷体_GB2312" w:hAnsi="楷体_GB2312" w:eastAsia="楷体_GB2312" w:cs="楷体_GB2312"/>
              </w:rPr>
              <w:t>。</w:t>
            </w:r>
          </w:p>
          <w:p w14:paraId="407D29C2">
            <w:pPr>
              <w:pStyle w:val="8"/>
              <w:bidi w:val="0"/>
              <w:jc w:val="both"/>
              <w:rPr>
                <w:rFonts w:hint="eastAsia" w:ascii="楷体_GB2312" w:hAnsi="楷体_GB2312" w:eastAsia="楷体_GB2312" w:cs="楷体_GB2312"/>
                <w:lang w:eastAsia="zh-CN"/>
              </w:rPr>
            </w:pPr>
            <w:r>
              <w:rPr>
                <w:rFonts w:hint="eastAsia" w:ascii="楷体_GB2312" w:hAnsi="楷体_GB2312" w:cs="楷体_GB2312"/>
                <w:b w:val="0"/>
                <w:bCs w:val="0"/>
                <w:lang w:val="en-US" w:eastAsia="zh-CN"/>
              </w:rPr>
              <w:t>（4）富锦市2026年农村供水保障工程。</w:t>
            </w:r>
            <w:r>
              <w:rPr>
                <w:rFonts w:hint="eastAsia" w:ascii="楷体_GB2312" w:hAnsi="楷体_GB2312" w:cs="楷体_GB2312"/>
                <w:lang w:val="en-US" w:eastAsia="zh-CN"/>
              </w:rPr>
              <w:t>建设规模化供水工程4处，覆盖86个村屯、户籍人口49850人；主要建设内容包括新建水源井6眼、井室6座、水泵6套、变频器6套、厂房1座、输电线路1处、水处理设备1套、输配水管网324585米、阀门井76座、智能水表7583块及其他配套设施。</w:t>
            </w:r>
          </w:p>
          <w:p w14:paraId="2589023F">
            <w:pPr>
              <w:pStyle w:val="8"/>
              <w:bidi w:val="0"/>
              <w:rPr>
                <w:rFonts w:hint="eastAsia" w:ascii="仿宋" w:hAnsi="仿宋" w:eastAsia="楷体"/>
                <w:bCs/>
                <w:szCs w:val="28"/>
                <w:lang w:eastAsia="zh-CN"/>
              </w:rPr>
            </w:pPr>
            <w:r>
              <w:rPr>
                <w:rFonts w:hint="eastAsia" w:ascii="楷体_GB2312" w:hAnsi="楷体_GB2312" w:cs="楷体_GB2312"/>
                <w:b/>
                <w:bCs/>
                <w:lang w:val="en-US" w:eastAsia="zh-CN"/>
              </w:rPr>
              <w:t>3</w:t>
            </w:r>
            <w:r>
              <w:rPr>
                <w:rFonts w:hint="eastAsia" w:ascii="楷体_GB2312" w:hAnsi="楷体_GB2312" w:eastAsia="楷体_GB2312" w:cs="楷体_GB2312"/>
                <w:b/>
                <w:bCs/>
              </w:rPr>
              <w:t>.美丽宜居示范村屯建设</w:t>
            </w:r>
            <w:r>
              <w:rPr>
                <w:rFonts w:hint="eastAsia" w:ascii="楷体_GB2312" w:hAnsi="楷体_GB2312" w:eastAsia="楷体_GB2312" w:cs="楷体_GB2312"/>
                <w:b/>
                <w:bCs/>
                <w:lang w:val="en-US" w:eastAsia="zh-CN"/>
              </w:rPr>
              <w:t>工程</w:t>
            </w:r>
            <w:r>
              <w:rPr>
                <w:rFonts w:hint="eastAsia" w:ascii="楷体_GB2312" w:hAnsi="楷体_GB2312" w:eastAsia="楷体_GB2312" w:cs="楷体_GB2312"/>
                <w:b/>
                <w:bCs/>
              </w:rPr>
              <w:t>。</w:t>
            </w:r>
            <w:r>
              <w:rPr>
                <w:rFonts w:hint="eastAsia" w:ascii="楷体_GB2312" w:hAnsi="楷体_GB2312" w:eastAsia="楷体_GB2312" w:cs="楷体_GB2312"/>
              </w:rPr>
              <w:t>扎实推进全省“百村精品、千村示范、万村创建”行动，持续推进美丽宜居示范镇、示范村建设</w:t>
            </w:r>
            <w:r>
              <w:rPr>
                <w:rFonts w:hint="eastAsia" w:ascii="楷体_GB2312" w:hAnsi="楷体_GB2312" w:eastAsia="楷体_GB2312" w:cs="楷体_GB2312"/>
                <w:lang w:eastAsia="zh-CN"/>
              </w:rPr>
              <w:t>。</w:t>
            </w:r>
          </w:p>
        </w:tc>
      </w:tr>
      <w:bookmarkEnd w:id="23"/>
    </w:tbl>
    <w:p w14:paraId="7E9A6384">
      <w:pPr>
        <w:pStyle w:val="3"/>
        <w:bidi w:val="0"/>
        <w:rPr>
          <w:rFonts w:hint="default" w:eastAsia="楷体_GB2312"/>
          <w:lang w:val="en-US" w:eastAsia="zh-CN"/>
        </w:rPr>
      </w:pPr>
      <w:bookmarkStart w:id="24" w:name="_Toc8197"/>
      <w:r>
        <w:rPr>
          <w:rFonts w:hint="eastAsia"/>
        </w:rPr>
        <w:t>第</w:t>
      </w:r>
      <w:r>
        <w:rPr>
          <w:rFonts w:hint="eastAsia"/>
          <w:lang w:val="en-US" w:eastAsia="zh-CN"/>
        </w:rPr>
        <w:t>八</w:t>
      </w:r>
      <w:r>
        <w:rPr>
          <w:rFonts w:hint="eastAsia"/>
        </w:rPr>
        <w:t xml:space="preserve">节  </w:t>
      </w:r>
      <w:r>
        <w:rPr>
          <w:rFonts w:hint="eastAsia"/>
          <w:lang w:val="en-US" w:eastAsia="zh-CN"/>
        </w:rPr>
        <w:t>提高强农惠农富农政策效能</w:t>
      </w:r>
      <w:bookmarkEnd w:id="24"/>
    </w:p>
    <w:p w14:paraId="542FF481">
      <w:pPr>
        <w:bidi w:val="0"/>
        <w:rPr>
          <w:rFonts w:hint="eastAsia" w:ascii="仿宋_GB2312" w:hAnsi="仿宋_GB2312" w:eastAsia="仿宋_GB2312" w:cs="仿宋_GB2312"/>
        </w:rPr>
      </w:pPr>
      <w:r>
        <w:rPr>
          <w:rFonts w:hint="eastAsia" w:ascii="仿宋_GB2312" w:hAnsi="仿宋_GB2312" w:cs="仿宋_GB2312"/>
          <w:lang w:val="en-US" w:eastAsia="zh-CN"/>
        </w:rPr>
        <w:t>强化惠农政策落实与农业农村改革同步推进</w:t>
      </w:r>
      <w:r>
        <w:rPr>
          <w:rFonts w:hint="eastAsia" w:ascii="仿宋_GB2312" w:hAnsi="仿宋_GB2312" w:eastAsia="仿宋_GB2312" w:cs="仿宋_GB2312"/>
        </w:rPr>
        <w:t>，瞄准农村土地制度改革、农村</w:t>
      </w:r>
      <w:r>
        <w:rPr>
          <w:rFonts w:hint="eastAsia" w:ascii="仿宋_GB2312" w:hAnsi="仿宋_GB2312" w:cs="仿宋_GB2312"/>
          <w:lang w:eastAsia="zh-CN"/>
        </w:rPr>
        <w:t>“三资”管理</w:t>
      </w:r>
      <w:r>
        <w:rPr>
          <w:rFonts w:hint="eastAsia" w:ascii="仿宋_GB2312" w:hAnsi="仿宋_GB2312" w:cs="仿宋_GB2312"/>
          <w:lang w:val="en-US" w:eastAsia="zh-CN"/>
        </w:rPr>
        <w:t>等</w:t>
      </w:r>
      <w:r>
        <w:rPr>
          <w:rFonts w:hint="eastAsia" w:ascii="仿宋_GB2312" w:hAnsi="仿宋_GB2312" w:eastAsia="仿宋_GB2312" w:cs="仿宋_GB2312"/>
          <w:lang w:val="en-US" w:eastAsia="zh-CN"/>
        </w:rPr>
        <w:t>关键</w:t>
      </w:r>
      <w:r>
        <w:rPr>
          <w:rFonts w:hint="eastAsia" w:ascii="仿宋_GB2312" w:hAnsi="仿宋_GB2312" w:eastAsia="仿宋_GB2312" w:cs="仿宋_GB2312"/>
        </w:rPr>
        <w:t>领域，</w:t>
      </w:r>
      <w:r>
        <w:rPr>
          <w:rFonts w:hint="eastAsia" w:ascii="仿宋_GB2312" w:hAnsi="仿宋_GB2312" w:eastAsia="仿宋_GB2312" w:cs="仿宋_GB2312"/>
          <w:lang w:val="en-US" w:eastAsia="zh-CN"/>
        </w:rPr>
        <w:t>精准</w:t>
      </w:r>
      <w:r>
        <w:rPr>
          <w:rFonts w:hint="eastAsia" w:ascii="仿宋_GB2312" w:hAnsi="仿宋_GB2312" w:eastAsia="仿宋_GB2312" w:cs="仿宋_GB2312"/>
        </w:rPr>
        <w:t>激活土地要素，</w:t>
      </w:r>
      <w:r>
        <w:rPr>
          <w:rFonts w:hint="eastAsia" w:ascii="仿宋_GB2312" w:hAnsi="仿宋_GB2312" w:eastAsia="仿宋_GB2312" w:cs="仿宋_GB2312"/>
          <w:lang w:val="en-US" w:eastAsia="zh-CN"/>
        </w:rPr>
        <w:t>全面</w:t>
      </w:r>
      <w:r>
        <w:rPr>
          <w:rFonts w:hint="eastAsia" w:ascii="仿宋_GB2312" w:hAnsi="仿宋_GB2312" w:eastAsia="仿宋_GB2312" w:cs="仿宋_GB2312"/>
        </w:rPr>
        <w:t>盘活集体资源，</w:t>
      </w:r>
      <w:r>
        <w:rPr>
          <w:rFonts w:hint="eastAsia" w:ascii="仿宋_GB2312" w:hAnsi="仿宋_GB2312" w:cs="仿宋_GB2312"/>
          <w:lang w:eastAsia="zh-CN"/>
        </w:rPr>
        <w:t>提高强农惠农富农政策效能</w:t>
      </w:r>
      <w:r>
        <w:rPr>
          <w:rFonts w:hint="eastAsia" w:ascii="仿宋_GB2312" w:hAnsi="仿宋_GB2312" w:eastAsia="仿宋_GB2312" w:cs="仿宋_GB2312"/>
        </w:rPr>
        <w:t>，</w:t>
      </w:r>
      <w:r>
        <w:rPr>
          <w:rFonts w:hint="eastAsia" w:ascii="仿宋_GB2312" w:hAnsi="仿宋_GB2312" w:eastAsia="仿宋_GB2312" w:cs="仿宋_GB2312"/>
          <w:lang w:val="en-US" w:eastAsia="zh-CN"/>
        </w:rPr>
        <w:t>为富锦</w:t>
      </w:r>
      <w:r>
        <w:rPr>
          <w:rFonts w:hint="eastAsia" w:ascii="仿宋_GB2312" w:hAnsi="仿宋_GB2312" w:eastAsia="仿宋_GB2312" w:cs="仿宋_GB2312"/>
        </w:rPr>
        <w:t>农业农村现代化与乡村振兴</w:t>
      </w:r>
      <w:r>
        <w:rPr>
          <w:rFonts w:hint="eastAsia" w:ascii="仿宋_GB2312" w:hAnsi="仿宋_GB2312" w:eastAsia="仿宋_GB2312" w:cs="仿宋_GB2312"/>
          <w:lang w:val="en-US" w:eastAsia="zh-CN"/>
        </w:rPr>
        <w:t>注入强劲动力</w:t>
      </w:r>
      <w:r>
        <w:rPr>
          <w:rFonts w:hint="eastAsia" w:ascii="仿宋_GB2312" w:hAnsi="仿宋_GB2312" w:eastAsia="仿宋_GB2312" w:cs="仿宋_GB2312"/>
        </w:rPr>
        <w:t>。</w:t>
      </w:r>
    </w:p>
    <w:p w14:paraId="61215207">
      <w:pPr>
        <w:bidi w:val="0"/>
        <w:rPr>
          <w:rFonts w:hint="default"/>
          <w:lang w:val="en-US" w:eastAsia="zh-CN"/>
        </w:rPr>
      </w:pPr>
      <w:r>
        <w:rPr>
          <w:rFonts w:hint="eastAsia"/>
          <w:b/>
          <w:bCs/>
          <w:lang w:val="en-US" w:eastAsia="zh-CN"/>
        </w:rPr>
        <w:t>完善强农惠农政策。</w:t>
      </w:r>
      <w:r>
        <w:rPr>
          <w:rFonts w:hint="eastAsia"/>
        </w:rPr>
        <w:t>健全财政优先保障、金融重点倾斜、社会积极参与的多元投入格局，确保乡村振兴投入力度不断增强。</w:t>
      </w:r>
      <w:r>
        <w:rPr>
          <w:rFonts w:hint="default"/>
          <w:lang w:val="en-US" w:eastAsia="zh-CN"/>
        </w:rPr>
        <w:t>强化价格、补贴、保险等政策支持和协同，加强粮食购销和科学收储，落实国家粮食主产区利益补偿制度机制，保护和调动农民种粮务农积极性。</w:t>
      </w:r>
    </w:p>
    <w:p w14:paraId="04217609">
      <w:pPr>
        <w:bidi w:val="0"/>
        <w:rPr>
          <w:rFonts w:hint="eastAsia" w:ascii="仿宋_GB2312" w:hAnsi="仿宋_GB2312" w:eastAsia="仿宋_GB2312" w:cs="仿宋_GB2312"/>
        </w:rPr>
      </w:pPr>
      <w:r>
        <w:rPr>
          <w:rFonts w:hint="eastAsia" w:ascii="仿宋_GB2312" w:hAnsi="仿宋_GB2312" w:eastAsia="仿宋_GB2312" w:cs="仿宋_GB2312"/>
          <w:b/>
          <w:bCs/>
        </w:rPr>
        <w:t>深化农村土地制度改革。</w:t>
      </w:r>
      <w:r>
        <w:rPr>
          <w:rFonts w:hint="eastAsia" w:ascii="仿宋_GB2312" w:hAnsi="仿宋_GB2312" w:eastAsia="仿宋_GB2312" w:cs="仿宋_GB2312"/>
        </w:rPr>
        <w:t>稳定和完善农村土地承包关系，坚持“大稳定、小调整”，有序推进第二轮土地承包到期后再延长三十年试点</w:t>
      </w:r>
      <w:r>
        <w:rPr>
          <w:rFonts w:hint="eastAsia" w:ascii="仿宋_GB2312" w:hAnsi="仿宋_GB2312" w:cs="仿宋_GB2312"/>
          <w:lang w:eastAsia="zh-CN"/>
        </w:rPr>
        <w:t>，</w:t>
      </w:r>
      <w:r>
        <w:rPr>
          <w:rFonts w:hint="eastAsia" w:ascii="仿宋_GB2312" w:hAnsi="仿宋_GB2312" w:cs="仿宋_GB2312"/>
          <w:lang w:val="en-US" w:eastAsia="zh-CN"/>
        </w:rPr>
        <w:t>如期完成土地延包工作</w:t>
      </w:r>
      <w:r>
        <w:rPr>
          <w:rFonts w:hint="eastAsia" w:ascii="仿宋_GB2312" w:hAnsi="仿宋_GB2312" w:eastAsia="仿宋_GB2312" w:cs="仿宋_GB2312"/>
        </w:rPr>
        <w:t>。健全承包地经营权流转管理服务制度，推动土地流转规范化、制度化，打造农村数字化土地流转管理服务平台，搭建集土地权属信息、承包方信息、基础地理信息等于一体的数据库，为农户或经济组织提供土地资源信息发布、土地申请、土地竞拍、合同签订、确权颁证等土地流转全流程“一站式”服务，实现土地流转全程线上办理，确保交易的透明化与合法性。</w:t>
      </w:r>
    </w:p>
    <w:p w14:paraId="2C2C8B82">
      <w:pPr>
        <w:bidi w:val="0"/>
        <w:rPr>
          <w:rFonts w:hint="eastAsia" w:ascii="仿宋_GB2312" w:hAnsi="仿宋_GB2312" w:eastAsia="仿宋_GB2312" w:cs="仿宋_GB2312"/>
        </w:rPr>
      </w:pPr>
      <w:r>
        <w:rPr>
          <w:rFonts w:hint="eastAsia" w:ascii="仿宋_GB2312" w:hAnsi="仿宋_GB2312" w:eastAsia="仿宋_GB2312" w:cs="仿宋_GB2312"/>
          <w:b/>
          <w:bCs/>
        </w:rPr>
        <w:t>深化农村“三资”</w:t>
      </w:r>
      <w:r>
        <w:rPr>
          <w:rFonts w:hint="eastAsia" w:ascii="仿宋_GB2312" w:hAnsi="仿宋_GB2312" w:eastAsia="仿宋_GB2312" w:cs="仿宋_GB2312"/>
          <w:b/>
          <w:bCs/>
          <w:lang w:val="en-US" w:eastAsia="zh-CN"/>
        </w:rPr>
        <w:t>管理</w:t>
      </w:r>
      <w:r>
        <w:rPr>
          <w:rFonts w:hint="eastAsia" w:ascii="仿宋_GB2312" w:hAnsi="仿宋_GB2312" w:cs="仿宋_GB2312"/>
          <w:b/>
          <w:bCs/>
          <w:lang w:val="en-US" w:eastAsia="zh-CN"/>
        </w:rPr>
        <w:t>改革</w:t>
      </w:r>
      <w:r>
        <w:rPr>
          <w:rFonts w:hint="eastAsia" w:ascii="仿宋_GB2312" w:hAnsi="仿宋_GB2312" w:eastAsia="仿宋_GB2312" w:cs="仿宋_GB2312"/>
          <w:b/>
          <w:bCs/>
        </w:rPr>
        <w:t>。</w:t>
      </w:r>
      <w:r>
        <w:rPr>
          <w:rFonts w:hint="eastAsia" w:ascii="仿宋_GB2312" w:hAnsi="仿宋_GB2312" w:eastAsia="仿宋_GB2312" w:cs="仿宋_GB2312"/>
        </w:rPr>
        <w:t>建</w:t>
      </w:r>
      <w:r>
        <w:rPr>
          <w:rFonts w:hint="eastAsia" w:ascii="仿宋_GB2312" w:hAnsi="仿宋_GB2312" w:eastAsia="仿宋_GB2312" w:cs="仿宋_GB2312"/>
          <w:lang w:val="en-US" w:eastAsia="zh-CN"/>
        </w:rPr>
        <w:t>立健全农村集体经济“三资”管理制度，全面升级农村“三资”管理平台，打造集“监管、交易、运营、金融”于一体的农村集体资产综合服务平台，实现资产地图可视化、线上交易全流程、风险预警实时化。建立健全集体资产年度清查与定期报告制度，重点盘活闲置或低效使用的厂房、校舍、机械设备等经营性资产和“四荒”地等资源。</w:t>
      </w:r>
      <w:r>
        <w:rPr>
          <w:rFonts w:hint="eastAsia"/>
        </w:rPr>
        <w:t>节约集约利用农村集体经营性建设用地，依法盘活用好闲置土地和房屋，分类保障乡村发展用地。</w:t>
      </w:r>
      <w:r>
        <w:rPr>
          <w:rFonts w:hint="eastAsia" w:ascii="仿宋_GB2312" w:hAnsi="仿宋_GB2312" w:eastAsia="仿宋_GB2312" w:cs="仿宋_GB2312"/>
          <w:lang w:val="en-US" w:eastAsia="zh-CN"/>
        </w:rPr>
        <w:t>构建集体经济组织成员民主监督、纪委监督、第三方审计等多方监督制度，保障农村集体经济组织成员集体收益分配权。</w:t>
      </w:r>
    </w:p>
    <w:p w14:paraId="6921710D">
      <w:pPr>
        <w:bidi w:val="0"/>
        <w:rPr>
          <w:rFonts w:hint="eastAsia" w:ascii="仿宋_GB2312" w:hAnsi="仿宋_GB2312" w:eastAsia="仿宋_GB2312" w:cs="仿宋_GB2312"/>
          <w:lang w:val="en-US" w:eastAsia="zh-CN"/>
        </w:rPr>
      </w:pPr>
      <w:r>
        <w:rPr>
          <w:rFonts w:hint="eastAsia" w:ascii="仿宋_GB2312" w:hAnsi="仿宋_GB2312" w:cs="仿宋_GB2312"/>
          <w:b/>
          <w:bCs/>
          <w:lang w:val="en-US" w:eastAsia="zh-CN"/>
        </w:rPr>
        <w:t>发展壮大</w:t>
      </w:r>
      <w:r>
        <w:rPr>
          <w:rFonts w:hint="eastAsia" w:ascii="仿宋_GB2312" w:hAnsi="仿宋_GB2312" w:eastAsia="仿宋_GB2312" w:cs="仿宋_GB2312"/>
          <w:b/>
          <w:bCs/>
          <w:lang w:val="en-US" w:eastAsia="zh-CN"/>
        </w:rPr>
        <w:t>新型农村集体经济。</w:t>
      </w:r>
      <w:r>
        <w:rPr>
          <w:rFonts w:hint="eastAsia" w:ascii="仿宋_GB2312" w:hAnsi="仿宋_GB2312" w:eastAsia="仿宋_GB2312" w:cs="仿宋_GB2312"/>
          <w:lang w:val="en-US" w:eastAsia="zh-CN"/>
        </w:rPr>
        <w:t>积极探索新型农村集体经济发展实现形式，因地制宜探索村企联营、多村合作、整镇组团等抱团发展模式，通过资源发包、资产租赁、物业服务、资产参股、产业发展等多样化途径，有效提高农村集体经济组织经营性收入。实施“强村公司”培育计划，鼓励乡镇或强村牵头组建市场化运营的“强村公司”或“联合总社”，整合区域资源，承接小型工程项目、环境整治等业务，实现规模化、专业化发展。创新“村企联动”发展机制，鼓励村集体与农业龙头企业、农民专业合作社、家庭农场等组建混合所有制经营实体，建立“保底收益+按股分红”等紧密利益联结机制。深化农村金融改革，推广“集体资产股权抵押贷”“乡村振兴贷”等金融产品，鼓励农业信贷担保体系向集体经济项目倾斜。</w:t>
      </w:r>
    </w:p>
    <w:p w14:paraId="00F3CC57">
      <w:pPr>
        <w:bidi w:val="0"/>
        <w:rPr>
          <w:rFonts w:hint="eastAsia" w:ascii="仿宋_GB2312" w:hAnsi="仿宋_GB2312" w:eastAsia="仿宋_GB2312" w:cs="仿宋_GB2312"/>
          <w:lang w:val="en-US" w:eastAsia="zh-CN"/>
        </w:rPr>
      </w:pPr>
      <w:r>
        <w:rPr>
          <w:rFonts w:hint="eastAsia" w:ascii="仿宋_GB2312" w:hAnsi="仿宋_GB2312" w:eastAsia="仿宋_GB2312" w:cs="仿宋_GB2312"/>
          <w:b/>
          <w:bCs/>
        </w:rPr>
        <w:t>拓宽农民增收致富渠道。</w:t>
      </w:r>
      <w:r>
        <w:rPr>
          <w:rFonts w:hint="eastAsia" w:ascii="仿宋_GB2312" w:hAnsi="仿宋_GB2312" w:eastAsia="仿宋_GB2312" w:cs="仿宋_GB2312"/>
          <w:lang w:val="en-US" w:eastAsia="zh-CN"/>
        </w:rPr>
        <w:t>强化产业赋能与技能提升，</w:t>
      </w:r>
      <w:r>
        <w:rPr>
          <w:rFonts w:hint="eastAsia" w:ascii="仿宋_GB2312" w:hAnsi="仿宋_GB2312" w:eastAsia="仿宋_GB2312" w:cs="仿宋_GB2312"/>
        </w:rPr>
        <w:t>通过发展农产品精深加工、乡村文旅、农村电商等新业态拓宽经营性收入渠道</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并实施</w:t>
      </w:r>
      <w:r>
        <w:rPr>
          <w:rFonts w:hint="eastAsia" w:ascii="仿宋_GB2312" w:hAnsi="仿宋_GB2312" w:eastAsia="仿宋_GB2312" w:cs="仿宋_GB2312"/>
        </w:rPr>
        <w:t>精准职业技能培训，促进农民向高素质技术能手转变，稳定提高工资性收入</w:t>
      </w:r>
      <w:r>
        <w:rPr>
          <w:rFonts w:hint="eastAsia" w:ascii="仿宋_GB2312" w:hAnsi="仿宋_GB2312" w:eastAsia="仿宋_GB2312" w:cs="仿宋_GB2312"/>
          <w:lang w:val="en-US" w:eastAsia="zh-CN"/>
        </w:rPr>
        <w:t>。</w:t>
      </w:r>
      <w:r>
        <w:rPr>
          <w:rFonts w:hint="eastAsia" w:ascii="仿宋_GB2312" w:hAnsi="仿宋_GB2312" w:eastAsia="仿宋_GB2312" w:cs="仿宋_GB2312"/>
        </w:rPr>
        <w:t>全面推动农村“三变”改革，引导农民以</w:t>
      </w:r>
      <w:r>
        <w:rPr>
          <w:rFonts w:hint="eastAsia" w:ascii="仿宋_GB2312" w:hAnsi="仿宋_GB2312" w:cs="仿宋_GB2312"/>
          <w:lang w:eastAsia="zh-CN"/>
        </w:rPr>
        <w:t>土</w:t>
      </w:r>
      <w:r>
        <w:rPr>
          <w:rFonts w:hint="eastAsia" w:ascii="仿宋_GB2312" w:hAnsi="仿宋_GB2312" w:eastAsia="仿宋_GB2312" w:cs="仿宋_GB2312"/>
        </w:rPr>
        <w:t>地、资金等要素入股参与经营，激活财产性收入潜力</w:t>
      </w:r>
      <w:r>
        <w:rPr>
          <w:rFonts w:hint="eastAsia" w:ascii="仿宋_GB2312" w:hAnsi="仿宋_GB2312" w:eastAsia="仿宋_GB2312" w:cs="仿宋_GB2312"/>
          <w:lang w:eastAsia="zh-CN"/>
        </w:rPr>
        <w:t>，</w:t>
      </w:r>
      <w:r>
        <w:rPr>
          <w:rFonts w:hint="eastAsia" w:ascii="仿宋_GB2312" w:hAnsi="仿宋_GB2312" w:eastAsia="仿宋_GB2312" w:cs="仿宋_GB2312"/>
        </w:rPr>
        <w:t>同时完善惠农政策直达机制，筑牢转移性收入保障网</w:t>
      </w:r>
      <w:r>
        <w:rPr>
          <w:rFonts w:hint="eastAsia" w:ascii="仿宋_GB2312" w:hAnsi="仿宋_GB2312" w:eastAsia="仿宋_GB2312" w:cs="仿宋_GB2312"/>
          <w:lang w:eastAsia="zh-CN"/>
        </w:rPr>
        <w:t>。</w:t>
      </w:r>
      <w:r>
        <w:rPr>
          <w:rFonts w:hint="eastAsia" w:ascii="仿宋_GB2312" w:hAnsi="仿宋_GB2312" w:eastAsia="仿宋_GB2312" w:cs="仿宋_GB2312"/>
        </w:rPr>
        <w:t>大力培育种养大户，</w:t>
      </w:r>
      <w:r>
        <w:rPr>
          <w:rFonts w:hint="eastAsia" w:ascii="仿宋_GB2312" w:hAnsi="仿宋_GB2312" w:eastAsia="仿宋_GB2312" w:cs="仿宋_GB2312"/>
          <w:lang w:val="en-US" w:eastAsia="zh-CN"/>
        </w:rPr>
        <w:t>引导</w:t>
      </w:r>
      <w:r>
        <w:rPr>
          <w:rFonts w:hint="eastAsia" w:ascii="仿宋_GB2312" w:hAnsi="仿宋_GB2312" w:eastAsia="仿宋_GB2312" w:cs="仿宋_GB2312"/>
        </w:rPr>
        <w:t>有条件基础的镇村利用闲置宅基地和非耕地种植万寿菊、菇娘、食用菌等经济作物，稳步提升果蔬种植面积。</w:t>
      </w:r>
      <w:r>
        <w:rPr>
          <w:rFonts w:hint="eastAsia" w:ascii="仿宋_GB2312" w:hAnsi="仿宋_GB2312" w:cs="仿宋_GB2312"/>
          <w:lang w:val="en-US" w:eastAsia="zh-CN"/>
        </w:rPr>
        <w:t>做好巩固拓展脱贫攻坚成果同乡村振兴有效衔接过渡期后常态化帮扶工作，统筹建立常态化防止返贫致贫帮扶机制，</w:t>
      </w:r>
      <w:r>
        <w:rPr>
          <w:rFonts w:hint="eastAsia" w:ascii="仿宋_GB2312" w:hAnsi="仿宋_GB2312" w:eastAsia="仿宋_GB2312" w:cs="仿宋_GB2312"/>
          <w:lang w:val="en-US" w:eastAsia="zh-CN"/>
        </w:rPr>
        <w:t>坚持开发式帮扶与兜底保障相结合，激发内生动力，发挥好产业和就业的带动增收作用，加快补齐基础设施和基本公共服务短板，</w:t>
      </w:r>
      <w:r>
        <w:rPr>
          <w:rFonts w:hint="eastAsia" w:ascii="仿宋_GB2312" w:hAnsi="仿宋_GB2312" w:cs="仿宋_GB2312"/>
          <w:lang w:val="en-US" w:eastAsia="zh-CN"/>
        </w:rPr>
        <w:t>促进乡村全面振兴</w:t>
      </w:r>
      <w:r>
        <w:rPr>
          <w:rFonts w:hint="eastAsia" w:ascii="仿宋_GB2312" w:hAnsi="仿宋_GB2312" w:eastAsia="仿宋_GB2312" w:cs="仿宋_GB2312"/>
          <w:lang w:val="en-US" w:eastAsia="zh-CN"/>
        </w:rPr>
        <w:t>。</w:t>
      </w:r>
    </w:p>
    <w:p w14:paraId="6D1DBFA5">
      <w:pPr>
        <w:rPr>
          <w:rFonts w:hint="eastAsia" w:ascii="黑体" w:hAnsi="黑体" w:eastAsia="黑体" w:cs="黑体"/>
          <w:szCs w:val="48"/>
          <w:lang w:val="en-US" w:eastAsia="zh-CN"/>
        </w:rPr>
      </w:pPr>
      <w:r>
        <w:rPr>
          <w:rFonts w:hint="eastAsia" w:ascii="仿宋_GB2312" w:hAnsi="仿宋_GB2312" w:eastAsia="仿宋_GB2312" w:cs="仿宋_GB2312"/>
          <w:lang w:val="en-US" w:eastAsia="zh-CN"/>
        </w:rPr>
        <w:br w:type="page"/>
      </w:r>
    </w:p>
    <w:p w14:paraId="1CD73B73">
      <w:pPr>
        <w:pStyle w:val="2"/>
        <w:bidi w:val="0"/>
        <w:ind w:left="0" w:leftChars="0" w:firstLine="0" w:firstLineChars="0"/>
        <w:jc w:val="center"/>
        <w:rPr>
          <w:rFonts w:hint="default" w:ascii="黑体" w:hAnsi="黑体" w:eastAsia="黑体" w:cs="黑体"/>
          <w:sz w:val="36"/>
          <w:szCs w:val="48"/>
          <w:lang w:val="en-US" w:eastAsia="zh-CN"/>
        </w:rPr>
      </w:pPr>
      <w:bookmarkStart w:id="25" w:name="_Toc23702"/>
      <w:r>
        <w:rPr>
          <w:rFonts w:hint="eastAsia" w:ascii="黑体" w:hAnsi="黑体" w:eastAsia="黑体" w:cs="黑体"/>
          <w:sz w:val="36"/>
          <w:szCs w:val="48"/>
          <w:lang w:val="en-US" w:eastAsia="zh-CN"/>
        </w:rPr>
        <w:t>第四章  巩固壮大实体经济根基，构建富锦特色现代化产业体系</w:t>
      </w:r>
      <w:bookmarkEnd w:id="25"/>
    </w:p>
    <w:p w14:paraId="10A0E556">
      <w:pPr>
        <w:bidi w:val="0"/>
        <w:rPr>
          <w:rFonts w:hint="eastAsia" w:ascii="仿宋_GB2312" w:hAnsi="仿宋_GB2312" w:eastAsia="仿宋_GB2312" w:cs="仿宋_GB2312"/>
        </w:rPr>
      </w:pPr>
      <w:r>
        <w:rPr>
          <w:rFonts w:hint="eastAsia" w:ascii="仿宋_GB2312" w:hAnsi="仿宋_GB2312" w:eastAsia="仿宋_GB2312" w:cs="仿宋_GB2312"/>
          <w:lang w:val="en-US" w:eastAsia="zh-CN"/>
        </w:rPr>
        <w:t>坚持</w:t>
      </w:r>
      <w:r>
        <w:rPr>
          <w:rFonts w:hint="eastAsia" w:ascii="仿宋_GB2312" w:hAnsi="仿宋_GB2312" w:cs="仿宋_GB2312"/>
          <w:lang w:val="en-US" w:eastAsia="zh-CN"/>
        </w:rPr>
        <w:t>把发展经济的着力点放在实体经济</w:t>
      </w:r>
      <w:r>
        <w:rPr>
          <w:rFonts w:hint="eastAsia" w:ascii="仿宋_GB2312" w:hAnsi="仿宋_GB2312" w:eastAsia="仿宋_GB2312" w:cs="仿宋_GB2312"/>
          <w:lang w:val="en-US" w:eastAsia="zh-CN"/>
        </w:rPr>
        <w:t>上，</w:t>
      </w:r>
      <w:r>
        <w:rPr>
          <w:rFonts w:hint="eastAsia" w:ascii="仿宋_GB2312" w:hAnsi="仿宋_GB2312" w:eastAsia="仿宋_GB2312" w:cs="仿宋_GB2312"/>
          <w:lang w:eastAsia="zh-CN"/>
        </w:rPr>
        <w:t>聚焦省“4567”现代化产业体系和佳木斯</w:t>
      </w:r>
      <w:r>
        <w:rPr>
          <w:rFonts w:hint="eastAsia" w:ascii="仿宋_GB2312" w:hAnsi="仿宋_GB2312" w:eastAsia="仿宋_GB2312" w:cs="仿宋_GB2312"/>
          <w:lang w:val="en-US" w:eastAsia="zh-CN"/>
        </w:rPr>
        <w:t>市</w:t>
      </w:r>
      <w:r>
        <w:rPr>
          <w:rFonts w:hint="eastAsia" w:ascii="仿宋_GB2312" w:hAnsi="仿宋_GB2312" w:eastAsia="仿宋_GB2312" w:cs="仿宋_GB2312"/>
          <w:lang w:eastAsia="zh-CN"/>
        </w:rPr>
        <w:t>“千百十”产业量级提升工程，</w:t>
      </w:r>
      <w:r>
        <w:rPr>
          <w:rFonts w:hint="eastAsia" w:ascii="仿宋_GB2312" w:hAnsi="仿宋_GB2312" w:eastAsia="仿宋_GB2312" w:cs="仿宋_GB2312"/>
          <w:lang w:val="en-US" w:eastAsia="zh-CN"/>
        </w:rPr>
        <w:t>加快培育形成绿色食品</w:t>
      </w:r>
      <w:r>
        <w:rPr>
          <w:rFonts w:hint="eastAsia" w:ascii="仿宋_GB2312" w:hAnsi="仿宋_GB2312" w:cs="仿宋_GB2312"/>
          <w:lang w:val="en-US" w:eastAsia="zh-CN"/>
        </w:rPr>
        <w:t>、</w:t>
      </w:r>
      <w:r>
        <w:rPr>
          <w:rFonts w:hint="eastAsia" w:ascii="仿宋_GB2312" w:hAnsi="仿宋_GB2312" w:eastAsia="仿宋_GB2312" w:cs="仿宋_GB2312"/>
          <w:lang w:val="en-US" w:eastAsia="zh-CN"/>
        </w:rPr>
        <w:t>生物经济、新能源三个百亿级产业集群，着力发展低空经济、智能农机、数字经济三大</w:t>
      </w:r>
      <w:r>
        <w:rPr>
          <w:rFonts w:hint="eastAsia" w:ascii="仿宋_GB2312" w:hAnsi="仿宋_GB2312" w:cs="仿宋_GB2312"/>
          <w:lang w:val="en-US" w:eastAsia="zh-CN"/>
        </w:rPr>
        <w:t>战略性新兴产业</w:t>
      </w:r>
      <w:r>
        <w:rPr>
          <w:rFonts w:hint="eastAsia" w:ascii="仿宋_GB2312" w:hAnsi="仿宋_GB2312" w:eastAsia="仿宋_GB2312" w:cs="仿宋_GB2312"/>
          <w:lang w:val="en-US" w:eastAsia="zh-CN"/>
        </w:rPr>
        <w:t>，全面提升文化旅游、商贸物流、跨境贸易三大现代服务业发展水平。</w:t>
      </w:r>
    </w:p>
    <w:p w14:paraId="11D4F7D6">
      <w:pPr>
        <w:pStyle w:val="3"/>
        <w:keepNext w:val="0"/>
        <w:keepLines w:val="0"/>
        <w:widowControl/>
        <w:spacing w:line="240" w:lineRule="auto"/>
        <w:ind w:left="0" w:leftChars="0" w:firstLine="0" w:firstLineChars="0"/>
        <w:jc w:val="center"/>
        <w:rPr>
          <w:rFonts w:hint="eastAsia" w:ascii="楷体_GB2312" w:hAnsi="楷体_GB2312" w:eastAsia="楷体_GB2312" w:cs="楷体_GB2312"/>
          <w:u w:val="none"/>
          <w:shd w:val="clear" w:fill="auto"/>
        </w:rPr>
      </w:pPr>
      <w:bookmarkStart w:id="26" w:name="_Toc29379"/>
      <w:r>
        <w:rPr>
          <w:rFonts w:hint="eastAsia" w:ascii="楷体_GB2312" w:hAnsi="楷体_GB2312" w:eastAsia="楷体_GB2312" w:cs="楷体_GB2312"/>
          <w:u w:val="none"/>
          <w:shd w:val="clear" w:fill="auto"/>
        </w:rPr>
        <w:t>第一节  构建“3+3+3”现代化产业体系</w:t>
      </w:r>
      <w:bookmarkEnd w:id="26"/>
    </w:p>
    <w:p w14:paraId="32348F0E">
      <w:pPr>
        <w:bidi w:val="0"/>
        <w:rPr>
          <w:rFonts w:hint="eastAsia" w:ascii="仿宋_GB2312" w:hAnsi="仿宋_GB2312" w:eastAsia="仿宋_GB2312" w:cs="仿宋_GB2312"/>
        </w:rPr>
      </w:pPr>
      <w:r>
        <w:rPr>
          <w:rFonts w:hint="eastAsia" w:ascii="仿宋_GB2312" w:hAnsi="仿宋_GB2312" w:eastAsia="仿宋_GB2312" w:cs="仿宋_GB2312"/>
        </w:rPr>
        <w:t>立足六大产业链基础和</w:t>
      </w:r>
      <w:r>
        <w:rPr>
          <w:rFonts w:hint="eastAsia" w:ascii="仿宋_GB2312" w:hAnsi="仿宋_GB2312" w:eastAsia="仿宋_GB2312" w:cs="仿宋_GB2312"/>
          <w:lang w:val="en-US" w:eastAsia="zh-CN"/>
        </w:rPr>
        <w:t>区域</w:t>
      </w:r>
      <w:r>
        <w:rPr>
          <w:rFonts w:hint="eastAsia" w:ascii="仿宋_GB2312" w:hAnsi="仿宋_GB2312" w:eastAsia="仿宋_GB2312" w:cs="仿宋_GB2312"/>
          <w:lang w:eastAsia="zh-CN"/>
        </w:rPr>
        <w:t>资源禀赋</w:t>
      </w:r>
      <w:r>
        <w:rPr>
          <w:rFonts w:hint="eastAsia" w:ascii="仿宋_GB2312" w:hAnsi="仿宋_GB2312" w:eastAsia="仿宋_GB2312" w:cs="仿宋_GB2312"/>
        </w:rPr>
        <w:t>，以产业链垂直整合和跨产业生态耦合为关键路径，高质量发展现有优势产业、大力培育战略性新兴产业、着力强化现代服务业支撑，推动特色优势产业聚链成群，打造具备富锦特色的“3+3+3”现代化产业体系。</w:t>
      </w:r>
    </w:p>
    <w:p w14:paraId="6976374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ascii="仿宋" w:hAnsi="仿宋" w:eastAsia="仿宋" w:cs="仿宋"/>
        </w:rPr>
      </w:pPr>
      <w:r>
        <w:rPr>
          <w:rFonts w:hint="eastAsia" w:eastAsia="仿宋"/>
          <w:lang w:eastAsia="zh-CN"/>
        </w:rPr>
        <w:drawing>
          <wp:inline distT="0" distB="0" distL="114300" distR="114300">
            <wp:extent cx="5266690" cy="1725295"/>
            <wp:effectExtent l="0" t="0" r="10160" b="8255"/>
            <wp:docPr id="5" name="图片 5"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片1"/>
                    <pic:cNvPicPr>
                      <a:picLocks noChangeAspect="1"/>
                    </pic:cNvPicPr>
                  </pic:nvPicPr>
                  <pic:blipFill>
                    <a:blip r:embed="rId12"/>
                    <a:stretch>
                      <a:fillRect/>
                    </a:stretch>
                  </pic:blipFill>
                  <pic:spPr>
                    <a:xfrm>
                      <a:off x="0" y="0"/>
                      <a:ext cx="5266690" cy="1725295"/>
                    </a:xfrm>
                    <a:prstGeom prst="rect">
                      <a:avLst/>
                    </a:prstGeom>
                  </pic:spPr>
                </pic:pic>
              </a:graphicData>
            </a:graphic>
          </wp:inline>
        </w:drawing>
      </w:r>
    </w:p>
    <w:p w14:paraId="18E035B7">
      <w:pPr>
        <w:pStyle w:val="6"/>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 w:hAnsi="仿宋" w:eastAsia="仿宋" w:cs="仿宋"/>
          <w:lang w:val="en-US" w:eastAsia="zh-CN"/>
        </w:rPr>
      </w:pPr>
      <w:r>
        <w:rPr>
          <w:rFonts w:hint="eastAsia" w:ascii="仿宋" w:hAnsi="仿宋" w:eastAsia="仿宋" w:cs="仿宋"/>
        </w:rPr>
        <w:t xml:space="preserve">图 </w:t>
      </w:r>
      <w:r>
        <w:rPr>
          <w:rFonts w:hint="eastAsia" w:ascii="仿宋" w:hAnsi="仿宋" w:eastAsia="仿宋" w:cs="仿宋"/>
        </w:rPr>
        <w:fldChar w:fldCharType="begin"/>
      </w:r>
      <w:r>
        <w:rPr>
          <w:rFonts w:hint="eastAsia" w:ascii="仿宋" w:hAnsi="仿宋" w:eastAsia="仿宋" w:cs="仿宋"/>
        </w:rPr>
        <w:instrText xml:space="preserve"> SEQ 图 \* ARABIC </w:instrText>
      </w:r>
      <w:r>
        <w:rPr>
          <w:rFonts w:hint="eastAsia" w:ascii="仿宋" w:hAnsi="仿宋" w:eastAsia="仿宋" w:cs="仿宋"/>
        </w:rPr>
        <w:fldChar w:fldCharType="separate"/>
      </w:r>
      <w:r>
        <w:rPr>
          <w:rFonts w:hint="eastAsia" w:ascii="仿宋" w:hAnsi="仿宋" w:eastAsia="仿宋" w:cs="仿宋"/>
        </w:rPr>
        <w:t>1</w:t>
      </w:r>
      <w:r>
        <w:rPr>
          <w:rFonts w:hint="eastAsia" w:ascii="仿宋" w:hAnsi="仿宋" w:eastAsia="仿宋" w:cs="仿宋"/>
        </w:rPr>
        <w:fldChar w:fldCharType="end"/>
      </w:r>
      <w:r>
        <w:rPr>
          <w:rFonts w:hint="eastAsia" w:ascii="仿宋" w:hAnsi="仿宋" w:eastAsia="仿宋" w:cs="仿宋"/>
          <w:lang w:val="en-US" w:eastAsia="zh-CN"/>
        </w:rPr>
        <w:t xml:space="preserve">  富锦市现代化产业体系图</w:t>
      </w:r>
    </w:p>
    <w:p w14:paraId="2560DC69">
      <w:pPr>
        <w:bidi w:val="0"/>
        <w:rPr>
          <w:rFonts w:hint="eastAsia" w:ascii="仿宋_GB2312" w:hAnsi="仿宋_GB2312" w:eastAsia="仿宋_GB2312" w:cs="仿宋_GB2312"/>
        </w:rPr>
      </w:pPr>
      <w:r>
        <w:rPr>
          <w:rFonts w:hint="eastAsia" w:ascii="仿宋_GB2312" w:hAnsi="仿宋_GB2312" w:eastAsia="仿宋_GB2312" w:cs="仿宋_GB2312"/>
          <w:b/>
          <w:bCs/>
        </w:rPr>
        <w:t>“3”大百亿级主导产业。生物经济</w:t>
      </w:r>
      <w:r>
        <w:rPr>
          <w:rFonts w:hint="eastAsia" w:ascii="仿宋_GB2312" w:hAnsi="仿宋_GB2312" w:eastAsia="仿宋_GB2312" w:cs="仿宋_GB2312"/>
        </w:rPr>
        <w:t>，以生物发酵为核心，围绕新型糖、高端氨基酸等延链、拓链，持续培育壮大功能食品、生物基材料、医药中间体等高附加值产品，推进新型糖产业园建设，打造成为黑龙江省“农业生物质资源转化”战略核心承载示范区。</w:t>
      </w:r>
      <w:r>
        <w:rPr>
          <w:rFonts w:hint="eastAsia" w:ascii="仿宋_GB2312" w:hAnsi="仿宋_GB2312" w:eastAsia="仿宋_GB2312" w:cs="仿宋_GB2312"/>
          <w:b/>
          <w:bCs/>
        </w:rPr>
        <w:t>新能源</w:t>
      </w:r>
      <w:r>
        <w:rPr>
          <w:rFonts w:hint="eastAsia" w:ascii="仿宋_GB2312" w:hAnsi="仿宋_GB2312" w:eastAsia="仿宋_GB2312" w:cs="仿宋_GB2312"/>
          <w:b/>
          <w:bCs/>
          <w:lang w:val="en-US" w:eastAsia="zh-CN"/>
        </w:rPr>
        <w:t>产业</w:t>
      </w:r>
      <w:r>
        <w:rPr>
          <w:rFonts w:hint="eastAsia" w:ascii="仿宋_GB2312" w:hAnsi="仿宋_GB2312" w:eastAsia="仿宋_GB2312" w:cs="仿宋_GB2312"/>
        </w:rPr>
        <w:t>，聚焦“</w:t>
      </w:r>
      <w:r>
        <w:rPr>
          <w:rFonts w:hint="eastAsia" w:ascii="仿宋_GB2312" w:hAnsi="仿宋_GB2312" w:eastAsia="仿宋_GB2312" w:cs="仿宋_GB2312"/>
          <w:lang w:eastAsia="zh-CN"/>
        </w:rPr>
        <w:t>双碳”</w:t>
      </w:r>
      <w:r>
        <w:rPr>
          <w:rFonts w:hint="eastAsia" w:ascii="仿宋_GB2312" w:hAnsi="仿宋_GB2312" w:eastAsia="仿宋_GB2312" w:cs="仿宋_GB2312"/>
        </w:rPr>
        <w:t>目标，围绕风电及生物质能源基础，配套发展储能技术、智慧电网、绿氢等，探索新能源电力直供发展模式，提升电网消纳能力和稳定性，打造零碳产业示范园，进一步实现能源结构优化和低碳发展。</w:t>
      </w:r>
      <w:r>
        <w:rPr>
          <w:rFonts w:hint="eastAsia" w:ascii="仿宋_GB2312" w:hAnsi="仿宋_GB2312" w:eastAsia="仿宋_GB2312" w:cs="仿宋_GB2312"/>
          <w:b/>
          <w:bCs/>
        </w:rPr>
        <w:t>绿色食品</w:t>
      </w:r>
      <w:r>
        <w:rPr>
          <w:rFonts w:hint="eastAsia" w:ascii="仿宋_GB2312" w:hAnsi="仿宋_GB2312" w:eastAsia="仿宋_GB2312" w:cs="仿宋_GB2312"/>
        </w:rPr>
        <w:t>，围绕“寒地黑土”优质农产品，以即食食品、植物基食品、大豆蛋白等精深加工为核心，强化区域品牌协同联动，构建全过程安全可追溯体系，打造绿色、有机、高品质食品供应中心和精深加工基地。</w:t>
      </w:r>
    </w:p>
    <w:p w14:paraId="0FF47732">
      <w:pPr>
        <w:bidi w:val="0"/>
        <w:rPr>
          <w:rFonts w:hint="eastAsia" w:ascii="仿宋_GB2312" w:hAnsi="仿宋_GB2312" w:eastAsia="仿宋_GB2312" w:cs="仿宋_GB2312"/>
        </w:rPr>
      </w:pPr>
      <w:r>
        <w:rPr>
          <w:rFonts w:hint="eastAsia" w:ascii="仿宋_GB2312" w:hAnsi="仿宋_GB2312" w:eastAsia="仿宋_GB2312" w:cs="仿宋_GB2312"/>
          <w:b/>
          <w:bCs/>
        </w:rPr>
        <w:t>“3”大战略性新兴产业。低空经济</w:t>
      </w:r>
      <w:r>
        <w:rPr>
          <w:rFonts w:hint="eastAsia" w:ascii="仿宋_GB2312" w:hAnsi="仿宋_GB2312" w:eastAsia="仿宋_GB2312" w:cs="仿宋_GB2312"/>
        </w:rPr>
        <w:t>，立足农业根基，聚焦精准农业、智慧物流、生态监管、应急消防等低空场景构建，布局无人机枢纽港、引进无人机整机制造、培育运维服务，探索万亩级无人机全托管农场示范运营，打造农业天空之城。</w:t>
      </w:r>
      <w:r>
        <w:rPr>
          <w:rFonts w:hint="eastAsia" w:ascii="仿宋_GB2312" w:hAnsi="仿宋_GB2312" w:eastAsia="仿宋_GB2312" w:cs="仿宋_GB2312"/>
          <w:b/>
          <w:bCs/>
        </w:rPr>
        <w:t>数字经济</w:t>
      </w:r>
      <w:r>
        <w:rPr>
          <w:rFonts w:hint="eastAsia" w:ascii="仿宋_GB2312" w:hAnsi="仿宋_GB2312" w:eastAsia="仿宋_GB2312" w:cs="仿宋_GB2312"/>
        </w:rPr>
        <w:t>，</w:t>
      </w:r>
      <w:r>
        <w:rPr>
          <w:rFonts w:hint="eastAsia" w:ascii="仿宋_GB2312" w:hAnsi="仿宋_GB2312" w:eastAsia="仿宋_GB2312" w:cs="仿宋_GB2312"/>
          <w:lang w:val="en-US" w:eastAsia="zh-CN"/>
        </w:rPr>
        <w:t>依托“一桥一岛”对俄合作独特优势，加快引进新型显示器件、</w:t>
      </w:r>
      <w:r>
        <w:rPr>
          <w:rFonts w:hint="eastAsia" w:ascii="仿宋_GB2312" w:hAnsi="仿宋_GB2312" w:eastAsia="仿宋_GB2312" w:cs="仿宋_GB2312"/>
        </w:rPr>
        <w:t>农业光电装备、新能源光电组件等</w:t>
      </w:r>
      <w:r>
        <w:rPr>
          <w:rFonts w:hint="eastAsia" w:ascii="仿宋_GB2312" w:hAnsi="仿宋_GB2312" w:eastAsia="仿宋_GB2312" w:cs="仿宋_GB2312"/>
          <w:lang w:val="en-US" w:eastAsia="zh-CN"/>
        </w:rPr>
        <w:t>光电智能制造领域企业落户富锦</w:t>
      </w:r>
      <w:r>
        <w:rPr>
          <w:rFonts w:hint="eastAsia" w:ascii="仿宋_GB2312" w:hAnsi="仿宋_GB2312" w:eastAsia="仿宋_GB2312" w:cs="仿宋_GB2312"/>
        </w:rPr>
        <w:t>，建设数字车间、数字工厂；部署农田物联网传感器，搭建农业大数据中心，构建“农业数字大脑”，致力于打造黑土地数字农场标杆。</w:t>
      </w:r>
      <w:r>
        <w:rPr>
          <w:rFonts w:hint="eastAsia" w:ascii="仿宋_GB2312" w:hAnsi="仿宋_GB2312" w:eastAsia="仿宋_GB2312" w:cs="仿宋_GB2312"/>
          <w:b/>
          <w:bCs/>
        </w:rPr>
        <w:t>智能农机，</w:t>
      </w:r>
      <w:r>
        <w:rPr>
          <w:rFonts w:hint="eastAsia" w:ascii="仿宋_GB2312" w:hAnsi="仿宋_GB2312" w:eastAsia="仿宋_GB2312" w:cs="仿宋_GB2312"/>
        </w:rPr>
        <w:t>建立“智能农机共享平台”，研发适应寒地黑土、丘陵地形的智能农机；攻克大功率农机新能源化技术，开发农机专用电池热管理系统，打造寒地智能农机装备制造基地。</w:t>
      </w:r>
    </w:p>
    <w:p w14:paraId="308D84D8">
      <w:pPr>
        <w:bidi w:val="0"/>
        <w:rPr>
          <w:rFonts w:hint="eastAsia" w:ascii="仿宋_GB2312" w:hAnsi="仿宋_GB2312" w:eastAsia="仿宋_GB2312" w:cs="仿宋_GB2312"/>
        </w:rPr>
      </w:pPr>
      <w:r>
        <w:rPr>
          <w:rFonts w:hint="eastAsia" w:ascii="仿宋_GB2312" w:hAnsi="仿宋_GB2312" w:eastAsia="仿宋_GB2312" w:cs="仿宋_GB2312"/>
          <w:b/>
          <w:bCs/>
        </w:rPr>
        <w:t>“3”大现代服务业。文旅产业</w:t>
      </w:r>
      <w:r>
        <w:rPr>
          <w:rFonts w:hint="eastAsia" w:ascii="仿宋_GB2312" w:hAnsi="仿宋_GB2312" w:eastAsia="仿宋_GB2312" w:cs="仿宋_GB2312"/>
        </w:rPr>
        <w:t>，瞄准“农业+生态”双IP打造，以生态农业和智慧农业研学为牵引，深度融入“华夏东极、美丽三江”文旅品牌，聚焦多元农旅体验、生态观光休憩等业态，开发全域旅游精品路线，打造农旅研学</w:t>
      </w:r>
      <w:r>
        <w:rPr>
          <w:rFonts w:hint="eastAsia" w:ascii="仿宋_GB2312" w:hAnsi="仿宋_GB2312" w:eastAsia="仿宋_GB2312" w:cs="仿宋_GB2312"/>
          <w:lang w:val="en-US" w:eastAsia="zh-CN"/>
        </w:rPr>
        <w:t>目的地</w:t>
      </w:r>
      <w:r>
        <w:rPr>
          <w:rFonts w:hint="eastAsia" w:ascii="仿宋_GB2312" w:hAnsi="仿宋_GB2312" w:eastAsia="仿宋_GB2312" w:cs="仿宋_GB2312"/>
        </w:rPr>
        <w:t>。</w:t>
      </w:r>
      <w:r>
        <w:rPr>
          <w:rFonts w:hint="eastAsia" w:ascii="仿宋_GB2312" w:hAnsi="仿宋_GB2312" w:eastAsia="仿宋_GB2312" w:cs="仿宋_GB2312"/>
          <w:b/>
          <w:bCs/>
        </w:rPr>
        <w:t>商贸物流</w:t>
      </w:r>
      <w:r>
        <w:rPr>
          <w:rFonts w:hint="eastAsia" w:ascii="仿宋_GB2312" w:hAnsi="仿宋_GB2312" w:eastAsia="仿宋_GB2312" w:cs="仿宋_GB2312"/>
        </w:rPr>
        <w:t>，围绕扩大有效需求，强化传统商贸改造升级，</w:t>
      </w:r>
      <w:r>
        <w:rPr>
          <w:rFonts w:hint="eastAsia" w:ascii="仿宋_GB2312" w:hAnsi="仿宋_GB2312" w:eastAsia="仿宋_GB2312" w:cs="仿宋_GB2312"/>
          <w:lang w:val="en-US" w:eastAsia="zh-CN"/>
        </w:rPr>
        <w:t>发展壮大</w:t>
      </w:r>
      <w:r>
        <w:rPr>
          <w:rFonts w:hint="eastAsia" w:ascii="仿宋_GB2312" w:hAnsi="仿宋_GB2312" w:eastAsia="仿宋_GB2312" w:cs="仿宋_GB2312"/>
        </w:rPr>
        <w:t>现代物流业，扎实推进</w:t>
      </w:r>
      <w:r>
        <w:rPr>
          <w:rFonts w:hint="eastAsia" w:ascii="仿宋_GB2312" w:hAnsi="仿宋_GB2312" w:cs="仿宋_GB2312"/>
          <w:lang w:eastAsia="zh-CN"/>
        </w:rPr>
        <w:t>“两重”“两新”</w:t>
      </w:r>
      <w:r>
        <w:rPr>
          <w:rFonts w:hint="eastAsia" w:ascii="仿宋_GB2312" w:hAnsi="仿宋_GB2312" w:eastAsia="仿宋_GB2312" w:cs="仿宋_GB2312"/>
        </w:rPr>
        <w:t>工作；创新消费应用场景，培育冰雪经济、夜间经济等新业态，持续激发消费活力，巩固三江平原商贸消费中心地位。</w:t>
      </w:r>
      <w:r>
        <w:rPr>
          <w:rFonts w:hint="eastAsia" w:ascii="仿宋_GB2312" w:hAnsi="仿宋_GB2312" w:eastAsia="仿宋_GB2312" w:cs="仿宋_GB2312"/>
          <w:b/>
          <w:bCs/>
        </w:rPr>
        <w:t>跨境贸易</w:t>
      </w:r>
      <w:r>
        <w:rPr>
          <w:rFonts w:hint="eastAsia" w:ascii="仿宋_GB2312" w:hAnsi="仿宋_GB2312" w:eastAsia="仿宋_GB2312" w:cs="仿宋_GB2312"/>
        </w:rPr>
        <w:t>，借力“一桥一岛”契机，推动富锦口岸配套功能升级，加大进境粮食指定口岸申报和中俄能源多式联运跨境合作示范区建设，聚焦农产品、农机装备、木材进出口，深化对俄开放合作平台</w:t>
      </w:r>
      <w:r>
        <w:rPr>
          <w:rFonts w:hint="eastAsia" w:ascii="仿宋_GB2312" w:hAnsi="仿宋_GB2312" w:eastAsia="仿宋_GB2312" w:cs="仿宋_GB2312"/>
          <w:lang w:val="en-US" w:eastAsia="zh-CN"/>
        </w:rPr>
        <w:t>建设</w:t>
      </w:r>
      <w:r>
        <w:rPr>
          <w:rFonts w:hint="eastAsia" w:ascii="仿宋_GB2312" w:hAnsi="仿宋_GB2312" w:eastAsia="仿宋_GB2312" w:cs="仿宋_GB2312"/>
        </w:rPr>
        <w:t>，</w:t>
      </w:r>
      <w:r>
        <w:rPr>
          <w:rFonts w:hint="eastAsia" w:ascii="仿宋_GB2312" w:hAnsi="仿宋_GB2312" w:eastAsia="仿宋_GB2312" w:cs="仿宋_GB2312"/>
          <w:lang w:val="en-US" w:eastAsia="zh-CN"/>
        </w:rPr>
        <w:t>打造</w:t>
      </w:r>
      <w:r>
        <w:rPr>
          <w:rFonts w:hint="eastAsia" w:ascii="仿宋_GB2312" w:hAnsi="仿宋_GB2312" w:eastAsia="仿宋_GB2312" w:cs="仿宋_GB2312"/>
        </w:rPr>
        <w:t>中俄</w:t>
      </w:r>
      <w:r>
        <w:rPr>
          <w:rFonts w:hint="eastAsia" w:ascii="仿宋_GB2312" w:hAnsi="仿宋_GB2312" w:eastAsia="仿宋_GB2312" w:cs="仿宋_GB2312"/>
          <w:lang w:eastAsia="zh-CN"/>
        </w:rPr>
        <w:t>贸易孵化产业园</w:t>
      </w:r>
      <w:r>
        <w:rPr>
          <w:rFonts w:hint="eastAsia" w:ascii="仿宋_GB2312" w:hAnsi="仿宋_GB2312" w:eastAsia="仿宋_GB2312" w:cs="仿宋_GB2312"/>
        </w:rPr>
        <w:t>，打通向北跨境贸易新通道。</w:t>
      </w:r>
    </w:p>
    <w:p w14:paraId="402E177A">
      <w:pPr>
        <w:pStyle w:val="3"/>
        <w:keepNext w:val="0"/>
        <w:keepLines w:val="0"/>
        <w:widowControl/>
        <w:spacing w:line="240" w:lineRule="auto"/>
        <w:ind w:left="0" w:leftChars="0" w:firstLine="0" w:firstLineChars="0"/>
        <w:jc w:val="center"/>
        <w:rPr>
          <w:rFonts w:ascii="Times New Roman" w:hAnsi="Times New Roman" w:eastAsia="楷体_GB2312" w:cs="楷体_GB2312"/>
          <w:u w:val="none"/>
          <w:shd w:val="clear" w:fill="auto"/>
        </w:rPr>
      </w:pPr>
      <w:bookmarkStart w:id="27" w:name="_Toc30989"/>
      <w:r>
        <w:rPr>
          <w:rFonts w:hint="eastAsia" w:ascii="Times New Roman" w:hAnsi="Times New Roman" w:eastAsia="楷体_GB2312" w:cs="楷体_GB2312"/>
          <w:u w:val="none"/>
          <w:shd w:val="clear" w:fill="auto"/>
        </w:rPr>
        <w:t>第二节  聚力主导产业强链，打造“三大百亿级</w:t>
      </w:r>
      <w:r>
        <w:rPr>
          <w:rFonts w:hint="eastAsia" w:ascii="Times New Roman" w:hAnsi="Times New Roman" w:eastAsia="楷体_GB2312" w:cs="楷体_GB2312"/>
          <w:u w:val="none"/>
          <w:shd w:val="clear" w:fill="auto"/>
          <w:lang w:val="en-US" w:eastAsia="zh-CN"/>
        </w:rPr>
        <w:t>集群</w:t>
      </w:r>
      <w:r>
        <w:rPr>
          <w:rFonts w:hint="eastAsia" w:ascii="Times New Roman" w:hAnsi="Times New Roman" w:eastAsia="楷体_GB2312" w:cs="楷体_GB2312"/>
          <w:u w:val="none"/>
          <w:shd w:val="clear" w:fill="auto"/>
        </w:rPr>
        <w:t>”</w:t>
      </w:r>
      <w:bookmarkEnd w:id="27"/>
    </w:p>
    <w:p w14:paraId="43478853">
      <w:pPr>
        <w:bidi w:val="0"/>
        <w:rPr>
          <w:rFonts w:hint="eastAsia" w:ascii="仿宋_GB2312" w:hAnsi="仿宋_GB2312" w:eastAsia="仿宋_GB2312" w:cs="仿宋_GB2312"/>
        </w:rPr>
      </w:pPr>
      <w:r>
        <w:rPr>
          <w:rFonts w:hint="eastAsia" w:ascii="仿宋_GB2312" w:hAnsi="仿宋_GB2312" w:eastAsia="仿宋_GB2312" w:cs="仿宋_GB2312"/>
        </w:rPr>
        <w:t>依托“寒地黑土</w:t>
      </w:r>
      <w:r>
        <w:rPr>
          <w:rFonts w:hint="eastAsia" w:ascii="仿宋_GB2312" w:hAnsi="仿宋_GB2312" w:eastAsia="仿宋_GB2312" w:cs="仿宋_GB2312"/>
          <w:lang w:eastAsia="zh-CN"/>
        </w:rPr>
        <w:t>、</w:t>
      </w:r>
      <w:r>
        <w:rPr>
          <w:rFonts w:hint="eastAsia" w:ascii="仿宋_GB2312" w:hAnsi="仿宋_GB2312" w:eastAsia="仿宋_GB2312" w:cs="仿宋_GB2312"/>
        </w:rPr>
        <w:t>黄金玉米带</w:t>
      </w:r>
      <w:r>
        <w:rPr>
          <w:rFonts w:hint="eastAsia" w:ascii="仿宋_GB2312" w:hAnsi="仿宋_GB2312" w:eastAsia="仿宋_GB2312" w:cs="仿宋_GB2312"/>
          <w:lang w:eastAsia="zh-CN"/>
        </w:rPr>
        <w:t>、</w:t>
      </w:r>
      <w:r>
        <w:rPr>
          <w:rFonts w:hint="eastAsia" w:ascii="仿宋_GB2312" w:hAnsi="仿宋_GB2312" w:eastAsia="仿宋_GB2312" w:cs="仿宋_GB2312"/>
        </w:rPr>
        <w:t>风光”等资源禀赋，深度推进“农头工尾”全产业链延伸发展，带动产业转型升级，突破传统农业价值增长瓶颈，以百亿级产业链集群塑造区域经济增长强引擎，增强产业发展后劲和竞争力。</w:t>
      </w:r>
    </w:p>
    <w:p w14:paraId="141B6AD1">
      <w:pPr>
        <w:numPr>
          <w:ilvl w:val="0"/>
          <w:numId w:val="0"/>
        </w:numPr>
        <w:bidi w:val="0"/>
        <w:ind w:firstLine="643" w:firstLineChars="200"/>
        <w:rPr>
          <w:rFonts w:hint="eastAsia" w:ascii="仿宋_GB2312" w:hAnsi="仿宋_GB2312" w:eastAsia="仿宋_GB2312" w:cs="仿宋_GB2312"/>
          <w:b/>
          <w:bCs/>
        </w:rPr>
      </w:pPr>
      <w:r>
        <w:rPr>
          <w:rFonts w:hint="eastAsia" w:ascii="仿宋_GB2312" w:hAnsi="仿宋_GB2312" w:eastAsia="仿宋_GB2312" w:cs="仿宋_GB2312"/>
          <w:b/>
          <w:bCs/>
          <w:kern w:val="2"/>
          <w:sz w:val="32"/>
          <w:szCs w:val="24"/>
          <w:lang w:val="en-US" w:eastAsia="zh-CN" w:bidi="ar-SA"/>
        </w:rPr>
        <w:t>一、</w:t>
      </w:r>
      <w:r>
        <w:rPr>
          <w:rFonts w:hint="eastAsia" w:ascii="仿宋_GB2312" w:hAnsi="仿宋_GB2312" w:cs="仿宋_GB2312"/>
          <w:b/>
          <w:bCs/>
          <w:lang w:val="en-US" w:eastAsia="zh-CN"/>
        </w:rPr>
        <w:t>优化</w:t>
      </w:r>
      <w:r>
        <w:rPr>
          <w:rFonts w:hint="eastAsia" w:ascii="仿宋_GB2312" w:hAnsi="仿宋_GB2312" w:eastAsia="仿宋_GB2312" w:cs="仿宋_GB2312"/>
          <w:b/>
          <w:bCs/>
        </w:rPr>
        <w:t>提升绿色食品产业</w:t>
      </w:r>
    </w:p>
    <w:p w14:paraId="3365FA97">
      <w:pPr>
        <w:keepNext w:val="0"/>
        <w:keepLines w:val="0"/>
        <w:pageBreakBefore w:val="0"/>
        <w:widowControl w:val="0"/>
        <w:kinsoku/>
        <w:wordWrap/>
        <w:overflowPunct/>
        <w:bidi w:val="0"/>
        <w:spacing w:line="600" w:lineRule="exact"/>
        <w:ind w:firstLine="640" w:firstLineChars="200"/>
        <w:textAlignment w:val="auto"/>
        <w:rPr>
          <w:rFonts w:hint="eastAsia" w:ascii="仿宋_GB2312" w:hAnsi="仿宋_GB2312" w:eastAsia="仿宋_GB2312" w:cs="仿宋_GB2312"/>
          <w:b w:val="0"/>
          <w:bCs w:val="0"/>
        </w:rPr>
      </w:pPr>
      <w:r>
        <w:rPr>
          <w:rFonts w:hint="eastAsia" w:ascii="仿宋_GB2312" w:hAnsi="仿宋_GB2312" w:cs="仿宋_GB2312"/>
          <w:lang w:val="en-US" w:eastAsia="zh-CN"/>
        </w:rPr>
        <w:t>优化提升传统产业，</w:t>
      </w:r>
      <w:r>
        <w:rPr>
          <w:rFonts w:hint="eastAsia" w:ascii="仿宋_GB2312" w:hAnsi="仿宋_GB2312" w:eastAsia="仿宋_GB2312" w:cs="仿宋_GB2312"/>
          <w:lang w:eastAsia="zh-CN"/>
        </w:rPr>
        <w:t>大力推进“粮头食尾”“畜头肉尾”“农头工尾”，加快推动产业链条从初级加工向精深加工延伸，打造绿色食品产业集群。</w:t>
      </w:r>
      <w:r>
        <w:rPr>
          <w:rFonts w:hint="eastAsia" w:ascii="仿宋_GB2312" w:hAnsi="仿宋_GB2312" w:eastAsia="仿宋_GB2312" w:cs="仿宋_GB2312"/>
          <w:lang w:val="en-US" w:eastAsia="zh-CN"/>
        </w:rPr>
        <w:t>围绕玉米、水稻、大豆、畜禽乳</w:t>
      </w:r>
      <w:r>
        <w:rPr>
          <w:rFonts w:hint="eastAsia" w:ascii="仿宋_GB2312" w:hAnsi="仿宋_GB2312" w:eastAsia="仿宋_GB2312" w:cs="仿宋_GB2312"/>
          <w:lang w:eastAsia="zh-CN"/>
        </w:rPr>
        <w:t>产业链，全面</w:t>
      </w:r>
      <w:r>
        <w:rPr>
          <w:rFonts w:hint="eastAsia" w:ascii="仿宋_GB2312" w:hAnsi="仿宋_GB2312" w:eastAsia="仿宋_GB2312" w:cs="仿宋_GB2312"/>
          <w:lang w:val="en-US" w:eastAsia="zh-CN"/>
        </w:rPr>
        <w:t>开发功能性食品、休闲食品、即食食品、应急食品、植物基食品，打造全国知名的绿色、有机、高品质食品供应中心和精深加工</w:t>
      </w:r>
      <w:r>
        <w:rPr>
          <w:rFonts w:hint="eastAsia" w:ascii="仿宋_GB2312" w:hAnsi="仿宋_GB2312" w:eastAsia="仿宋_GB2312" w:cs="仿宋_GB2312"/>
          <w:sz w:val="32"/>
          <w:szCs w:val="32"/>
          <w:lang w:val="en-US" w:eastAsia="zh-CN"/>
        </w:rPr>
        <w:t>基地</w:t>
      </w:r>
      <w:r>
        <w:rPr>
          <w:rFonts w:hint="eastAsia" w:ascii="仿宋_GB2312" w:hAnsi="仿宋_GB2312" w:eastAsia="仿宋_GB2312" w:cs="仿宋_GB2312"/>
          <w:sz w:val="32"/>
          <w:szCs w:val="32"/>
          <w:lang w:eastAsia="zh-CN"/>
        </w:rPr>
        <w:t>。</w:t>
      </w:r>
    </w:p>
    <w:p w14:paraId="4EC6D404">
      <w:pPr>
        <w:bidi w:val="0"/>
        <w:rPr>
          <w:rFonts w:hint="eastAsia" w:ascii="仿宋_GB2312" w:hAnsi="仿宋_GB2312" w:eastAsia="仿宋_GB2312" w:cs="仿宋_GB2312"/>
        </w:rPr>
      </w:pPr>
      <w:r>
        <w:rPr>
          <w:rFonts w:hint="eastAsia" w:ascii="仿宋_GB2312" w:hAnsi="仿宋_GB2312" w:eastAsia="仿宋_GB2312" w:cs="仿宋_GB2312"/>
          <w:b/>
          <w:bCs/>
        </w:rPr>
        <w:t>优化升级水稻精深加工。</w:t>
      </w:r>
      <w:r>
        <w:rPr>
          <w:rFonts w:hint="eastAsia" w:ascii="仿宋_GB2312" w:hAnsi="仿宋_GB2312" w:eastAsia="仿宋_GB2312" w:cs="仿宋_GB2312"/>
        </w:rPr>
        <w:t>加快推进香稻生物科技100万吨水稻深加工项目，确保武汉美味源</w:t>
      </w:r>
      <w:r>
        <w:rPr>
          <w:rFonts w:hint="eastAsia" w:ascii="仿宋_GB2312" w:hAnsi="仿宋_GB2312" w:eastAsia="仿宋_GB2312" w:cs="仿宋_GB2312"/>
          <w:lang w:val="en-US" w:eastAsia="zh-CN"/>
        </w:rPr>
        <w:t>1</w:t>
      </w:r>
      <w:r>
        <w:rPr>
          <w:rFonts w:hint="eastAsia" w:ascii="仿宋_GB2312" w:hAnsi="仿宋_GB2312" w:eastAsia="仿宋_GB2312" w:cs="仿宋_GB2312"/>
        </w:rPr>
        <w:t>0万吨大米淀粉及秸秆加工投产达效。</w:t>
      </w:r>
      <w:r>
        <w:rPr>
          <w:rFonts w:hint="eastAsia" w:ascii="仿宋_GB2312" w:hAnsi="仿宋_GB2312" w:eastAsia="仿宋_GB2312" w:cs="仿宋_GB2312"/>
          <w:lang w:val="en-US" w:eastAsia="zh-CN"/>
        </w:rPr>
        <w:t>精准</w:t>
      </w:r>
      <w:r>
        <w:rPr>
          <w:rFonts w:hint="eastAsia" w:ascii="仿宋_GB2312" w:hAnsi="仿宋_GB2312" w:eastAsia="仿宋_GB2312" w:cs="仿宋_GB2312"/>
        </w:rPr>
        <w:t>对接军粮供应和户外消费</w:t>
      </w:r>
      <w:r>
        <w:rPr>
          <w:rFonts w:hint="eastAsia" w:ascii="仿宋_GB2312" w:hAnsi="仿宋_GB2312" w:eastAsia="仿宋_GB2312" w:cs="仿宋_GB2312"/>
          <w:lang w:val="en-US" w:eastAsia="zh-CN"/>
        </w:rPr>
        <w:t>两大</w:t>
      </w:r>
      <w:r>
        <w:rPr>
          <w:rFonts w:hint="eastAsia" w:ascii="仿宋_GB2312" w:hAnsi="仿宋_GB2312" w:eastAsia="仿宋_GB2312" w:cs="仿宋_GB2312"/>
        </w:rPr>
        <w:t>市场，组建应急食品研发中心，布局即食米饭、即食粥、压缩饼干等应急食品，打造应急食品保障基地；深化米糠、稻壳副产物资源化综合利用，适度发展米糠油、活性肽等</w:t>
      </w:r>
      <w:r>
        <w:rPr>
          <w:rFonts w:hint="eastAsia" w:ascii="仿宋_GB2312" w:hAnsi="仿宋_GB2312" w:eastAsia="仿宋_GB2312" w:cs="仿宋_GB2312"/>
          <w:lang w:val="en-US" w:eastAsia="zh-CN"/>
        </w:rPr>
        <w:t>高附加值产品</w:t>
      </w:r>
      <w:r>
        <w:rPr>
          <w:rFonts w:hint="eastAsia" w:ascii="仿宋_GB2312" w:hAnsi="仿宋_GB2312" w:eastAsia="仿宋_GB2312" w:cs="仿宋_GB2312"/>
        </w:rPr>
        <w:t>，创新开发稻壳生物质能发电、生物炭及硅材料等绿色生态产业。深化海粮米业、香稻生物科技等</w:t>
      </w:r>
      <w:r>
        <w:rPr>
          <w:rFonts w:hint="eastAsia" w:ascii="仿宋_GB2312" w:hAnsi="仿宋_GB2312" w:eastAsia="仿宋_GB2312" w:cs="仿宋_GB2312"/>
          <w:lang w:val="en-US" w:eastAsia="zh-CN"/>
        </w:rPr>
        <w:t>企业</w:t>
      </w:r>
      <w:r>
        <w:rPr>
          <w:rFonts w:hint="eastAsia" w:ascii="仿宋_GB2312" w:hAnsi="仿宋_GB2312" w:eastAsia="仿宋_GB2312" w:cs="仿宋_GB2312"/>
        </w:rPr>
        <w:t>与科研机构</w:t>
      </w:r>
      <w:r>
        <w:rPr>
          <w:rFonts w:hint="eastAsia" w:ascii="仿宋_GB2312" w:hAnsi="仿宋_GB2312" w:eastAsia="仿宋_GB2312" w:cs="仿宋_GB2312"/>
          <w:lang w:eastAsia="zh-CN"/>
        </w:rPr>
        <w:t>的</w:t>
      </w:r>
      <w:r>
        <w:rPr>
          <w:rFonts w:hint="eastAsia" w:ascii="仿宋_GB2312" w:hAnsi="仿宋_GB2312" w:eastAsia="仿宋_GB2312" w:cs="仿宋_GB2312"/>
        </w:rPr>
        <w:t>战略合作，围绕水稻品种选育、生产工艺等关键领域开展联合技术攻关；</w:t>
      </w:r>
      <w:r>
        <w:rPr>
          <w:rFonts w:hint="eastAsia" w:ascii="仿宋_GB2312" w:hAnsi="仿宋_GB2312" w:eastAsia="仿宋_GB2312" w:cs="仿宋_GB2312"/>
          <w:lang w:val="en-US" w:eastAsia="zh-CN"/>
        </w:rPr>
        <w:t>支持</w:t>
      </w:r>
      <w:r>
        <w:rPr>
          <w:rFonts w:hint="eastAsia" w:ascii="仿宋_GB2312" w:hAnsi="仿宋_GB2312" w:eastAsia="仿宋_GB2312" w:cs="仿宋_GB2312"/>
        </w:rPr>
        <w:t>锦丰农业、万</w:t>
      </w:r>
      <w:r>
        <w:rPr>
          <w:rFonts w:hint="eastAsia" w:ascii="仿宋_GB2312" w:hAnsi="仿宋_GB2312" w:cs="仿宋_GB2312"/>
          <w:lang w:eastAsia="zh-CN"/>
        </w:rPr>
        <w:t>里</w:t>
      </w:r>
      <w:r>
        <w:rPr>
          <w:rFonts w:hint="eastAsia" w:ascii="仿宋_GB2312" w:hAnsi="仿宋_GB2312" w:eastAsia="仿宋_GB2312" w:cs="仿宋_GB2312"/>
        </w:rPr>
        <w:t>利达米业等企业推进设备智能化改造，加快打造数字化、智能化示范车间。</w:t>
      </w:r>
      <w:r>
        <w:rPr>
          <w:rFonts w:hint="eastAsia" w:ascii="仿宋_GB2312" w:hAnsi="仿宋_GB2312" w:eastAsia="仿宋_GB2312" w:cs="仿宋_GB2312"/>
          <w:lang w:val="en-US" w:eastAsia="zh-CN"/>
        </w:rPr>
        <w:t>鼓励</w:t>
      </w:r>
      <w:r>
        <w:rPr>
          <w:rFonts w:hint="eastAsia" w:ascii="仿宋_GB2312" w:hAnsi="仿宋_GB2312" w:eastAsia="仿宋_GB2312" w:cs="仿宋_GB2312"/>
        </w:rPr>
        <w:t>海粮米业开发富硒大米、长粒香等高端品牌大米，强化“天然含硒”的核心卖点，通过差异化包装设计提升产品附加值；协助香稻生物科技研发功能性米制品系列，依托科技创新赋能传统农产品，打造功能性健康食品新概念。</w:t>
      </w:r>
    </w:p>
    <w:p w14:paraId="384D539B">
      <w:pPr>
        <w:bidi w:val="0"/>
        <w:rPr>
          <w:rFonts w:hint="eastAsia" w:ascii="仿宋_GB2312" w:hAnsi="仿宋_GB2312" w:eastAsia="仿宋_GB2312" w:cs="仿宋_GB2312"/>
        </w:rPr>
      </w:pPr>
      <w:r>
        <w:rPr>
          <w:rFonts w:hint="eastAsia" w:ascii="仿宋_GB2312" w:hAnsi="仿宋_GB2312" w:eastAsia="仿宋_GB2312" w:cs="仿宋_GB2312"/>
          <w:b/>
          <w:bCs/>
        </w:rPr>
        <w:t>补强壮大大豆精深加工。</w:t>
      </w:r>
      <w:r>
        <w:rPr>
          <w:rFonts w:hint="eastAsia" w:ascii="仿宋_GB2312" w:hAnsi="仿宋_GB2312" w:eastAsia="仿宋_GB2312" w:cs="仿宋_GB2312"/>
        </w:rPr>
        <w:t>扩大传统豆制休闲食品生产规模，</w:t>
      </w:r>
      <w:r>
        <w:rPr>
          <w:rFonts w:hint="eastAsia" w:ascii="仿宋_GB2312" w:hAnsi="仿宋_GB2312" w:eastAsia="仿宋_GB2312" w:cs="仿宋_GB2312"/>
          <w:lang w:val="en-US" w:eastAsia="zh-CN"/>
        </w:rPr>
        <w:t>推动</w:t>
      </w:r>
      <w:r>
        <w:rPr>
          <w:rFonts w:hint="eastAsia" w:ascii="仿宋_GB2312" w:hAnsi="仿宋_GB2312" w:eastAsia="仿宋_GB2312" w:cs="仿宋_GB2312"/>
        </w:rPr>
        <w:t>福慧食品</w:t>
      </w:r>
      <w:r>
        <w:rPr>
          <w:rFonts w:hint="eastAsia" w:ascii="仿宋_GB2312" w:hAnsi="仿宋_GB2312" w:eastAsia="仿宋_GB2312" w:cs="仿宋_GB2312"/>
          <w:lang w:eastAsia="zh-CN"/>
        </w:rPr>
        <w:t>、</w:t>
      </w:r>
      <w:r>
        <w:rPr>
          <w:rFonts w:hint="eastAsia" w:ascii="仿宋_GB2312" w:hAnsi="仿宋_GB2312" w:eastAsia="仿宋_GB2312" w:cs="仿宋_GB2312"/>
        </w:rPr>
        <w:t>金正油脂</w:t>
      </w:r>
      <w:r>
        <w:rPr>
          <w:rFonts w:hint="eastAsia" w:ascii="仿宋_GB2312" w:hAnsi="仿宋_GB2312" w:cs="仿宋_GB2312"/>
          <w:lang w:eastAsia="zh-CN"/>
        </w:rPr>
        <w:t>、</w:t>
      </w:r>
      <w:r>
        <w:rPr>
          <w:rFonts w:hint="eastAsia" w:ascii="仿宋_GB2312" w:hAnsi="仿宋_GB2312" w:eastAsia="仿宋_GB2312" w:cs="仿宋_GB2312"/>
          <w:lang w:val="en-US" w:eastAsia="zh-CN"/>
        </w:rPr>
        <w:t>公农山泉</w:t>
      </w:r>
      <w:r>
        <w:rPr>
          <w:rFonts w:hint="eastAsia" w:ascii="仿宋_GB2312" w:hAnsi="仿宋_GB2312" w:cs="仿宋_GB2312"/>
          <w:lang w:val="en-US" w:eastAsia="zh-CN"/>
        </w:rPr>
        <w:t>豆业</w:t>
      </w:r>
      <w:r>
        <w:rPr>
          <w:rFonts w:hint="eastAsia" w:ascii="仿宋_GB2312" w:hAnsi="仿宋_GB2312" w:eastAsia="仿宋_GB2312" w:cs="仿宋_GB2312"/>
        </w:rPr>
        <w:t>转型升级，提升豆油、豆</w:t>
      </w:r>
      <w:r>
        <w:rPr>
          <w:rFonts w:hint="eastAsia" w:ascii="仿宋_GB2312" w:hAnsi="仿宋_GB2312" w:eastAsia="仿宋_GB2312" w:cs="仿宋_GB2312"/>
          <w:lang w:eastAsia="zh-CN"/>
        </w:rPr>
        <w:t>腐</w:t>
      </w:r>
      <w:r>
        <w:rPr>
          <w:rFonts w:hint="eastAsia" w:ascii="仿宋_GB2312" w:hAnsi="仿宋_GB2312" w:eastAsia="仿宋_GB2312" w:cs="仿宋_GB2312"/>
        </w:rPr>
        <w:t>、豆浆、腐竹等传统豆制品</w:t>
      </w:r>
      <w:r>
        <w:rPr>
          <w:rFonts w:hint="eastAsia" w:ascii="仿宋_GB2312" w:hAnsi="仿宋_GB2312" w:eastAsia="仿宋_GB2312" w:cs="仿宋_GB2312"/>
          <w:lang w:eastAsia="zh-CN"/>
        </w:rPr>
        <w:t>的</w:t>
      </w:r>
      <w:r>
        <w:rPr>
          <w:rFonts w:hint="eastAsia" w:ascii="仿宋_GB2312" w:hAnsi="仿宋_GB2312" w:eastAsia="仿宋_GB2312" w:cs="仿宋_GB2312"/>
          <w:lang w:val="en-US" w:eastAsia="zh-CN"/>
        </w:rPr>
        <w:t>精</w:t>
      </w:r>
      <w:r>
        <w:rPr>
          <w:rFonts w:hint="eastAsia" w:ascii="仿宋_GB2312" w:hAnsi="仿宋_GB2312" w:eastAsia="仿宋_GB2312" w:cs="仿宋_GB2312"/>
        </w:rPr>
        <w:t>深加工水平，加快推进大豆特色食品研发创新，在现有豆粕基础上，</w:t>
      </w:r>
      <w:r>
        <w:rPr>
          <w:rFonts w:hint="eastAsia" w:ascii="仿宋_GB2312" w:hAnsi="仿宋_GB2312" w:eastAsia="仿宋_GB2312" w:cs="仿宋_GB2312"/>
          <w:lang w:val="en-US" w:eastAsia="zh-CN"/>
        </w:rPr>
        <w:t>鼓励</w:t>
      </w:r>
      <w:r>
        <w:rPr>
          <w:rFonts w:hint="eastAsia" w:ascii="仿宋_GB2312" w:hAnsi="仿宋_GB2312" w:eastAsia="仿宋_GB2312" w:cs="仿宋_GB2312"/>
        </w:rPr>
        <w:t>金正油脂20万吨大豆深加工扩产改造，</w:t>
      </w:r>
      <w:r>
        <w:rPr>
          <w:rFonts w:hint="eastAsia" w:ascii="仿宋_GB2312" w:hAnsi="仿宋_GB2312" w:eastAsia="仿宋_GB2312" w:cs="仿宋_GB2312"/>
          <w:lang w:val="en-US" w:eastAsia="zh-CN"/>
        </w:rPr>
        <w:t>布局</w:t>
      </w:r>
      <w:r>
        <w:rPr>
          <w:rFonts w:hint="eastAsia" w:ascii="仿宋_GB2312" w:hAnsi="仿宋_GB2312" w:eastAsia="仿宋_GB2312" w:cs="仿宋_GB2312"/>
        </w:rPr>
        <w:t>仿制肉、大豆蛋白奶酪等植物基食品</w:t>
      </w:r>
      <w:r>
        <w:rPr>
          <w:rFonts w:hint="eastAsia" w:ascii="仿宋_GB2312" w:hAnsi="仿宋_GB2312" w:eastAsia="仿宋_GB2312" w:cs="仿宋_GB2312"/>
          <w:lang w:val="en-US" w:eastAsia="zh-CN"/>
        </w:rPr>
        <w:t>新赛道</w:t>
      </w:r>
      <w:r>
        <w:rPr>
          <w:rFonts w:hint="eastAsia" w:ascii="仿宋_GB2312" w:hAnsi="仿宋_GB2312" w:eastAsia="仿宋_GB2312" w:cs="仿宋_GB2312"/>
        </w:rPr>
        <w:t>；积极引进山东九州粮仓等优质企业，聚焦大豆薯片、大豆锅巴、大豆巧克力等复合休闲食品及酱油、豆酱、腐乳等发酵豆制品开发</w:t>
      </w:r>
      <w:r>
        <w:rPr>
          <w:rFonts w:hint="eastAsia" w:ascii="仿宋_GB2312" w:hAnsi="仿宋_GB2312" w:cs="仿宋_GB2312"/>
          <w:lang w:eastAsia="zh-CN"/>
        </w:rPr>
        <w:t>；</w:t>
      </w:r>
      <w:r>
        <w:rPr>
          <w:rFonts w:hint="eastAsia" w:ascii="仿宋_GB2312" w:hAnsi="仿宋_GB2312" w:cs="仿宋_GB2312"/>
          <w:lang w:val="en-US" w:eastAsia="zh-CN"/>
        </w:rPr>
        <w:t>加快推进山东宝来利来大豆功能性与休闲性系列食品项目建设</w:t>
      </w:r>
      <w:r>
        <w:rPr>
          <w:rFonts w:hint="eastAsia" w:ascii="仿宋_GB2312" w:hAnsi="仿宋_GB2312" w:eastAsia="仿宋_GB2312" w:cs="仿宋_GB2312"/>
        </w:rPr>
        <w:t>。全力开发高蛋白系列产品，聚焦“非转基因”概念，加强与江南大学、中国农业大学合作，研发新型大豆蛋白、功能性成分提取和纯化技术，引导福慧食品和金正</w:t>
      </w:r>
      <w:r>
        <w:rPr>
          <w:rFonts w:hint="eastAsia" w:ascii="仿宋_GB2312" w:hAnsi="仿宋_GB2312" w:eastAsia="仿宋_GB2312" w:cs="仿宋_GB2312"/>
          <w:lang w:eastAsia="zh-CN"/>
        </w:rPr>
        <w:t>油脂</w:t>
      </w:r>
      <w:r>
        <w:rPr>
          <w:rFonts w:hint="eastAsia" w:ascii="仿宋_GB2312" w:hAnsi="仿宋_GB2312" w:eastAsia="仿宋_GB2312" w:cs="仿宋_GB2312"/>
        </w:rPr>
        <w:t>向食用磷脂、脂肪粉、大豆蛋白等产品延伸，开发大豆分离蛋白、浓缩蛋白、组织蛋白等高蛋白，构建高端大豆蛋白产品矩阵，进一步推进在预制菜、肉制品领域应用。聚焦功能性健康产品研发，前瞻性布局谋划皂苷、异黄酮、膳食纤维、大豆肽等功能性副产物综合利用，开发大豆肽饮料、膳食纤维面包、大豆核酸口服液等符合现代消费需求的高蛋白健康食品。</w:t>
      </w:r>
    </w:p>
    <w:p w14:paraId="6EA8A1D4">
      <w:pPr>
        <w:bidi w:val="0"/>
        <w:rPr>
          <w:rFonts w:hint="eastAsia" w:ascii="仿宋_GB2312" w:hAnsi="仿宋_GB2312" w:eastAsia="仿宋_GB2312" w:cs="仿宋_GB2312"/>
        </w:rPr>
      </w:pPr>
      <w:r>
        <w:rPr>
          <w:rFonts w:hint="eastAsia" w:ascii="仿宋_GB2312" w:hAnsi="仿宋_GB2312" w:eastAsia="仿宋_GB2312" w:cs="仿宋_GB2312"/>
          <w:b/>
          <w:bCs/>
        </w:rPr>
        <w:t>做优做精畜禽乳加工</w:t>
      </w:r>
      <w:r>
        <w:rPr>
          <w:rFonts w:hint="eastAsia" w:ascii="仿宋_GB2312" w:hAnsi="仿宋_GB2312" w:eastAsia="仿宋_GB2312" w:cs="仿宋_GB2312"/>
          <w:b/>
          <w:bCs/>
          <w:lang w:eastAsia="zh-CN"/>
        </w:rPr>
        <w:t>。</w:t>
      </w:r>
      <w:r>
        <w:rPr>
          <w:rFonts w:hint="eastAsia" w:ascii="仿宋_GB2312" w:hAnsi="仿宋_GB2312" w:eastAsia="仿宋_GB2312" w:cs="仿宋_GB2312"/>
        </w:rPr>
        <w:t>持续深化大锦农“种植、仓储、冷链、销售”一体化品控发展，</w:t>
      </w:r>
      <w:r>
        <w:rPr>
          <w:rFonts w:hint="eastAsia" w:ascii="仿宋_GB2312" w:hAnsi="仿宋_GB2312" w:eastAsia="仿宋_GB2312" w:cs="仿宋_GB2312"/>
          <w:lang w:val="en-US" w:eastAsia="zh-CN"/>
        </w:rPr>
        <w:t>鼓励</w:t>
      </w:r>
      <w:r>
        <w:rPr>
          <w:rFonts w:hint="eastAsia" w:ascii="仿宋_GB2312" w:hAnsi="仿宋_GB2312" w:eastAsia="仿宋_GB2312" w:cs="仿宋_GB2312"/>
        </w:rPr>
        <w:t>大锦农冷链物流仓储市场化运营与推广应用，加速推动订单农业向定制化农业转型，创新优化“餐饮消费+商超零售”双轮驱动运营模式。促进畜牧产品向终端食品方向延伸，支持森益食品</w:t>
      </w:r>
      <w:r>
        <w:rPr>
          <w:rFonts w:hint="eastAsia" w:ascii="仿宋_GB2312" w:hAnsi="仿宋_GB2312" w:eastAsia="仿宋_GB2312" w:cs="仿宋_GB2312"/>
          <w:lang w:val="en-US" w:eastAsia="zh-CN"/>
        </w:rPr>
        <w:t>等企业</w:t>
      </w:r>
      <w:r>
        <w:rPr>
          <w:rFonts w:hint="eastAsia" w:ascii="仿宋_GB2312" w:hAnsi="仿宋_GB2312" w:eastAsia="仿宋_GB2312" w:cs="仿宋_GB2312"/>
        </w:rPr>
        <w:t>围绕预制肉制品、即食肉制品、熟食制品等开展深加工研发，加快推进头兴牧业、天野牧业国家级千头奶牛标准化示范场现代化升级改造，重点开发高端液体奶、特色风味奶、婴幼儿配方等乳制品。大力扶持粮都华鹅、万羽鹅业等构建狮头鹅全产业链，重点突破寒地繁育关键技术，实施10万只狮头鹅标准化养殖基地扩建，建设智能化加工中心，深度开发鹅肉制品、鹅肝酱、鹅绒等高价值产品，</w:t>
      </w:r>
      <w:r>
        <w:rPr>
          <w:rFonts w:hint="eastAsia" w:ascii="仿宋_GB2312" w:hAnsi="仿宋_GB2312" w:eastAsia="仿宋_GB2312" w:cs="仿宋_GB2312"/>
          <w:lang w:val="en-US" w:eastAsia="zh-CN"/>
        </w:rPr>
        <w:t>利用骨骼、血液、内脏等副产品配套发展生物制剂和宠物食品，</w:t>
      </w:r>
      <w:r>
        <w:rPr>
          <w:rFonts w:hint="eastAsia" w:ascii="仿宋_GB2312" w:hAnsi="仿宋_GB2312" w:eastAsia="仿宋_GB2312" w:cs="仿宋_GB2312"/>
        </w:rPr>
        <w:t>全面提升鹅副产品综合利用率。发展壮大特色经济作物深加工，以订单农业持续带动万寿菊种植规模，打造标准化种植示范基地，支持诺潽生物优化叶黄素提取工艺流程，同步开发叶黄素胶囊、营养饮料、能量棒等功能性食品。</w:t>
      </w:r>
    </w:p>
    <w:p w14:paraId="65C9C47A">
      <w:pPr>
        <w:numPr>
          <w:ilvl w:val="0"/>
          <w:numId w:val="0"/>
        </w:numPr>
        <w:bidi w:val="0"/>
        <w:ind w:left="0" w:leftChars="0" w:firstLine="643" w:firstLineChars="200"/>
        <w:rPr>
          <w:rFonts w:hint="default" w:ascii="仿宋_GB2312" w:hAnsi="仿宋_GB2312" w:eastAsia="仿宋_GB2312" w:cs="仿宋_GB2312"/>
          <w:b/>
          <w:bCs/>
          <w:kern w:val="2"/>
          <w:sz w:val="32"/>
          <w:szCs w:val="24"/>
          <w:lang w:val="en-US" w:eastAsia="zh-CN" w:bidi="ar-SA"/>
        </w:rPr>
      </w:pPr>
      <w:r>
        <w:rPr>
          <w:rFonts w:hint="eastAsia" w:ascii="仿宋_GB2312" w:hAnsi="仿宋_GB2312" w:eastAsia="仿宋_GB2312" w:cs="仿宋_GB2312"/>
          <w:b/>
          <w:bCs/>
          <w:kern w:val="2"/>
          <w:sz w:val="32"/>
          <w:szCs w:val="24"/>
          <w:lang w:val="en-US" w:eastAsia="zh-CN" w:bidi="ar-SA"/>
        </w:rPr>
        <w:t>二、</w:t>
      </w:r>
      <w:r>
        <w:rPr>
          <w:rFonts w:hint="eastAsia" w:ascii="仿宋_GB2312" w:hAnsi="仿宋_GB2312" w:cs="仿宋_GB2312"/>
          <w:b/>
          <w:bCs/>
          <w:kern w:val="2"/>
          <w:sz w:val="32"/>
          <w:szCs w:val="24"/>
          <w:lang w:val="en-US" w:eastAsia="zh-CN" w:bidi="ar-SA"/>
        </w:rPr>
        <w:t>加快发展生物经济</w:t>
      </w:r>
    </w:p>
    <w:p w14:paraId="19B08E6C">
      <w:pPr>
        <w:bidi w:val="0"/>
        <w:rPr>
          <w:rFonts w:hint="eastAsia" w:ascii="仿宋_GB2312" w:hAnsi="仿宋_GB2312" w:eastAsia="仿宋_GB2312" w:cs="仿宋_GB2312"/>
          <w:b w:val="0"/>
          <w:bCs w:val="0"/>
        </w:rPr>
      </w:pPr>
      <w:r>
        <w:rPr>
          <w:rFonts w:hint="eastAsia" w:ascii="仿宋_GB2312" w:hAnsi="仿宋_GB2312" w:eastAsia="仿宋_GB2312" w:cs="仿宋_GB2312"/>
          <w:lang w:eastAsia="zh-CN"/>
        </w:rPr>
        <w:t>依托象屿生化、江苏奥谷、大连医诺等龙头企业带动，</w:t>
      </w:r>
      <w:r>
        <w:rPr>
          <w:rFonts w:hint="eastAsia" w:ascii="仿宋_GB2312" w:hAnsi="仿宋_GB2312" w:cs="仿宋_GB2312"/>
          <w:lang w:val="en-US" w:eastAsia="zh-CN"/>
        </w:rPr>
        <w:t>打造生物经济发展新引擎，</w:t>
      </w:r>
      <w:r>
        <w:rPr>
          <w:rFonts w:hint="eastAsia" w:ascii="仿宋_GB2312" w:hAnsi="仿宋_GB2312" w:eastAsia="仿宋_GB2312" w:cs="仿宋_GB2312"/>
          <w:lang w:val="en-US" w:eastAsia="zh-CN"/>
        </w:rPr>
        <w:t>围绕高端氨基酸</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新型糖</w:t>
      </w:r>
      <w:r>
        <w:rPr>
          <w:rFonts w:hint="eastAsia" w:ascii="仿宋_GB2312" w:hAnsi="仿宋_GB2312" w:eastAsia="仿宋_GB2312" w:cs="仿宋_GB2312"/>
          <w:lang w:eastAsia="zh-CN"/>
        </w:rPr>
        <w:t>持续</w:t>
      </w:r>
      <w:r>
        <w:rPr>
          <w:rFonts w:hint="eastAsia" w:ascii="仿宋_GB2312" w:hAnsi="仿宋_GB2312" w:eastAsia="仿宋_GB2312" w:cs="仿宋_GB2312"/>
          <w:lang w:val="en-US" w:eastAsia="zh-CN"/>
        </w:rPr>
        <w:t>延链、</w:t>
      </w:r>
      <w:r>
        <w:rPr>
          <w:rFonts w:hint="eastAsia" w:ascii="仿宋_GB2312" w:hAnsi="仿宋_GB2312" w:eastAsia="仿宋_GB2312" w:cs="仿宋_GB2312"/>
          <w:lang w:eastAsia="zh-CN"/>
        </w:rPr>
        <w:t>补</w:t>
      </w:r>
      <w:r>
        <w:rPr>
          <w:rFonts w:hint="eastAsia" w:ascii="仿宋_GB2312" w:hAnsi="仿宋_GB2312" w:eastAsia="仿宋_GB2312" w:cs="仿宋_GB2312"/>
          <w:lang w:val="en-US" w:eastAsia="zh-CN"/>
        </w:rPr>
        <w:t>链</w:t>
      </w:r>
      <w:r>
        <w:rPr>
          <w:rFonts w:hint="eastAsia" w:ascii="仿宋_GB2312" w:hAnsi="仿宋_GB2312" w:eastAsia="仿宋_GB2312" w:cs="仿宋_GB2312"/>
          <w:lang w:eastAsia="zh-CN"/>
        </w:rPr>
        <w:t>、强链，</w:t>
      </w:r>
      <w:r>
        <w:rPr>
          <w:rFonts w:hint="eastAsia" w:ascii="仿宋_GB2312" w:hAnsi="仿宋_GB2312" w:eastAsia="仿宋_GB2312" w:cs="仿宋_GB2312"/>
          <w:lang w:val="en-US" w:eastAsia="zh-CN"/>
        </w:rPr>
        <w:t>培育壮大生物基材料、医药中间体等高附加值产品，</w:t>
      </w:r>
      <w:r>
        <w:rPr>
          <w:rFonts w:hint="eastAsia" w:ascii="仿宋_GB2312" w:hAnsi="仿宋_GB2312" w:eastAsia="仿宋_GB2312" w:cs="仿宋_GB2312"/>
          <w:lang w:eastAsia="zh-CN"/>
        </w:rPr>
        <w:t>加快</w:t>
      </w:r>
      <w:r>
        <w:rPr>
          <w:rFonts w:hint="eastAsia" w:ascii="仿宋_GB2312" w:hAnsi="仿宋_GB2312" w:eastAsia="仿宋_GB2312" w:cs="仿宋_GB2312"/>
          <w:lang w:val="en-US" w:eastAsia="zh-CN"/>
        </w:rPr>
        <w:t>推进新型糖产业园建设，</w:t>
      </w:r>
      <w:r>
        <w:rPr>
          <w:rFonts w:hint="eastAsia" w:ascii="仿宋_GB2312" w:hAnsi="仿宋_GB2312" w:eastAsia="仿宋_GB2312" w:cs="仿宋_GB2312"/>
          <w:lang w:eastAsia="zh-CN"/>
        </w:rPr>
        <w:t>叫响“北方糖都”名片。</w:t>
      </w:r>
    </w:p>
    <w:p w14:paraId="74E0E8A0">
      <w:pPr>
        <w:bidi w:val="0"/>
        <w:rPr>
          <w:rFonts w:hint="eastAsia" w:ascii="仿宋_GB2312" w:hAnsi="仿宋_GB2312" w:eastAsia="仿宋_GB2312" w:cs="仿宋_GB2312"/>
        </w:rPr>
      </w:pPr>
      <w:r>
        <w:rPr>
          <w:rFonts w:hint="eastAsia" w:ascii="仿宋_GB2312" w:hAnsi="仿宋_GB2312" w:eastAsia="仿宋_GB2312" w:cs="仿宋_GB2312"/>
          <w:b/>
          <w:bCs/>
        </w:rPr>
        <w:t>延伸玉米精深加工产业。</w:t>
      </w:r>
      <w:r>
        <w:rPr>
          <w:rFonts w:hint="eastAsia" w:ascii="仿宋_GB2312" w:hAnsi="仿宋_GB2312" w:eastAsia="仿宋_GB2312" w:cs="仿宋_GB2312"/>
          <w:lang w:eastAsia="zh-CN"/>
        </w:rPr>
        <w:t>加强淀粉供应能力，</w:t>
      </w:r>
      <w:r>
        <w:rPr>
          <w:rFonts w:hint="eastAsia" w:ascii="仿宋_GB2312" w:hAnsi="仿宋_GB2312" w:eastAsia="仿宋_GB2312" w:cs="仿宋_GB2312"/>
        </w:rPr>
        <w:t>瞄准以富锦为核心、半径300公里范围内玉米</w:t>
      </w:r>
      <w:r>
        <w:rPr>
          <w:rFonts w:hint="eastAsia" w:ascii="仿宋_GB2312" w:hAnsi="仿宋_GB2312" w:cs="仿宋_GB2312"/>
          <w:lang w:eastAsia="zh-CN"/>
        </w:rPr>
        <w:t>种质资源</w:t>
      </w:r>
      <w:r>
        <w:rPr>
          <w:rFonts w:hint="eastAsia" w:ascii="仿宋_GB2312" w:hAnsi="仿宋_GB2312" w:eastAsia="仿宋_GB2312" w:cs="仿宋_GB2312"/>
        </w:rPr>
        <w:t>，</w:t>
      </w:r>
      <w:r>
        <w:rPr>
          <w:rFonts w:hint="eastAsia" w:ascii="仿宋_GB2312" w:hAnsi="仿宋_GB2312" w:eastAsia="仿宋_GB2312" w:cs="仿宋_GB2312"/>
          <w:lang w:val="en-US" w:eastAsia="zh-CN"/>
        </w:rPr>
        <w:t>引导</w:t>
      </w:r>
      <w:r>
        <w:rPr>
          <w:rFonts w:hint="eastAsia" w:ascii="仿宋_GB2312" w:hAnsi="仿宋_GB2312" w:eastAsia="仿宋_GB2312" w:cs="仿宋_GB2312"/>
        </w:rPr>
        <w:t>象屿生化优化产品工艺，开发变性淀粉、膳食纤维等新产品，加快粮都生物25万吨液糖项目进度。全力打造新型糖产业园，聚焦兼具功能健康的“新型糖+高端氨基酸”生产、研发和孵化，依托象屿生化</w:t>
      </w:r>
      <w:r>
        <w:rPr>
          <w:rFonts w:hint="eastAsia" w:ascii="仿宋_GB2312" w:hAnsi="仿宋_GB2312" w:eastAsia="仿宋_GB2312" w:cs="仿宋_GB2312"/>
          <w:lang w:eastAsia="zh-CN"/>
        </w:rPr>
        <w:t>、</w:t>
      </w:r>
      <w:r>
        <w:rPr>
          <w:rFonts w:hint="eastAsia" w:ascii="仿宋_GB2312" w:hAnsi="仿宋_GB2312" w:eastAsia="仿宋_GB2312" w:cs="仿宋_GB2312"/>
        </w:rPr>
        <w:t>奥谷生物等龙头企业，致力于提供替代“传统糖”系统化解决方案，将富锦打造成全国乃至全球最大的“新型糖+”生产示范基地。巩固</w:t>
      </w:r>
      <w:r>
        <w:rPr>
          <w:rFonts w:hint="eastAsia" w:ascii="仿宋_GB2312" w:hAnsi="仿宋_GB2312" w:eastAsia="仿宋_GB2312" w:cs="仿宋_GB2312"/>
          <w:lang w:eastAsia="zh-CN"/>
        </w:rPr>
        <w:t>扩大</w:t>
      </w:r>
      <w:r>
        <w:rPr>
          <w:rFonts w:hint="eastAsia" w:ascii="仿宋_GB2312" w:hAnsi="仿宋_GB2312" w:eastAsia="仿宋_GB2312" w:cs="仿宋_GB2312"/>
        </w:rPr>
        <w:t>新型糖产业化规模，聚焦新型糖“健康+功能+甜味”功能，瞄准海藻糖、复配糖等高竞争性低聚糖</w:t>
      </w:r>
      <w:r>
        <w:rPr>
          <w:rFonts w:hint="eastAsia" w:ascii="仿宋_GB2312" w:hAnsi="仿宋_GB2312" w:eastAsia="仿宋_GB2312" w:cs="仿宋_GB2312"/>
          <w:lang w:eastAsia="zh-CN"/>
        </w:rPr>
        <w:t>，</w:t>
      </w:r>
      <w:r>
        <w:rPr>
          <w:rFonts w:hint="eastAsia" w:ascii="仿宋_GB2312" w:hAnsi="仿宋_GB2312" w:eastAsia="仿宋_GB2312" w:cs="仿宋_GB2312"/>
        </w:rPr>
        <w:t>塑造新型糖产能倍增核心动能；以奥谷生物为核心，联动江南大学等机构，探索“专家+技术经理人+企业家”投资模式，围绕阿洛酮糖、塔格糖等开展概念验证和超前孵化，抢占未来新型糖核心赛道；针对异麦芽糖、低热量糊精开展生产设备研发和工艺流程优化，吸引低产能企业进行异地化升级。推进高端氨基酸增效，基于功能性食品及豆粕减量行动需求，围绕精氨酸、苯丙氨酸、酪氨酸、组氨酸等高效益小品种氨基酸开展研发量产，加快推进诺潽生物</w:t>
      </w:r>
      <w:r>
        <w:rPr>
          <w:rFonts w:hint="eastAsia" w:ascii="仿宋_GB2312" w:hAnsi="仿宋_GB2312" w:eastAsia="仿宋_GB2312" w:cs="仿宋_GB2312"/>
          <w:lang w:val="en-US" w:eastAsia="zh-CN"/>
        </w:rPr>
        <w:t>共线生产异亮氨酸和色氨酸项目</w:t>
      </w:r>
      <w:r>
        <w:rPr>
          <w:rFonts w:hint="eastAsia" w:ascii="仿宋_GB2312" w:hAnsi="仿宋_GB2312" w:eastAsia="仿宋_GB2312" w:cs="仿宋_GB2312"/>
        </w:rPr>
        <w:t>，优化升级赖氨酸、苏氨酸等饲用级氨基酸工艺流程，打造高效益增长引擎。加强玉米副产物应用强度，立足非粮生物质高值化利用，推进聚乳酸、聚羟基脂肪酸酯等可降解塑料</w:t>
      </w:r>
      <w:r>
        <w:rPr>
          <w:rFonts w:hint="eastAsia" w:ascii="仿宋_GB2312" w:hAnsi="仿宋_GB2312" w:eastAsia="仿宋_GB2312" w:cs="仿宋_GB2312"/>
          <w:lang w:eastAsia="zh-CN"/>
        </w:rPr>
        <w:t>的</w:t>
      </w:r>
      <w:r>
        <w:rPr>
          <w:rFonts w:hint="eastAsia" w:ascii="仿宋_GB2312" w:hAnsi="仿宋_GB2312" w:eastAsia="仿宋_GB2312" w:cs="仿宋_GB2312"/>
          <w:lang w:val="en-US" w:eastAsia="zh-CN"/>
        </w:rPr>
        <w:t>发展</w:t>
      </w:r>
      <w:r>
        <w:rPr>
          <w:rFonts w:hint="eastAsia" w:ascii="仿宋_GB2312" w:hAnsi="仿宋_GB2312" w:eastAsia="仿宋_GB2312" w:cs="仿宋_GB2312"/>
        </w:rPr>
        <w:t>，谋划食品包装</w:t>
      </w:r>
      <w:r>
        <w:rPr>
          <w:rFonts w:hint="eastAsia" w:ascii="仿宋_GB2312" w:hAnsi="仿宋_GB2312" w:eastAsia="仿宋_GB2312" w:cs="仿宋_GB2312"/>
          <w:lang w:val="en-US" w:eastAsia="zh-CN"/>
        </w:rPr>
        <w:t>产业</w:t>
      </w:r>
      <w:r>
        <w:rPr>
          <w:rFonts w:hint="eastAsia" w:ascii="仿宋_GB2312" w:hAnsi="仿宋_GB2312" w:eastAsia="仿宋_GB2312" w:cs="仿宋_GB2312"/>
          <w:lang w:eastAsia="zh-CN"/>
        </w:rPr>
        <w:t>，</w:t>
      </w:r>
      <w:r>
        <w:rPr>
          <w:rFonts w:hint="eastAsia" w:ascii="仿宋_GB2312" w:hAnsi="仿宋_GB2312" w:eastAsia="仿宋_GB2312" w:cs="仿宋_GB2312"/>
        </w:rPr>
        <w:t>加快玉米油、玉米蛋白粉的开发利用。</w:t>
      </w:r>
    </w:p>
    <w:p w14:paraId="0090639E">
      <w:pPr>
        <w:bidi w:val="0"/>
        <w:rPr>
          <w:rFonts w:hint="eastAsia" w:ascii="仿宋_GB2312" w:hAnsi="仿宋_GB2312" w:eastAsia="仿宋_GB2312" w:cs="仿宋_GB2312"/>
        </w:rPr>
      </w:pPr>
      <w:r>
        <w:rPr>
          <w:rFonts w:hint="eastAsia" w:ascii="仿宋_GB2312" w:hAnsi="仿宋_GB2312" w:eastAsia="仿宋_GB2312" w:cs="仿宋_GB2312"/>
          <w:b/>
          <w:bCs/>
          <w:lang w:val="en-US" w:eastAsia="zh-CN"/>
        </w:rPr>
        <w:t>培育</w:t>
      </w:r>
      <w:r>
        <w:rPr>
          <w:rFonts w:hint="eastAsia" w:ascii="仿宋_GB2312" w:hAnsi="仿宋_GB2312" w:eastAsia="仿宋_GB2312" w:cs="仿宋_GB2312"/>
          <w:b/>
          <w:bCs/>
        </w:rPr>
        <w:t>发展生物医药产业。</w:t>
      </w:r>
      <w:r>
        <w:rPr>
          <w:rFonts w:hint="eastAsia" w:ascii="仿宋_GB2312" w:hAnsi="仿宋_GB2312" w:eastAsia="仿宋_GB2312" w:cs="仿宋_GB2312"/>
        </w:rPr>
        <w:t>围绕富锦特色美食和农业生产需求，</w:t>
      </w:r>
      <w:r>
        <w:rPr>
          <w:rFonts w:hint="eastAsia" w:ascii="仿宋_GB2312" w:hAnsi="仿宋_GB2312" w:eastAsia="仿宋_GB2312" w:cs="仿宋_GB2312"/>
          <w:lang w:val="en-US" w:eastAsia="zh-CN"/>
        </w:rPr>
        <w:t>聚焦于</w:t>
      </w:r>
      <w:r>
        <w:rPr>
          <w:rFonts w:hint="eastAsia" w:ascii="仿宋_GB2312" w:hAnsi="仿宋_GB2312" w:eastAsia="仿宋_GB2312" w:cs="仿宋_GB2312"/>
        </w:rPr>
        <w:t>特医特膳食品、医用保健品、功能饮料</w:t>
      </w:r>
      <w:r>
        <w:rPr>
          <w:rFonts w:hint="eastAsia" w:ascii="仿宋_GB2312" w:hAnsi="仿宋_GB2312" w:eastAsia="仿宋_GB2312" w:cs="仿宋_GB2312"/>
          <w:lang w:eastAsia="zh-CN"/>
        </w:rPr>
        <w:t>的</w:t>
      </w:r>
      <w:r>
        <w:rPr>
          <w:rFonts w:hint="eastAsia" w:ascii="仿宋_GB2312" w:hAnsi="仿宋_GB2312" w:eastAsia="仿宋_GB2312" w:cs="仿宋_GB2312"/>
        </w:rPr>
        <w:t>开发应用，拓展功能性健康衍生品，强化与佳木斯、哈尔滨产业链协作，带动关联业态集聚。推进生物制剂及原料药研发，加快PFM芦苇纤维全降解材料、中药初深加工产业、</w:t>
      </w:r>
      <w:r>
        <w:rPr>
          <w:rFonts w:hint="eastAsia" w:ascii="仿宋_GB2312" w:hAnsi="仿宋_GB2312" w:eastAsia="仿宋_GB2312" w:cs="仿宋_GB2312"/>
          <w:lang w:val="en-US" w:eastAsia="zh-CN"/>
        </w:rPr>
        <w:t>绿色糠醛</w:t>
      </w:r>
      <w:r>
        <w:rPr>
          <w:rFonts w:hint="eastAsia" w:ascii="仿宋_GB2312" w:hAnsi="仿宋_GB2312" w:eastAsia="仿宋_GB2312" w:cs="仿宋_GB2312"/>
        </w:rPr>
        <w:t>落地投产，鼓励诺潽生物、奥谷生物加强药用氨基酸在营养强化剂、医药中间体、医用保健品</w:t>
      </w:r>
      <w:r>
        <w:rPr>
          <w:rFonts w:hint="eastAsia" w:ascii="仿宋_GB2312" w:hAnsi="仿宋_GB2312" w:eastAsia="仿宋_GB2312" w:cs="仿宋_GB2312"/>
          <w:lang w:eastAsia="zh-CN"/>
        </w:rPr>
        <w:t>的</w:t>
      </w:r>
      <w:r>
        <w:rPr>
          <w:rFonts w:hint="eastAsia" w:ascii="仿宋_GB2312" w:hAnsi="仿宋_GB2312" w:eastAsia="仿宋_GB2312" w:cs="仿宋_GB2312"/>
        </w:rPr>
        <w:t>应用，发展抗生素、维生素等原料药产品，提升原料药绿色生产工艺；开展生物制剂关键技术研究与应用，发展疫苗、抗体、细胞因子等生物制剂产品；开发人参皂苷、黄芪多糖、刺五加等黑土特色中药提取物</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拓展其</w:t>
      </w:r>
      <w:r>
        <w:rPr>
          <w:rFonts w:hint="eastAsia" w:ascii="仿宋_GB2312" w:hAnsi="仿宋_GB2312" w:eastAsia="仿宋_GB2312" w:cs="仿宋_GB2312"/>
        </w:rPr>
        <w:t>在药品和保健品领域的应用。培育生物农业新业态，针对富锦寒地黑土特点，重点开展分子标记辅助育种、基因编辑等技术实验，推进玉米、大豆、水稻等生物育种和良种繁育；加强与武汉科诺生物科技合作，重点发展解磷解钾菌肥、光合细菌肥料等生物肥料，开展生物农药关键技术研究与应用，提高生物农药的防效和稳定性。</w:t>
      </w:r>
    </w:p>
    <w:p w14:paraId="53B72750">
      <w:pPr>
        <w:bidi w:val="0"/>
        <w:rPr>
          <w:rFonts w:hint="eastAsia" w:ascii="仿宋_GB2312" w:hAnsi="仿宋_GB2312" w:eastAsia="仿宋_GB2312" w:cs="仿宋_GB2312"/>
          <w:lang w:val="en-US" w:eastAsia="zh-CN"/>
        </w:rPr>
      </w:pPr>
      <w:r>
        <w:rPr>
          <w:rFonts w:hint="eastAsia" w:ascii="仿宋_GB2312" w:hAnsi="仿宋_GB2312" w:eastAsia="仿宋_GB2312" w:cs="仿宋_GB2312"/>
          <w:b/>
          <w:bCs/>
          <w:lang w:val="en-US" w:eastAsia="zh-CN"/>
        </w:rPr>
        <w:t>积极发展秸秆生物产业。</w:t>
      </w:r>
      <w:r>
        <w:rPr>
          <w:rFonts w:hint="eastAsia" w:ascii="仿宋_GB2312" w:hAnsi="仿宋_GB2312" w:eastAsia="仿宋_GB2312" w:cs="仿宋_GB2312"/>
          <w:lang w:val="en-US" w:eastAsia="zh-CN"/>
        </w:rPr>
        <w:t>依托所在区域丰富的秸秆资源和成本比较优势，加强秸秆收储运体系建设，提高秸秆收集效率和商品化率，为产业发展提供稳定原料保障。发挥省级化工产业园优势，以秸秆肥料化、能源化利用为基础，以原料化、基料化利用为特色，以高值化利用为引领，着力推动秸秆深加工项目落地富锦，重点引进在秸秆解聚糖化饲料、波裂解制能源、生物质能源综合利用、高端材料等领域有核心技术的龙头企业，带动上下游配套企业集聚。强化科技创新支撑，与省农科院、哈工大、东北农大等高校、科研院所合作，开展秸秆综合利用关键技术攻关，推动成果在富锦就地转化应用。积极争取国省级秸秆综合利用项目资金、绿色产业基金、税收优惠等政策，谋划建设专业化秸秆产业园区，推动产业协同化共享、集群化发展，打造三江平原地区秸秆高值化利用示范基地，成为</w:t>
      </w:r>
      <w:r>
        <w:rPr>
          <w:rFonts w:hint="eastAsia" w:ascii="仿宋_GB2312" w:hAnsi="仿宋_GB2312" w:cs="仿宋_GB2312"/>
          <w:lang w:val="en-US" w:eastAsia="zh-CN"/>
        </w:rPr>
        <w:t>富锦</w:t>
      </w:r>
      <w:r>
        <w:rPr>
          <w:rFonts w:hint="eastAsia" w:ascii="仿宋_GB2312" w:hAnsi="仿宋_GB2312" w:eastAsia="仿宋_GB2312" w:cs="仿宋_GB2312"/>
          <w:lang w:val="en-US" w:eastAsia="zh-CN"/>
        </w:rPr>
        <w:t>高质量发展的新引擎。</w:t>
      </w:r>
    </w:p>
    <w:p w14:paraId="3E4A5627">
      <w:pPr>
        <w:bidi w:val="0"/>
        <w:rPr>
          <w:rFonts w:hint="eastAsia" w:ascii="仿宋_GB2312" w:hAnsi="仿宋_GB2312" w:eastAsia="仿宋_GB2312" w:cs="仿宋_GB2312"/>
        </w:rPr>
      </w:pPr>
      <w:r>
        <w:rPr>
          <w:rFonts w:hint="eastAsia" w:ascii="仿宋_GB2312" w:hAnsi="仿宋_GB2312" w:eastAsia="仿宋_GB2312" w:cs="仿宋_GB2312"/>
          <w:b/>
          <w:bCs/>
        </w:rPr>
        <w:t>创新生物经济产业育成模式。</w:t>
      </w:r>
      <w:r>
        <w:rPr>
          <w:rFonts w:hint="eastAsia" w:ascii="仿宋_GB2312" w:hAnsi="仿宋_GB2312" w:eastAsia="仿宋_GB2312" w:cs="仿宋_GB2312"/>
        </w:rPr>
        <w:t>依托富锦基础优势及“6+1”共享平台，构建集“高端要素赋能+生产要素集约化供给”于一体的富锦特色生物经济产业育成模式。</w:t>
      </w:r>
      <w:r>
        <w:rPr>
          <w:rFonts w:hint="eastAsia" w:ascii="仿宋_GB2312" w:hAnsi="仿宋_GB2312" w:eastAsia="仿宋_GB2312" w:cs="仿宋_GB2312"/>
          <w:lang w:val="en-US" w:eastAsia="zh-CN"/>
        </w:rPr>
        <w:t>建设</w:t>
      </w:r>
      <w:r>
        <w:rPr>
          <w:rFonts w:hint="eastAsia" w:ascii="仿宋_GB2312" w:hAnsi="仿宋_GB2312" w:eastAsia="仿宋_GB2312" w:cs="仿宋_GB2312"/>
        </w:rPr>
        <w:t>创新要素赋能平台，以企业为主体，联合江南大学、武汉大学</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天津大学</w:t>
      </w:r>
      <w:r>
        <w:rPr>
          <w:rFonts w:hint="eastAsia" w:ascii="仿宋_GB2312" w:hAnsi="仿宋_GB2312" w:eastAsia="仿宋_GB2312" w:cs="仿宋_GB2312"/>
        </w:rPr>
        <w:t>等科研院所机构，</w:t>
      </w:r>
      <w:r>
        <w:rPr>
          <w:rFonts w:hint="eastAsia" w:ascii="仿宋_GB2312" w:hAnsi="仿宋_GB2312" w:eastAsia="仿宋_GB2312" w:cs="仿宋_GB2312"/>
          <w:lang w:val="en-US" w:eastAsia="zh-CN"/>
        </w:rPr>
        <w:t>通过</w:t>
      </w:r>
      <w:r>
        <w:rPr>
          <w:rFonts w:hint="eastAsia" w:ascii="仿宋_GB2312" w:hAnsi="仿宋_GB2312" w:eastAsia="仿宋_GB2312" w:cs="仿宋_GB2312"/>
        </w:rPr>
        <w:t>搭建科创孵化、多元金融、人才实训等</w:t>
      </w:r>
      <w:r>
        <w:rPr>
          <w:rFonts w:hint="eastAsia" w:ascii="仿宋_GB2312" w:hAnsi="仿宋_GB2312" w:eastAsia="仿宋_GB2312" w:cs="仿宋_GB2312"/>
          <w:lang w:val="en-US" w:eastAsia="zh-CN"/>
        </w:rPr>
        <w:t>平台</w:t>
      </w:r>
      <w:r>
        <w:rPr>
          <w:rFonts w:hint="eastAsia" w:ascii="仿宋_GB2312" w:hAnsi="仿宋_GB2312" w:eastAsia="仿宋_GB2312" w:cs="仿宋_GB2312"/>
        </w:rPr>
        <w:t>，强化创新要素赋能，逐步形成以科创驱动、金融供给、人才引领、数实融合等于一体的全产业链集成创新赋能体系。完善生产要素集约共享平台。按照“政府做主导、企业为主体、市场化服务、合作求共赢”原则，配套建设玉米整合收储平台、配套辅料生产平台及公共维修平台，同时升级优化原有生产要素配置能力及供应模式，形成集“玉米原料整合收储+淀粉/液糖统一供应+生物酶研发转化+设备仪器共享维修+物流统一配送”的全链条生产要素规模集约化供给，奠</w:t>
      </w:r>
      <w:r>
        <w:rPr>
          <w:rFonts w:hint="eastAsia" w:ascii="仿宋_GB2312" w:hAnsi="仿宋_GB2312" w:cs="仿宋_GB2312"/>
          <w:lang w:eastAsia="zh-CN"/>
        </w:rPr>
        <w:t>定了</w:t>
      </w:r>
      <w:r>
        <w:rPr>
          <w:rFonts w:hint="eastAsia" w:ascii="仿宋_GB2312" w:hAnsi="仿宋_GB2312" w:eastAsia="仿宋_GB2312" w:cs="仿宋_GB2312"/>
        </w:rPr>
        <w:t>园区生产要素配置的比较优势。</w:t>
      </w:r>
    </w:p>
    <w:p w14:paraId="47C3EEAB">
      <w:pPr>
        <w:bidi w:val="0"/>
        <w:rPr>
          <w:rFonts w:hint="eastAsia" w:ascii="仿宋_GB2312" w:hAnsi="仿宋_GB2312" w:eastAsia="仿宋_GB2312" w:cs="仿宋_GB2312"/>
          <w:b/>
          <w:bCs/>
          <w:sz w:val="32"/>
          <w:szCs w:val="32"/>
        </w:rPr>
      </w:pPr>
      <w:r>
        <w:rPr>
          <w:rFonts w:hint="eastAsia" w:ascii="仿宋_GB2312" w:hAnsi="仿宋_GB2312" w:cs="仿宋_GB2312"/>
          <w:b/>
          <w:bCs/>
          <w:sz w:val="32"/>
          <w:szCs w:val="32"/>
          <w:lang w:val="en-US" w:eastAsia="zh-CN"/>
        </w:rPr>
        <w:t>三</w:t>
      </w:r>
      <w:r>
        <w:rPr>
          <w:rFonts w:hint="eastAsia" w:ascii="仿宋_GB2312" w:hAnsi="仿宋_GB2312" w:eastAsia="仿宋_GB2312" w:cs="仿宋_GB2312"/>
          <w:b/>
          <w:bCs/>
          <w:sz w:val="32"/>
          <w:szCs w:val="32"/>
        </w:rPr>
        <w:t>、</w:t>
      </w:r>
      <w:r>
        <w:rPr>
          <w:rFonts w:hint="default" w:ascii="Times New Roman" w:hAnsi="Times New Roman" w:eastAsia="仿宋_GB2312" w:cs="Times New Roman"/>
          <w:b/>
          <w:bCs/>
          <w:sz w:val="32"/>
          <w:szCs w:val="32"/>
          <w:lang w:eastAsia="zh-CN"/>
        </w:rPr>
        <w:t>推动</w:t>
      </w:r>
      <w:r>
        <w:rPr>
          <w:rFonts w:hint="default" w:ascii="Times New Roman" w:hAnsi="Times New Roman" w:eastAsia="仿宋_GB2312" w:cs="Times New Roman"/>
          <w:b/>
          <w:bCs/>
          <w:sz w:val="32"/>
          <w:szCs w:val="32"/>
          <w:lang w:val="en-US" w:eastAsia="zh-CN"/>
        </w:rPr>
        <w:t>新能源产业</w:t>
      </w:r>
      <w:r>
        <w:rPr>
          <w:rFonts w:hint="default" w:ascii="Times New Roman" w:hAnsi="Times New Roman" w:eastAsia="仿宋_GB2312" w:cs="Times New Roman"/>
          <w:b/>
          <w:bCs/>
          <w:sz w:val="32"/>
          <w:szCs w:val="32"/>
          <w:lang w:eastAsia="zh-CN"/>
        </w:rPr>
        <w:t>发展</w:t>
      </w:r>
    </w:p>
    <w:p w14:paraId="44D7E106">
      <w:pPr>
        <w:bidi w:val="0"/>
        <w:rPr>
          <w:rFonts w:hint="eastAsia"/>
        </w:rPr>
      </w:pPr>
      <w:r>
        <w:rPr>
          <w:rFonts w:hint="default"/>
          <w:lang w:val="en-US" w:eastAsia="zh-CN"/>
        </w:rPr>
        <w:t>围绕</w:t>
      </w:r>
      <w:r>
        <w:rPr>
          <w:rFonts w:hint="default"/>
          <w:lang w:eastAsia="zh-CN"/>
        </w:rPr>
        <w:t>风力发电、</w:t>
      </w:r>
      <w:r>
        <w:rPr>
          <w:rFonts w:hint="default"/>
          <w:lang w:val="en-US" w:eastAsia="zh-CN"/>
        </w:rPr>
        <w:t>生物质能源基础，发展储能、智慧电网、绿氢等</w:t>
      </w:r>
      <w:r>
        <w:rPr>
          <w:rFonts w:hint="default"/>
          <w:lang w:eastAsia="zh-CN"/>
        </w:rPr>
        <w:t>产业</w:t>
      </w:r>
      <w:r>
        <w:rPr>
          <w:rFonts w:hint="default"/>
          <w:lang w:val="en-US" w:eastAsia="zh-CN"/>
        </w:rPr>
        <w:t>，</w:t>
      </w:r>
      <w:r>
        <w:rPr>
          <w:rFonts w:hint="eastAsia"/>
        </w:rPr>
        <w:t>打造新能源产业集群</w:t>
      </w:r>
      <w:r>
        <w:rPr>
          <w:rFonts w:hint="eastAsia"/>
          <w:lang w:eastAsia="zh-CN"/>
        </w:rPr>
        <w:t>，</w:t>
      </w:r>
      <w:r>
        <w:rPr>
          <w:rFonts w:hint="default"/>
          <w:lang w:val="en-US" w:eastAsia="zh-CN"/>
        </w:rPr>
        <w:t>探索</w:t>
      </w:r>
      <w:r>
        <w:rPr>
          <w:rFonts w:hint="default"/>
          <w:lang w:eastAsia="zh-CN"/>
        </w:rPr>
        <w:t>绿电直连</w:t>
      </w:r>
      <w:r>
        <w:rPr>
          <w:rFonts w:hint="default"/>
          <w:lang w:val="en-US" w:eastAsia="zh-CN"/>
        </w:rPr>
        <w:t>发展模式，优化能源结构</w:t>
      </w:r>
      <w:r>
        <w:rPr>
          <w:rFonts w:hint="default"/>
          <w:lang w:eastAsia="zh-CN"/>
        </w:rPr>
        <w:t>，促进</w:t>
      </w:r>
      <w:r>
        <w:rPr>
          <w:rFonts w:hint="default"/>
          <w:lang w:val="en-US" w:eastAsia="zh-CN"/>
        </w:rPr>
        <w:t>低碳发展。</w:t>
      </w:r>
    </w:p>
    <w:p w14:paraId="28E073BB">
      <w:pPr>
        <w:bidi w:val="0"/>
        <w:rPr>
          <w:rFonts w:hint="eastAsia" w:ascii="仿宋_GB2312" w:hAnsi="仿宋_GB2312" w:eastAsia="仿宋_GB2312" w:cs="仿宋_GB2312"/>
        </w:rPr>
      </w:pPr>
      <w:r>
        <w:rPr>
          <w:rFonts w:hint="eastAsia" w:ascii="仿宋_GB2312" w:hAnsi="仿宋_GB2312" w:eastAsia="仿宋_GB2312" w:cs="仿宋_GB2312"/>
          <w:b/>
          <w:bCs/>
        </w:rPr>
        <w:t>加快风光氢储一体化推进。</w:t>
      </w:r>
      <w:r>
        <w:rPr>
          <w:rFonts w:hint="eastAsia" w:ascii="仿宋_GB2312" w:hAnsi="仿宋_GB2312" w:eastAsia="仿宋_GB2312" w:cs="仿宋_GB2312"/>
        </w:rPr>
        <w:t>依托富锦风电基础，谋划风光氢储一体化示范基地建设，构建风光氢储协同运行体系</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强化“绿氢”枢纽地位，打造三江平原绿色氢氨供应枢纽，初期重点拓展氢能在物流运输、能源站、精细化工等领域的示范应用，为未来大规模产业化奠定基础。加快</w:t>
      </w:r>
      <w:r>
        <w:rPr>
          <w:rFonts w:hint="eastAsia" w:ascii="仿宋_GB2312" w:hAnsi="仿宋_GB2312" w:eastAsia="仿宋_GB2312" w:cs="仿宋_GB2312"/>
        </w:rPr>
        <w:t>构建以风电为主、生物质能为辅、太阳能为补充的多元化能源供应体系。</w:t>
      </w:r>
    </w:p>
    <w:p w14:paraId="45C48A86">
      <w:pPr>
        <w:bidi w:val="0"/>
        <w:rPr>
          <w:rFonts w:hint="eastAsia" w:ascii="仿宋_GB2312" w:hAnsi="仿宋_GB2312" w:eastAsia="仿宋_GB2312" w:cs="仿宋_GB2312"/>
        </w:rPr>
      </w:pPr>
      <w:r>
        <w:rPr>
          <w:rFonts w:hint="eastAsia" w:ascii="仿宋_GB2312" w:hAnsi="仿宋_GB2312" w:eastAsia="仿宋_GB2312" w:cs="仿宋_GB2312"/>
          <w:b/>
          <w:bCs/>
        </w:rPr>
        <w:t>巩固提升风电规模化基础</w:t>
      </w:r>
      <w:r>
        <w:rPr>
          <w:rFonts w:hint="eastAsia" w:ascii="仿宋_GB2312" w:hAnsi="仿宋_GB2312" w:eastAsia="仿宋_GB2312" w:cs="仿宋_GB2312"/>
          <w:b/>
          <w:bCs/>
          <w:lang w:eastAsia="zh-CN"/>
        </w:rPr>
        <w:t>。</w:t>
      </w:r>
      <w:r>
        <w:rPr>
          <w:rFonts w:hint="eastAsia" w:ascii="仿宋_GB2312" w:hAnsi="仿宋_GB2312" w:eastAsia="仿宋_GB2312" w:cs="仿宋_GB2312"/>
        </w:rPr>
        <w:t>推动现有风电场技术升级与设备改造，重点实施中宇富锦90MW风电“以大代小”等容改造，加快泰富能源300MW风电和电变新能源300MW风电项目建设进度，</w:t>
      </w:r>
      <w:r>
        <w:rPr>
          <w:rFonts w:hint="eastAsia" w:ascii="仿宋_GB2312" w:hAnsi="仿宋_GB2312" w:cs="仿宋_GB2312"/>
          <w:lang w:val="en-US" w:eastAsia="zh-CN"/>
        </w:rPr>
        <w:t>推进华灯</w:t>
      </w:r>
      <w:r>
        <w:rPr>
          <w:rFonts w:hint="eastAsia" w:ascii="仿宋_GB2312" w:hAnsi="仿宋_GB2312" w:eastAsia="仿宋_GB2312" w:cs="仿宋_GB2312"/>
        </w:rPr>
        <w:t>300MW</w:t>
      </w:r>
      <w:r>
        <w:rPr>
          <w:rFonts w:hint="eastAsia" w:ascii="仿宋_GB2312" w:hAnsi="仿宋_GB2312" w:cs="仿宋_GB2312"/>
          <w:lang w:val="en-US" w:eastAsia="zh-CN"/>
        </w:rPr>
        <w:t>风电项目尽快落地。</w:t>
      </w:r>
      <w:r>
        <w:rPr>
          <w:rFonts w:hint="eastAsia" w:ascii="仿宋_GB2312" w:hAnsi="仿宋_GB2312" w:eastAsia="仿宋_GB2312" w:cs="仿宋_GB2312"/>
        </w:rPr>
        <w:t>探索风电制氢、风电供暖等新模式，拓展风电多元化利用；推动分布式光伏发电，</w:t>
      </w:r>
      <w:r>
        <w:rPr>
          <w:rFonts w:hint="eastAsia" w:ascii="仿宋_GB2312" w:hAnsi="仿宋_GB2312" w:eastAsia="仿宋_GB2312" w:cs="仿宋_GB2312"/>
          <w:lang w:val="en-US" w:eastAsia="zh-CN"/>
        </w:rPr>
        <w:t>推动</w:t>
      </w:r>
      <w:r>
        <w:rPr>
          <w:rFonts w:hint="eastAsia" w:ascii="仿宋_GB2312" w:hAnsi="仿宋_GB2312" w:eastAsia="仿宋_GB2312" w:cs="仿宋_GB2312"/>
        </w:rPr>
        <w:t>在经开区、商业和公共建筑屋顶安装光伏发电系统，鼓励发展农光互补、渔光互补等复合型光伏发电项目；提升生物质发电能力，支持中闽能源富锦生物质热电项目扩大规模，加快构建生物质资源收集、运输、储存体系，鼓励发展生物质成型燃料、生物质燃气</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秸秆制电池负极材料</w:t>
      </w:r>
      <w:r>
        <w:rPr>
          <w:rFonts w:hint="eastAsia" w:ascii="仿宋_GB2312" w:hAnsi="仿宋_GB2312" w:eastAsia="仿宋_GB2312" w:cs="仿宋_GB2312"/>
        </w:rPr>
        <w:t>等多元化利用方式。</w:t>
      </w:r>
    </w:p>
    <w:p w14:paraId="20031C5C">
      <w:pPr>
        <w:bidi w:val="0"/>
        <w:rPr>
          <w:rFonts w:hint="eastAsia" w:ascii="仿宋_GB2312" w:hAnsi="仿宋_GB2312" w:eastAsia="仿宋_GB2312" w:cs="仿宋_GB2312"/>
        </w:rPr>
      </w:pPr>
      <w:r>
        <w:rPr>
          <w:rFonts w:hint="eastAsia" w:ascii="仿宋_GB2312" w:hAnsi="仿宋_GB2312" w:eastAsia="仿宋_GB2312" w:cs="仿宋_GB2312"/>
          <w:b/>
          <w:bCs/>
        </w:rPr>
        <w:t>培育发展新型能源产业</w:t>
      </w:r>
      <w:r>
        <w:rPr>
          <w:rFonts w:hint="eastAsia" w:ascii="仿宋_GB2312" w:hAnsi="仿宋_GB2312" w:eastAsia="仿宋_GB2312" w:cs="仿宋_GB2312"/>
          <w:b/>
          <w:bCs/>
          <w:lang w:eastAsia="zh-CN"/>
        </w:rPr>
        <w:t>。</w:t>
      </w:r>
      <w:r>
        <w:rPr>
          <w:rFonts w:hint="eastAsia" w:ascii="仿宋_GB2312" w:hAnsi="仿宋_GB2312" w:eastAsia="仿宋_GB2312" w:cs="仿宋_GB2312"/>
        </w:rPr>
        <w:t>探索发展绿氢产业，积极引进龙头企业，规划建设风电耦合制绿色氢氨醇一体化示范项目，着力打造集制氢、储运、应用为一体的全产业链体系。重点拓展氢能在交通运输、分布式能源、工业制造等领域的多元化应用场景，通过示范项目引领、政策扶持引导等方式，逐步培育壮大氢能应用市场。推进新型储能设施建设，重点支持企业开展锂电池储能、</w:t>
      </w:r>
      <w:r>
        <w:rPr>
          <w:rFonts w:hint="eastAsia" w:ascii="仿宋_GB2312" w:hAnsi="仿宋_GB2312" w:eastAsia="仿宋_GB2312" w:cs="仿宋_GB2312"/>
          <w:lang w:val="en-US" w:eastAsia="zh-CN"/>
        </w:rPr>
        <w:t>磁悬浮飞轮储能</w:t>
      </w:r>
      <w:r>
        <w:rPr>
          <w:rFonts w:hint="eastAsia" w:ascii="仿宋_GB2312" w:hAnsi="仿宋_GB2312" w:eastAsia="仿宋_GB2312" w:cs="仿宋_GB2312"/>
        </w:rPr>
        <w:t>、压缩空气储能等前沿技术研发与产业化应用。支持在经开区等电力负荷集中区域，布局建设大型储能电站系统，构建“源网荷储”协同发展的新型电力系统，为绿色能源稳定供应提供坚实保障。</w:t>
      </w:r>
    </w:p>
    <w:p w14:paraId="3263BB8E">
      <w:pPr>
        <w:bidi w:val="0"/>
        <w:rPr>
          <w:rFonts w:hint="eastAsia" w:ascii="仿宋_GB2312" w:hAnsi="仿宋_GB2312" w:eastAsia="仿宋_GB2312" w:cs="仿宋_GB2312"/>
        </w:rPr>
      </w:pPr>
      <w:r>
        <w:rPr>
          <w:rFonts w:hint="eastAsia" w:ascii="仿宋_GB2312" w:hAnsi="仿宋_GB2312" w:eastAsia="仿宋_GB2312" w:cs="仿宋_GB2312"/>
          <w:b/>
          <w:bCs/>
        </w:rPr>
        <w:t>培育壮大新能源装备制造。</w:t>
      </w:r>
      <w:r>
        <w:rPr>
          <w:rFonts w:hint="eastAsia" w:ascii="仿宋_GB2312" w:hAnsi="仿宋_GB2312" w:eastAsia="仿宋_GB2312" w:cs="仿宋_GB2312"/>
          <w:lang w:val="en-US" w:eastAsia="zh-CN"/>
        </w:rPr>
        <w:t>充分发挥本地应用市场的牵引作用，吸引中车等龙头企业在我市设立运维基地和技术服务中心，逐步带动部分核心零部件本地化生产，形成“应用示范</w:t>
      </w:r>
      <w:r>
        <w:rPr>
          <w:rFonts w:hint="eastAsia" w:ascii="仿宋_GB2312" w:hAnsi="仿宋_GB2312" w:cs="仿宋_GB2312"/>
          <w:lang w:val="en-US" w:eastAsia="zh-CN"/>
        </w:rPr>
        <w:t>－</w:t>
      </w:r>
      <w:r>
        <w:rPr>
          <w:rFonts w:hint="eastAsia" w:ascii="仿宋_GB2312" w:hAnsi="仿宋_GB2312" w:eastAsia="仿宋_GB2312" w:cs="仿宋_GB2312"/>
          <w:lang w:val="en-US" w:eastAsia="zh-CN"/>
        </w:rPr>
        <w:t>运维服务</w:t>
      </w:r>
      <w:r>
        <w:rPr>
          <w:rFonts w:hint="eastAsia" w:ascii="仿宋_GB2312" w:hAnsi="仿宋_GB2312" w:cs="仿宋_GB2312"/>
          <w:lang w:val="en-US" w:eastAsia="zh-CN"/>
        </w:rPr>
        <w:t>－</w:t>
      </w:r>
      <w:r>
        <w:rPr>
          <w:rFonts w:hint="eastAsia" w:ascii="仿宋_GB2312" w:hAnsi="仿宋_GB2312" w:eastAsia="仿宋_GB2312" w:cs="仿宋_GB2312"/>
          <w:lang w:val="en-US" w:eastAsia="zh-CN"/>
        </w:rPr>
        <w:t>局部制造”的发展路径，推动新能源产业从单一发电向综合服务延伸。</w:t>
      </w:r>
      <w:r>
        <w:rPr>
          <w:rFonts w:hint="eastAsia" w:ascii="仿宋_GB2312" w:hAnsi="仿宋_GB2312" w:eastAsia="仿宋_GB2312" w:cs="仿宋_GB2312"/>
        </w:rPr>
        <w:t>加快推进农机装备绿色化转型，重点支持丰诺植保、立兴植保等龙头企业加大研发投入，着力突破混合动力农机、设施电动作业装备、5G+燃料等新能源农机装备关键技术，推动传统农机装备向智能化、绿色化方向升级。</w:t>
      </w:r>
    </w:p>
    <w:tbl>
      <w:tblPr>
        <w:tblStyle w:val="20"/>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594DF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8522" w:type="dxa"/>
            <w:vAlign w:val="center"/>
          </w:tcPr>
          <w:p w14:paraId="7A0F749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黑体" w:cs="Times New Roman"/>
                <w:sz w:val="24"/>
              </w:rPr>
            </w:pPr>
            <w:r>
              <w:rPr>
                <w:rFonts w:hint="eastAsia" w:ascii="黑体" w:hAnsi="黑体" w:eastAsia="黑体" w:cs="黑体"/>
                <w:b w:val="0"/>
                <w:bCs w:val="0"/>
                <w:sz w:val="24"/>
                <w:szCs w:val="24"/>
                <w:u w:val="none"/>
                <w:shd w:val="clear" w:fill="auto"/>
              </w:rPr>
              <w:t>专栏</w:t>
            </w:r>
            <w:r>
              <w:rPr>
                <w:rFonts w:hint="eastAsia" w:ascii="黑体" w:hAnsi="黑体" w:eastAsia="黑体" w:cs="黑体"/>
                <w:b w:val="0"/>
                <w:bCs w:val="0"/>
                <w:sz w:val="24"/>
                <w:szCs w:val="24"/>
                <w:u w:val="none"/>
                <w:shd w:val="clear" w:fill="auto"/>
                <w:lang w:val="en-US" w:eastAsia="zh-CN"/>
              </w:rPr>
              <w:t xml:space="preserve">4-1  </w:t>
            </w:r>
            <w:r>
              <w:rPr>
                <w:rFonts w:hint="eastAsia" w:ascii="黑体" w:hAnsi="黑体" w:eastAsia="黑体" w:cs="黑体"/>
                <w:b w:val="0"/>
                <w:bCs w:val="0"/>
                <w:sz w:val="24"/>
                <w:szCs w:val="24"/>
                <w:u w:val="none"/>
                <w:shd w:val="clear" w:fill="auto"/>
              </w:rPr>
              <w:t>百亿级</w:t>
            </w:r>
            <w:r>
              <w:rPr>
                <w:rFonts w:hint="eastAsia" w:ascii="黑体" w:hAnsi="黑体" w:eastAsia="黑体" w:cs="黑体"/>
                <w:b w:val="0"/>
                <w:bCs w:val="0"/>
                <w:sz w:val="24"/>
                <w:szCs w:val="24"/>
                <w:u w:val="none"/>
                <w:shd w:val="clear" w:fill="auto"/>
                <w:lang w:eastAsia="zh-CN"/>
              </w:rPr>
              <w:t>主导产业</w:t>
            </w:r>
            <w:r>
              <w:rPr>
                <w:rFonts w:hint="eastAsia" w:ascii="黑体" w:hAnsi="黑体" w:eastAsia="黑体" w:cs="黑体"/>
                <w:b w:val="0"/>
                <w:bCs w:val="0"/>
                <w:sz w:val="24"/>
                <w:szCs w:val="24"/>
                <w:u w:val="none"/>
                <w:shd w:val="clear" w:fill="auto"/>
                <w:lang w:val="en-US" w:eastAsia="zh-CN"/>
              </w:rPr>
              <w:t>壮大</w:t>
            </w:r>
            <w:r>
              <w:rPr>
                <w:rFonts w:hint="eastAsia" w:ascii="黑体" w:hAnsi="黑体" w:eastAsia="黑体" w:cs="黑体"/>
                <w:b w:val="0"/>
                <w:bCs w:val="0"/>
                <w:sz w:val="24"/>
                <w:szCs w:val="24"/>
                <w:u w:val="none"/>
                <w:shd w:val="clear" w:fill="auto"/>
              </w:rPr>
              <w:t>重点工程</w:t>
            </w:r>
          </w:p>
        </w:tc>
      </w:tr>
      <w:tr w14:paraId="76A69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01A908E4">
            <w:pPr>
              <w:pStyle w:val="8"/>
              <w:bidi w:val="0"/>
              <w:rPr>
                <w:rFonts w:hint="eastAsia" w:ascii="楷体_GB2312" w:hAnsi="楷体_GB2312" w:eastAsia="楷体_GB2312" w:cs="楷体_GB2312"/>
                <w:lang w:val="en-US" w:eastAsia="zh-CN"/>
              </w:rPr>
            </w:pPr>
            <w:r>
              <w:rPr>
                <w:rFonts w:hint="eastAsia" w:ascii="楷体_GB2312" w:hAnsi="楷体_GB2312" w:eastAsia="楷体_GB2312" w:cs="楷体_GB2312"/>
                <w:b/>
                <w:bCs/>
                <w:lang w:val="en-US" w:eastAsia="zh-CN"/>
              </w:rPr>
              <w:t>1.新</w:t>
            </w:r>
            <w:r>
              <w:rPr>
                <w:rFonts w:hint="eastAsia" w:ascii="楷体_GB2312" w:hAnsi="楷体_GB2312" w:eastAsia="楷体_GB2312" w:cs="楷体_GB2312"/>
                <w:b/>
                <w:bCs/>
              </w:rPr>
              <w:t>型糖产业园</w:t>
            </w:r>
            <w:r>
              <w:rPr>
                <w:rFonts w:hint="eastAsia" w:ascii="楷体_GB2312" w:hAnsi="楷体_GB2312" w:eastAsia="楷体_GB2312" w:cs="楷体_GB2312"/>
                <w:b/>
                <w:bCs/>
                <w:lang w:eastAsia="zh-CN"/>
              </w:rPr>
              <w:t>创建</w:t>
            </w:r>
            <w:r>
              <w:rPr>
                <w:rFonts w:hint="eastAsia" w:ascii="楷体_GB2312" w:hAnsi="楷体_GB2312" w:eastAsia="楷体_GB2312" w:cs="楷体_GB2312"/>
                <w:b/>
                <w:bCs/>
              </w:rPr>
              <w:t>工程。</w:t>
            </w:r>
            <w:r>
              <w:rPr>
                <w:rFonts w:hint="eastAsia" w:ascii="楷体_GB2312" w:hAnsi="楷体_GB2312" w:eastAsia="楷体_GB2312" w:cs="楷体_GB2312"/>
                <w:lang w:eastAsia="zh-CN"/>
              </w:rPr>
              <w:t>项目</w:t>
            </w:r>
            <w:r>
              <w:rPr>
                <w:rFonts w:hint="eastAsia" w:ascii="楷体_GB2312" w:hAnsi="楷体_GB2312" w:eastAsia="楷体_GB2312" w:cs="楷体_GB2312"/>
                <w:lang w:val="en-US" w:eastAsia="zh-CN"/>
              </w:rPr>
              <w:t>分三期建设，主要策划思路：</w:t>
            </w:r>
            <w:r>
              <w:rPr>
                <w:rFonts w:hint="eastAsia" w:ascii="楷体_GB2312" w:hAnsi="楷体_GB2312" w:eastAsia="楷体_GB2312" w:cs="楷体_GB2312"/>
                <w:lang w:eastAsia="zh-CN"/>
              </w:rPr>
              <w:t>立足化工产业园基础，整合</w:t>
            </w:r>
            <w:r>
              <w:rPr>
                <w:rFonts w:hint="eastAsia" w:ascii="楷体_GB2312" w:hAnsi="楷体_GB2312" w:eastAsia="楷体_GB2312" w:cs="楷体_GB2312"/>
              </w:rPr>
              <w:t>奥谷生物50万吨海藻糖50万吨复配糖</w:t>
            </w:r>
            <w:r>
              <w:rPr>
                <w:rFonts w:hint="eastAsia" w:ascii="楷体_GB2312" w:hAnsi="楷体_GB2312" w:eastAsia="楷体_GB2312" w:cs="楷体_GB2312"/>
                <w:lang w:eastAsia="zh-CN"/>
              </w:rPr>
              <w:t>产业园、</w:t>
            </w:r>
            <w:r>
              <w:rPr>
                <w:rFonts w:hint="eastAsia" w:ascii="楷体_GB2312" w:hAnsi="楷体_GB2312" w:eastAsia="楷体_GB2312" w:cs="楷体_GB2312"/>
              </w:rPr>
              <w:t>诺潽</w:t>
            </w:r>
            <w:r>
              <w:rPr>
                <w:rFonts w:hint="eastAsia" w:ascii="楷体_GB2312" w:hAnsi="楷体_GB2312" w:eastAsia="楷体_GB2312" w:cs="楷体_GB2312"/>
                <w:lang w:eastAsia="zh-CN"/>
              </w:rPr>
              <w:t>生物制造产业园</w:t>
            </w:r>
            <w:r>
              <w:rPr>
                <w:rFonts w:hint="eastAsia" w:ascii="楷体_GB2312" w:hAnsi="楷体_GB2312" w:eastAsia="楷体_GB2312" w:cs="楷体_GB2312"/>
              </w:rPr>
              <w:t>等，</w:t>
            </w:r>
            <w:r>
              <w:rPr>
                <w:rFonts w:hint="eastAsia" w:ascii="楷体_GB2312" w:hAnsi="楷体_GB2312" w:eastAsia="楷体_GB2312" w:cs="楷体_GB2312"/>
                <w:lang w:eastAsia="zh-CN"/>
              </w:rPr>
              <w:t>聚焦新型糖和高端氨基酸等高附加值产品，</w:t>
            </w:r>
            <w:r>
              <w:rPr>
                <w:rFonts w:hint="eastAsia" w:ascii="楷体_GB2312" w:hAnsi="楷体_GB2312" w:eastAsia="楷体_GB2312" w:cs="楷体_GB2312"/>
              </w:rPr>
              <w:t>持续推动规模升级</w:t>
            </w:r>
            <w:r>
              <w:rPr>
                <w:rFonts w:hint="eastAsia" w:ascii="楷体_GB2312" w:hAnsi="楷体_GB2312" w:eastAsia="楷体_GB2312" w:cs="楷体_GB2312"/>
                <w:lang w:eastAsia="zh-CN"/>
              </w:rPr>
              <w:t>，打造成为</w:t>
            </w:r>
            <w:r>
              <w:rPr>
                <w:rFonts w:hint="eastAsia" w:ascii="楷体_GB2312" w:hAnsi="楷体_GB2312" w:eastAsia="楷体_GB2312" w:cs="楷体_GB2312"/>
              </w:rPr>
              <w:t>全国乃至全球最大的“新型糖+”生产示范基地。</w:t>
            </w:r>
            <w:r>
              <w:rPr>
                <w:rFonts w:hint="eastAsia" w:ascii="楷体_GB2312" w:hAnsi="楷体_GB2312" w:eastAsia="楷体_GB2312" w:cs="楷体_GB2312"/>
                <w:lang w:val="en-US" w:eastAsia="zh-CN"/>
              </w:rPr>
              <w:t>推进年产10万吨麦芽糖、10万吨低聚麦芽糖、20万吨全自动复配糖生产线产业园项目。</w:t>
            </w:r>
          </w:p>
          <w:p w14:paraId="6A1C14F4">
            <w:pPr>
              <w:pStyle w:val="8"/>
              <w:bidi w:val="0"/>
              <w:rPr>
                <w:rFonts w:hint="default"/>
                <w:lang w:val="en-US" w:eastAsia="zh-CN"/>
              </w:rPr>
            </w:pPr>
            <w:r>
              <w:rPr>
                <w:rFonts w:hint="eastAsia" w:ascii="楷体_GB2312" w:hAnsi="楷体_GB2312" w:eastAsia="楷体_GB2312" w:cs="楷体_GB2312"/>
                <w:b/>
                <w:bCs/>
                <w:lang w:val="en-US" w:eastAsia="zh-CN"/>
              </w:rPr>
              <w:t>2.“6+1”共享服务配套升级工程。</w:t>
            </w:r>
            <w:r>
              <w:rPr>
                <w:rFonts w:hint="eastAsia"/>
                <w:lang w:val="en-US" w:eastAsia="zh-CN"/>
              </w:rPr>
              <w:t>项目分三期建设，主要策划思路：按照“政府做主导、企业为主体、市场化服务、合作求共赢”，探索第三方经营模式，对已有的液糖供应、酶制剂、工业净化水、能源、污水处理等平台进行升级扩建，同时新搭建公共维修平台、数字化收储平台、配套辅料生产平台等，创新集储、集配等全要素规模化供给共享发展模式，奠定园区要素竞争优势。实施共线生产异亮氨酸和色氨酸项目。</w:t>
            </w:r>
          </w:p>
          <w:p w14:paraId="34E68D11">
            <w:pPr>
              <w:pStyle w:val="8"/>
              <w:bidi w:val="0"/>
              <w:rPr>
                <w:rFonts w:hint="eastAsia"/>
                <w:lang w:val="en-US" w:eastAsia="zh-CN"/>
              </w:rPr>
            </w:pPr>
            <w:r>
              <w:rPr>
                <w:rFonts w:hint="eastAsia" w:ascii="楷体_GB2312" w:hAnsi="楷体_GB2312" w:eastAsia="楷体_GB2312" w:cs="楷体_GB2312"/>
                <w:b/>
                <w:bCs/>
                <w:lang w:val="en-US" w:eastAsia="zh-CN"/>
              </w:rPr>
              <w:t>3.高能级科创孵化基地</w:t>
            </w:r>
            <w:r>
              <w:rPr>
                <w:rFonts w:hint="eastAsia" w:ascii="楷体_GB2312" w:hAnsi="楷体_GB2312" w:cs="楷体_GB2312"/>
                <w:b/>
                <w:bCs/>
                <w:lang w:val="en-US" w:eastAsia="zh-CN"/>
              </w:rPr>
              <w:t>建设</w:t>
            </w:r>
            <w:r>
              <w:rPr>
                <w:rFonts w:hint="eastAsia" w:ascii="楷体_GB2312" w:hAnsi="楷体_GB2312" w:eastAsia="楷体_GB2312" w:cs="楷体_GB2312"/>
                <w:b/>
                <w:bCs/>
                <w:lang w:val="en-US" w:eastAsia="zh-CN"/>
              </w:rPr>
              <w:t>工程。</w:t>
            </w:r>
            <w:r>
              <w:rPr>
                <w:rFonts w:hint="eastAsia"/>
                <w:lang w:val="en-US" w:eastAsia="zh-CN"/>
              </w:rPr>
              <w:t>项目分三期建设，主要策划思路：搭建生物经济科研成果数据库，推动生物经济创业苗圃、众创空间、孵化器、加速器等全链条创新载体建设，围绕新型糖、高端氨基酸、生物医用材料等重点产品开展概念验证和超前孵化，抢占未来生物经济核心赛道。</w:t>
            </w:r>
          </w:p>
          <w:p w14:paraId="05ADA7B9">
            <w:pPr>
              <w:pStyle w:val="8"/>
              <w:bidi w:val="0"/>
              <w:rPr>
                <w:rFonts w:hint="eastAsia" w:ascii="楷体_GB2312" w:hAnsi="楷体_GB2312" w:eastAsia="楷体_GB2312" w:cs="楷体_GB2312"/>
                <w:lang w:val="en-US" w:eastAsia="zh-CN"/>
              </w:rPr>
            </w:pPr>
            <w:r>
              <w:rPr>
                <w:rFonts w:hint="eastAsia" w:ascii="楷体_GB2312" w:hAnsi="楷体_GB2312" w:eastAsia="楷体_GB2312" w:cs="楷体_GB2312"/>
                <w:b/>
                <w:bCs/>
                <w:lang w:val="en-US" w:eastAsia="zh-CN"/>
              </w:rPr>
              <w:t>4.绿色食品产业精深加工项目。</w:t>
            </w:r>
            <w:r>
              <w:rPr>
                <w:rFonts w:hint="eastAsia" w:ascii="楷体_GB2312" w:hAnsi="楷体_GB2312" w:eastAsia="楷体_GB2312" w:cs="楷体_GB2312"/>
                <w:lang w:val="en-US" w:eastAsia="zh-CN"/>
              </w:rPr>
              <w:t>推进黑龙江美锦生物科技有限公司10万吨/年大米淀粉项目，建设年产大米淀粉10万吨装置。推动富锦市大豆系列功能性食品与休闲食品生产项目，建设大豆精深加工生产车间，研发中心和品控中心，安装后生产发酵纳豆生产线、植物蛋白肉生产线、大豆膳食纤维复合后生元粉剂生产线、大豆超微粉生产线、后生元全豆乳生产线、后生元大豆</w:t>
            </w:r>
            <w:r>
              <w:rPr>
                <w:rFonts w:hint="eastAsia" w:ascii="楷体_GB2312" w:hAnsi="楷体_GB2312" w:cs="楷体_GB2312"/>
                <w:lang w:val="en-US" w:eastAsia="zh-CN"/>
              </w:rPr>
              <w:t>冰激凌</w:t>
            </w:r>
            <w:r>
              <w:rPr>
                <w:rFonts w:hint="eastAsia" w:ascii="楷体_GB2312" w:hAnsi="楷体_GB2312" w:eastAsia="楷体_GB2312" w:cs="楷体_GB2312"/>
                <w:lang w:val="en-US" w:eastAsia="zh-CN"/>
              </w:rPr>
              <w:t>预拌粉生产线。引导象屿金谷生化加快工艺、设备升级改造项目建设，推动实施更换节能型挤压机技改项目。</w:t>
            </w:r>
          </w:p>
          <w:p w14:paraId="7C76076E">
            <w:pPr>
              <w:pStyle w:val="8"/>
              <w:bidi w:val="0"/>
              <w:rPr>
                <w:rFonts w:hint="eastAsia" w:ascii="楷体_GB2312" w:hAnsi="楷体_GB2312" w:eastAsia="楷体_GB2312" w:cs="楷体_GB2312"/>
                <w:lang w:val="en-US" w:eastAsia="zh-CN"/>
              </w:rPr>
            </w:pPr>
            <w:r>
              <w:rPr>
                <w:rFonts w:hint="eastAsia" w:ascii="楷体_GB2312" w:hAnsi="楷体_GB2312" w:cs="楷体_GB2312"/>
                <w:b/>
                <w:bCs/>
                <w:lang w:val="en-US" w:eastAsia="zh-CN"/>
              </w:rPr>
              <w:t>5</w:t>
            </w:r>
            <w:r>
              <w:rPr>
                <w:rFonts w:hint="eastAsia" w:ascii="楷体_GB2312" w:hAnsi="楷体_GB2312" w:eastAsia="楷体_GB2312" w:cs="楷体_GB2312"/>
                <w:b/>
                <w:bCs/>
                <w:lang w:val="en-US" w:eastAsia="zh-CN"/>
              </w:rPr>
              <w:t>.风光氢储一体化示范基地创建工程。</w:t>
            </w:r>
            <w:r>
              <w:rPr>
                <w:rFonts w:hint="eastAsia" w:ascii="楷体_GB2312" w:hAnsi="楷体_GB2312" w:eastAsia="楷体_GB2312" w:cs="楷体_GB2312"/>
                <w:lang w:val="en-US" w:eastAsia="zh-CN"/>
              </w:rPr>
              <w:t>项目拟选址涉及大榆树镇、兴隆岗镇和经开区，构建“乡镇绿电生产、园区消纳应用”城乡协同发展格局。项目总投资达到百亿元，预计占地面积超1000公顷。主要策划思路：基于华润电力150MW风电项目、电变新能源300MW及中闽能源30MW生物质热电联产项目等乡镇绿电生产基础，在经开区集约化布局建设储能电站、制氢厂、储氢设施及加氢站等绿氢应用项目，配套发展秸秆制电池负极材料等新型储能项目，构建“绿电、储能、制氢、消纳”一体化循环体系，打造黑龙江东部绿色能源供给枢纽，成为引领三江平原能源结构转型与绿色产业升级的重要引擎。推进中宇90MW风力发电以大代小等容改造项目。谋划华灯（富锦）新能源有限公司富锦市300MW风力发电平价上网项目。</w:t>
            </w:r>
          </w:p>
          <w:p w14:paraId="62E4BABF">
            <w:pPr>
              <w:pStyle w:val="8"/>
              <w:bidi w:val="0"/>
              <w:rPr>
                <w:rFonts w:hint="default"/>
                <w:lang w:val="en-US" w:eastAsia="zh-CN"/>
              </w:rPr>
            </w:pPr>
            <w:r>
              <w:rPr>
                <w:rFonts w:hint="eastAsia" w:ascii="楷体_GB2312" w:hAnsi="楷体_GB2312" w:cs="楷体_GB2312"/>
                <w:b/>
                <w:bCs/>
                <w:lang w:val="en-US" w:eastAsia="zh-CN"/>
              </w:rPr>
              <w:t>6</w:t>
            </w:r>
            <w:r>
              <w:rPr>
                <w:rFonts w:hint="eastAsia" w:ascii="楷体_GB2312" w:hAnsi="楷体_GB2312" w:eastAsia="楷体_GB2312" w:cs="楷体_GB2312"/>
                <w:b/>
                <w:bCs/>
                <w:lang w:val="en-US" w:eastAsia="zh-CN"/>
              </w:rPr>
              <w:t>.生物质高值化综合利用工程。</w:t>
            </w:r>
            <w:r>
              <w:rPr>
                <w:rFonts w:hint="eastAsia"/>
                <w:lang w:val="en-US" w:eastAsia="zh-CN"/>
              </w:rPr>
              <w:t>提升富锦生物质清洁能源供应能力，对现有生物质发电、供热项目进行增效扩容，支持中闽能源富锦生物质热电项目扩大规模。基于利用秸秆生产电池负极材料的技术已进入实际应用阶段的先期机遇，依托富锦市及周边地区丰富的秸秆资源，谋划秸秆制电池负极材料产业化项目，采取“产学研”合作模式积极与拥有相关专利和技术的科研机构或企业对接，通过技术转让或合作共建实验室等方式突破产业化技术瓶颈，打通从废弃物到高端材料的绿色低碳产业链，构筑富锦在新能源材料领域的核心竞争力，成为三江平原地区“秸头材尾”转型升级的典范。推进年产10万吨芦苇纤维全降解材料项目，建设打粉车间、造粒车间、吹膜车间+成品库、原料仓库、办公楼、宿舍楼+餐厅、机修库及动力车间、燃料罩棚等。</w:t>
            </w:r>
          </w:p>
          <w:p w14:paraId="48422D99">
            <w:pPr>
              <w:pStyle w:val="8"/>
              <w:bidi w:val="0"/>
              <w:rPr>
                <w:rFonts w:hint="eastAsia" w:ascii="楷体_GB2312" w:hAnsi="楷体_GB2312" w:eastAsia="楷体_GB2312" w:cs="楷体_GB2312"/>
                <w:lang w:val="en-US" w:eastAsia="zh-CN"/>
              </w:rPr>
            </w:pPr>
            <w:r>
              <w:rPr>
                <w:rFonts w:hint="eastAsia" w:ascii="楷体_GB2312" w:hAnsi="楷体_GB2312" w:eastAsia="楷体_GB2312" w:cs="楷体_GB2312"/>
                <w:b/>
                <w:bCs/>
                <w:lang w:val="en-US" w:eastAsia="zh-CN"/>
              </w:rPr>
              <w:t>7.零碳智算中心与绿色能源消纳示范工程。</w:t>
            </w:r>
            <w:r>
              <w:rPr>
                <w:rFonts w:hint="eastAsia" w:ascii="楷体_GB2312" w:hAnsi="楷体_GB2312" w:eastAsia="楷体_GB2312" w:cs="楷体_GB2312"/>
                <w:lang w:val="en-US" w:eastAsia="zh-CN"/>
              </w:rPr>
              <w:t>抢抓黑龙江省推进“算电融合”战略及支持在产业园区、大型厂区等需求热点区域布局建设智算中心的政策机遇，围绕提升富锦新能源产业就地消纳能力，通过采取“政府引导、市场主导、多方参与”模式，引入电力公司、科技公司、高校及科研机构共同投资运营，建设富锦市智算中心，面向智慧农业、粮食精深加工、智慧政务等领域开展算力应用服务，构建“以新能源发电为基础、以智算中心为稳定负荷、以数字化应用为市场出口”的源网荷储一体化发展新模式，推动形成“新能源发电-绿电交易-智算服务</w:t>
            </w:r>
            <w:r>
              <w:rPr>
                <w:rFonts w:hint="eastAsia" w:ascii="楷体_GB2312" w:hAnsi="楷体_GB2312" w:cs="楷体_GB2312"/>
                <w:lang w:val="en-US" w:eastAsia="zh-CN"/>
              </w:rPr>
              <w:t>－</w:t>
            </w:r>
            <w:r>
              <w:rPr>
                <w:rFonts w:hint="eastAsia" w:ascii="楷体_GB2312" w:hAnsi="楷体_GB2312" w:eastAsia="楷体_GB2312" w:cs="楷体_GB2312"/>
                <w:lang w:val="en-US" w:eastAsia="zh-CN"/>
              </w:rPr>
              <w:t>应用开发”的完整数字能源产业链，成为黑龙江省“算电融合”战略在东部区域的重点支点和示范工程。</w:t>
            </w:r>
          </w:p>
          <w:p w14:paraId="53DC9DB8">
            <w:pPr>
              <w:pStyle w:val="8"/>
              <w:bidi w:val="0"/>
              <w:rPr>
                <w:rFonts w:hint="eastAsia"/>
                <w:lang w:val="en-US" w:eastAsia="zh-CN"/>
              </w:rPr>
            </w:pPr>
            <w:r>
              <w:rPr>
                <w:rFonts w:hint="eastAsia" w:ascii="楷体_GB2312" w:hAnsi="楷体_GB2312" w:cs="楷体_GB2312"/>
                <w:b/>
                <w:bCs/>
                <w:lang w:val="en-US" w:eastAsia="zh-CN"/>
              </w:rPr>
              <w:t>8</w:t>
            </w:r>
            <w:r>
              <w:rPr>
                <w:rFonts w:hint="eastAsia" w:ascii="楷体_GB2312" w:hAnsi="楷体_GB2312" w:eastAsia="楷体_GB2312" w:cs="楷体_GB2312"/>
                <w:b/>
                <w:bCs/>
                <w:lang w:val="en-US" w:eastAsia="zh-CN"/>
              </w:rPr>
              <w:t>.零碳产业园区谋划建设工程。</w:t>
            </w:r>
            <w:r>
              <w:rPr>
                <w:rFonts w:hint="eastAsia"/>
                <w:lang w:val="en-US" w:eastAsia="zh-CN"/>
              </w:rPr>
              <w:t>以富锦经开区为载体，争取国家增量配电网改革试点建设，建立由万达公司、电网公司及“用发电”企业多方参与的绿电直供协调机制与利益共享平台，着力完善电力市场跨区域交易机制，推动经开区企业纳入黑龙江省绿电交易平台，与周边风电等可再生能源发电项目签订具有长期稳定性的绿电购销协议，探索“绿电直供”创新模式。</w:t>
            </w:r>
          </w:p>
          <w:p w14:paraId="545A0DB7">
            <w:pPr>
              <w:pStyle w:val="8"/>
              <w:bidi w:val="0"/>
              <w:rPr>
                <w:rFonts w:hint="default"/>
                <w:lang w:val="en-US" w:eastAsia="zh-CN"/>
              </w:rPr>
            </w:pPr>
            <w:r>
              <w:rPr>
                <w:rFonts w:hint="eastAsia" w:ascii="楷体_GB2312" w:hAnsi="楷体_GB2312" w:cs="楷体_GB2312"/>
                <w:b/>
                <w:bCs/>
                <w:lang w:val="en-US" w:eastAsia="zh-CN"/>
              </w:rPr>
              <w:t>9</w:t>
            </w:r>
            <w:r>
              <w:rPr>
                <w:rFonts w:hint="eastAsia" w:ascii="楷体_GB2312" w:hAnsi="楷体_GB2312" w:eastAsia="楷体_GB2312" w:cs="楷体_GB2312"/>
                <w:b/>
                <w:bCs/>
                <w:lang w:val="en-US" w:eastAsia="zh-CN"/>
              </w:rPr>
              <w:t>.狮头鹅深加工</w:t>
            </w:r>
            <w:r>
              <w:rPr>
                <w:rFonts w:hint="eastAsia" w:ascii="楷体_GB2312" w:hAnsi="楷体_GB2312" w:cs="楷体_GB2312"/>
                <w:b/>
                <w:bCs/>
                <w:lang w:val="en-US" w:eastAsia="zh-CN"/>
              </w:rPr>
              <w:t>产业</w:t>
            </w:r>
            <w:r>
              <w:rPr>
                <w:rFonts w:hint="eastAsia" w:ascii="楷体_GB2312" w:hAnsi="楷体_GB2312" w:eastAsia="楷体_GB2312" w:cs="楷体_GB2312"/>
                <w:b/>
                <w:bCs/>
                <w:lang w:val="en-US" w:eastAsia="zh-CN"/>
              </w:rPr>
              <w:t>培育工程。</w:t>
            </w:r>
            <w:r>
              <w:rPr>
                <w:rFonts w:hint="eastAsia"/>
                <w:lang w:val="en-US" w:eastAsia="zh-CN"/>
              </w:rPr>
              <w:t>依托狮头鹅特色养殖，建设智能化加工中心，深度开发鹅肉制品、鹅肝酱、鹅绒等高价值产品，并利用骨骼、血液、内脏等副产品配套发展生物制剂和宠物食品，全面提升鹅副产品综合利用率，逐步实现从肉、血、骨到羽毛的“吃干榨净”。</w:t>
            </w:r>
          </w:p>
          <w:p w14:paraId="79560DFA">
            <w:pPr>
              <w:pStyle w:val="8"/>
              <w:bidi w:val="0"/>
              <w:rPr>
                <w:rFonts w:ascii="Times New Roman" w:hAnsi="Times New Roman" w:eastAsia="楷体" w:cs="Times New Roman"/>
              </w:rPr>
            </w:pPr>
            <w:r>
              <w:rPr>
                <w:rFonts w:hint="eastAsia" w:ascii="楷体_GB2312" w:hAnsi="楷体_GB2312" w:cs="楷体_GB2312"/>
                <w:b/>
                <w:bCs/>
                <w:lang w:val="en-US" w:eastAsia="zh-CN"/>
              </w:rPr>
              <w:t>10</w:t>
            </w:r>
            <w:r>
              <w:rPr>
                <w:rFonts w:hint="eastAsia" w:ascii="楷体_GB2312" w:hAnsi="楷体_GB2312" w:eastAsia="楷体_GB2312" w:cs="楷体_GB2312"/>
                <w:b/>
                <w:bCs/>
                <w:lang w:val="en-US" w:eastAsia="zh-CN"/>
              </w:rPr>
              <w:t>.应急食品保障基地建设工程。</w:t>
            </w:r>
            <w:r>
              <w:rPr>
                <w:rFonts w:hint="eastAsia"/>
                <w:lang w:val="en-US" w:eastAsia="zh-CN"/>
              </w:rPr>
              <w:t>整合升级现有冷链仓储及政策红利资源，对接军粮供应、户外生存、应急救援等需求，依托象屿生化、福慧食品、奥谷生物、诺潽生物等企业，组建应急食品研发中心，布局即食型产品、营养补充型产品、长保质期食品等应急食品，打造区域性应急食品保障中心。</w:t>
            </w:r>
          </w:p>
        </w:tc>
      </w:tr>
    </w:tbl>
    <w:p w14:paraId="2AA6945C">
      <w:pPr>
        <w:pStyle w:val="3"/>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楷体_GB2312" w:cs="楷体_GB2312"/>
          <w:lang w:val="en-US" w:eastAsia="zh-CN"/>
        </w:rPr>
      </w:pPr>
      <w:bookmarkStart w:id="28" w:name="_Toc18033"/>
      <w:r>
        <w:rPr>
          <w:rFonts w:hint="eastAsia" w:ascii="Times New Roman" w:hAnsi="Times New Roman" w:eastAsia="楷体_GB2312" w:cs="楷体_GB2312"/>
          <w:lang w:val="en-US" w:eastAsia="zh-CN"/>
        </w:rPr>
        <w:t>第三节  引导产业拓维赋能，培育“三大</w:t>
      </w:r>
      <w:r>
        <w:rPr>
          <w:rFonts w:hint="eastAsia" w:ascii="Times New Roman" w:hAnsi="Times New Roman" w:cs="楷体_GB2312"/>
          <w:lang w:val="en-US" w:eastAsia="zh-CN"/>
        </w:rPr>
        <w:t>战略性新兴产业</w:t>
      </w:r>
      <w:r>
        <w:rPr>
          <w:rFonts w:hint="eastAsia" w:ascii="Times New Roman" w:hAnsi="Times New Roman" w:eastAsia="楷体_GB2312" w:cs="楷体_GB2312"/>
          <w:lang w:val="en-US" w:eastAsia="zh-CN"/>
        </w:rPr>
        <w:t>”</w:t>
      </w:r>
      <w:bookmarkEnd w:id="28"/>
    </w:p>
    <w:p w14:paraId="2A2C4C8C">
      <w:pPr>
        <w:bidi w:val="0"/>
        <w:rPr>
          <w:rFonts w:hint="default"/>
          <w:lang w:val="en-US" w:eastAsia="zh-CN"/>
        </w:rPr>
      </w:pPr>
      <w:r>
        <w:rPr>
          <w:rFonts w:hint="eastAsia"/>
          <w:lang w:val="en-US" w:eastAsia="zh-CN"/>
        </w:rPr>
        <w:t>立足自身作为农业大市的资源禀赋与产业基础，以“融合赋能、创新驱动”为导向，精准承接国家“实施产业创新工程”战略，重点发展低空经济、智能农机、数字经济三大战略性新兴产业，赋能产业升级，为我市高质量发展注入强劲新动能。</w:t>
      </w:r>
    </w:p>
    <w:p w14:paraId="6D59D7C0">
      <w:pPr>
        <w:bidi w:val="0"/>
        <w:rPr>
          <w:rFonts w:hint="default" w:ascii="仿宋_GB2312" w:hAnsi="仿宋_GB2312" w:eastAsia="仿宋_GB2312" w:cs="仿宋_GB2312"/>
          <w:b/>
          <w:bCs/>
          <w:lang w:val="en-US" w:eastAsia="zh-CN"/>
        </w:rPr>
      </w:pPr>
      <w:r>
        <w:rPr>
          <w:rFonts w:hint="eastAsia" w:ascii="仿宋_GB2312" w:hAnsi="仿宋_GB2312" w:eastAsia="仿宋_GB2312" w:cs="仿宋_GB2312"/>
          <w:b/>
          <w:bCs/>
        </w:rPr>
        <w:t>一、</w:t>
      </w:r>
      <w:r>
        <w:rPr>
          <w:rFonts w:hint="eastAsia" w:ascii="仿宋_GB2312" w:hAnsi="仿宋_GB2312" w:cs="仿宋_GB2312"/>
          <w:b/>
          <w:bCs/>
          <w:lang w:val="en-US" w:eastAsia="zh-CN"/>
        </w:rPr>
        <w:t>探索发展低空经济</w:t>
      </w:r>
    </w:p>
    <w:p w14:paraId="774F6D9C">
      <w:pPr>
        <w:bidi w:val="0"/>
        <w:rPr>
          <w:rFonts w:hint="eastAsia" w:ascii="仿宋_GB2312" w:hAnsi="仿宋_GB2312" w:eastAsia="仿宋_GB2312" w:cs="仿宋_GB2312"/>
          <w:lang w:val="en-US" w:eastAsia="zh-CN"/>
        </w:rPr>
      </w:pPr>
      <w:r>
        <w:rPr>
          <w:rFonts w:hint="default" w:ascii="仿宋_GB2312" w:hAnsi="仿宋_GB2312" w:eastAsia="仿宋_GB2312" w:cs="仿宋_GB2312"/>
          <w:lang w:val="en-US" w:eastAsia="zh-CN"/>
        </w:rPr>
        <w:t>逐步完善低空基础设施，拓展农业植保、应急救援、生态监测、低空旅游、物流运输等应用场景</w:t>
      </w:r>
      <w:r>
        <w:rPr>
          <w:rFonts w:hint="eastAsia" w:ascii="仿宋_GB2312" w:hAnsi="仿宋_GB2312" w:eastAsia="仿宋_GB2312" w:cs="仿宋_GB2312"/>
          <w:lang w:val="en-US" w:eastAsia="zh-CN"/>
        </w:rPr>
        <w:t>，构建低空经济“场景驱动”生态圈。</w:t>
      </w:r>
    </w:p>
    <w:p w14:paraId="3A0B02DC">
      <w:pPr>
        <w:bidi w:val="0"/>
        <w:rPr>
          <w:rFonts w:hint="eastAsia" w:ascii="仿宋_GB2312" w:hAnsi="仿宋_GB2312" w:eastAsia="仿宋_GB2312" w:cs="仿宋_GB2312"/>
        </w:rPr>
      </w:pPr>
      <w:r>
        <w:rPr>
          <w:rFonts w:hint="eastAsia" w:ascii="仿宋_GB2312" w:hAnsi="仿宋_GB2312" w:eastAsia="仿宋_GB2312" w:cs="仿宋_GB2312"/>
          <w:b/>
          <w:bCs/>
          <w:lang w:val="en-US" w:eastAsia="zh-CN"/>
        </w:rPr>
        <w:t>率先开展低空应用场景建设。</w:t>
      </w:r>
      <w:r>
        <w:rPr>
          <w:rFonts w:hint="eastAsia" w:ascii="仿宋_GB2312" w:hAnsi="仿宋_GB2312" w:eastAsia="仿宋_GB2312" w:cs="仿宋_GB2312"/>
          <w:lang w:val="en-US" w:eastAsia="zh-CN"/>
        </w:rPr>
        <w:t>充分</w:t>
      </w:r>
      <w:r>
        <w:rPr>
          <w:rFonts w:hint="eastAsia" w:ascii="仿宋_GB2312" w:hAnsi="仿宋_GB2312" w:eastAsia="仿宋_GB2312" w:cs="仿宋_GB2312"/>
        </w:rPr>
        <w:t>发挥</w:t>
      </w:r>
      <w:r>
        <w:rPr>
          <w:rFonts w:hint="eastAsia" w:ascii="仿宋_GB2312" w:hAnsi="仿宋_GB2312" w:eastAsia="仿宋_GB2312" w:cs="仿宋_GB2312"/>
          <w:lang w:val="en-US" w:eastAsia="zh-CN"/>
        </w:rPr>
        <w:t>低空</w:t>
      </w:r>
      <w:r>
        <w:rPr>
          <w:rFonts w:hint="eastAsia" w:ascii="仿宋_GB2312" w:hAnsi="仿宋_GB2312" w:eastAsia="仿宋_GB2312" w:cs="仿宋_GB2312"/>
        </w:rPr>
        <w:t>场景</w:t>
      </w:r>
      <w:r>
        <w:rPr>
          <w:rFonts w:hint="eastAsia" w:ascii="仿宋_GB2312" w:hAnsi="仿宋_GB2312" w:eastAsia="仿宋_GB2312" w:cs="仿宋_GB2312"/>
          <w:lang w:val="en-US" w:eastAsia="zh-CN"/>
        </w:rPr>
        <w:t>牵引带动</w:t>
      </w:r>
      <w:r>
        <w:rPr>
          <w:rFonts w:hint="eastAsia" w:ascii="仿宋_GB2312" w:hAnsi="仿宋_GB2312" w:eastAsia="仿宋_GB2312" w:cs="仿宋_GB2312"/>
        </w:rPr>
        <w:t>作用</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以多样化应用场景建设激活富锦低空经济发展新动能</w:t>
      </w:r>
      <w:r>
        <w:rPr>
          <w:rFonts w:hint="eastAsia" w:ascii="仿宋_GB2312" w:hAnsi="仿宋_GB2312" w:eastAsia="仿宋_GB2312" w:cs="仿宋_GB2312"/>
        </w:rPr>
        <w:t>。</w:t>
      </w:r>
      <w:r>
        <w:rPr>
          <w:rFonts w:hint="eastAsia" w:ascii="仿宋_GB2312" w:hAnsi="仿宋_GB2312" w:eastAsia="仿宋_GB2312" w:cs="仿宋_GB2312"/>
          <w:lang w:val="en-US" w:eastAsia="zh-CN"/>
        </w:rPr>
        <w:t>深度挖掘富锦低空农业应用方面的潜力</w:t>
      </w:r>
      <w:r>
        <w:rPr>
          <w:rFonts w:hint="eastAsia" w:ascii="仿宋_GB2312" w:hAnsi="仿宋_GB2312" w:eastAsia="仿宋_GB2312" w:cs="仿宋_GB2312"/>
        </w:rPr>
        <w:t>，重点推动无人机在农业领域的</w:t>
      </w:r>
      <w:r>
        <w:rPr>
          <w:rFonts w:hint="eastAsia" w:ascii="仿宋_GB2312" w:hAnsi="仿宋_GB2312" w:eastAsia="仿宋_GB2312" w:cs="仿宋_GB2312"/>
          <w:lang w:val="en-US" w:eastAsia="zh-CN"/>
        </w:rPr>
        <w:t>规模化</w:t>
      </w:r>
      <w:r>
        <w:rPr>
          <w:rFonts w:hint="eastAsia" w:ascii="仿宋_GB2312" w:hAnsi="仿宋_GB2312" w:eastAsia="仿宋_GB2312" w:cs="仿宋_GB2312"/>
        </w:rPr>
        <w:t>应用，</w:t>
      </w:r>
      <w:r>
        <w:rPr>
          <w:rFonts w:hint="eastAsia" w:ascii="仿宋_GB2312" w:hAnsi="仿宋_GB2312" w:eastAsia="仿宋_GB2312" w:cs="仿宋_GB2312"/>
          <w:lang w:val="en-US" w:eastAsia="zh-CN"/>
        </w:rPr>
        <w:t>优先构建</w:t>
      </w:r>
      <w:r>
        <w:rPr>
          <w:rFonts w:hint="eastAsia" w:ascii="仿宋_GB2312" w:hAnsi="仿宋_GB2312" w:eastAsia="仿宋_GB2312" w:cs="仿宋_GB2312"/>
        </w:rPr>
        <w:t>无人机植保</w:t>
      </w:r>
      <w:r>
        <w:rPr>
          <w:rFonts w:hint="eastAsia" w:ascii="仿宋_GB2312" w:hAnsi="仿宋_GB2312" w:eastAsia="仿宋_GB2312" w:cs="仿宋_GB2312"/>
          <w:lang w:val="en-US" w:eastAsia="zh-CN"/>
        </w:rPr>
        <w:t>与施肥</w:t>
      </w:r>
      <w:r>
        <w:rPr>
          <w:rFonts w:hint="eastAsia" w:ascii="仿宋_GB2312" w:hAnsi="仿宋_GB2312" w:eastAsia="仿宋_GB2312" w:cs="仿宋_GB2312"/>
        </w:rPr>
        <w:t>、精准飞播撒种、</w:t>
      </w:r>
      <w:r>
        <w:rPr>
          <w:rFonts w:hint="eastAsia" w:ascii="仿宋_GB2312" w:hAnsi="仿宋_GB2312" w:eastAsia="仿宋_GB2312" w:cs="仿宋_GB2312"/>
          <w:lang w:val="en-US" w:eastAsia="zh-CN"/>
        </w:rPr>
        <w:t>农田</w:t>
      </w:r>
      <w:r>
        <w:rPr>
          <w:rFonts w:hint="eastAsia" w:ascii="仿宋_GB2312" w:hAnsi="仿宋_GB2312" w:eastAsia="仿宋_GB2312" w:cs="仿宋_GB2312"/>
        </w:rPr>
        <w:t>监测等低空农业</w:t>
      </w:r>
      <w:r>
        <w:rPr>
          <w:rFonts w:hint="eastAsia" w:ascii="仿宋_GB2312" w:hAnsi="仿宋_GB2312" w:eastAsia="仿宋_GB2312" w:cs="仿宋_GB2312"/>
          <w:lang w:val="en-US" w:eastAsia="zh-CN"/>
        </w:rPr>
        <w:t>应用</w:t>
      </w:r>
      <w:r>
        <w:rPr>
          <w:rFonts w:hint="eastAsia" w:ascii="仿宋_GB2312" w:hAnsi="仿宋_GB2312" w:eastAsia="仿宋_GB2312" w:cs="仿宋_GB2312"/>
        </w:rPr>
        <w:t>场景</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致力于将富锦打造成为三江平原乃至全国范围内具有“低空+现代农业”鲜明特色的农业低空应用中心</w:t>
      </w:r>
      <w:r>
        <w:rPr>
          <w:rFonts w:hint="eastAsia" w:ascii="仿宋_GB2312" w:hAnsi="仿宋_GB2312" w:eastAsia="仿宋_GB2312" w:cs="仿宋_GB2312"/>
        </w:rPr>
        <w:t>。</w:t>
      </w:r>
      <w:r>
        <w:rPr>
          <w:rFonts w:hint="eastAsia" w:ascii="仿宋_GB2312" w:hAnsi="仿宋_GB2312" w:eastAsia="仿宋_GB2312" w:cs="仿宋_GB2312"/>
          <w:lang w:val="en-US" w:eastAsia="zh-CN"/>
        </w:rPr>
        <w:t>依托</w:t>
      </w:r>
      <w:r>
        <w:rPr>
          <w:rFonts w:hint="eastAsia" w:ascii="仿宋_GB2312" w:hAnsi="仿宋_GB2312" w:eastAsia="仿宋_GB2312" w:cs="仿宋_GB2312"/>
        </w:rPr>
        <w:t>富锦丰富的湿地、森林、</w:t>
      </w:r>
      <w:r>
        <w:rPr>
          <w:rFonts w:hint="eastAsia" w:ascii="仿宋_GB2312" w:hAnsi="仿宋_GB2312" w:eastAsia="仿宋_GB2312" w:cs="仿宋_GB2312"/>
          <w:lang w:val="en-US" w:eastAsia="zh-CN"/>
        </w:rPr>
        <w:t>稻田</w:t>
      </w:r>
      <w:r>
        <w:rPr>
          <w:rFonts w:hint="eastAsia" w:ascii="仿宋_GB2312" w:hAnsi="仿宋_GB2312" w:eastAsia="仿宋_GB2312" w:cs="仿宋_GB2312"/>
        </w:rPr>
        <w:t>景观等旅游资源，开发热气球、滑翔伞、旅游直升机等低空旅游项目。结合</w:t>
      </w:r>
      <w:r>
        <w:rPr>
          <w:rFonts w:hint="eastAsia" w:ascii="仿宋_GB2312" w:hAnsi="仿宋_GB2312" w:eastAsia="仿宋_GB2312" w:cs="仿宋_GB2312"/>
          <w:lang w:val="en-US" w:eastAsia="zh-CN"/>
        </w:rPr>
        <w:t>市域</w:t>
      </w:r>
      <w:r>
        <w:rPr>
          <w:rFonts w:hint="eastAsia" w:ascii="仿宋_GB2312" w:hAnsi="仿宋_GB2312" w:eastAsia="仿宋_GB2312" w:cs="仿宋_GB2312"/>
        </w:rPr>
        <w:t>物流园区</w:t>
      </w:r>
      <w:r>
        <w:rPr>
          <w:rFonts w:hint="eastAsia" w:ascii="仿宋_GB2312" w:hAnsi="仿宋_GB2312" w:eastAsia="仿宋_GB2312" w:cs="仿宋_GB2312"/>
          <w:lang w:val="en-US" w:eastAsia="zh-CN"/>
        </w:rPr>
        <w:t>和</w:t>
      </w:r>
      <w:r>
        <w:rPr>
          <w:rFonts w:hint="eastAsia" w:ascii="仿宋_GB2312" w:hAnsi="仿宋_GB2312" w:eastAsia="仿宋_GB2312" w:cs="仿宋_GB2312"/>
        </w:rPr>
        <w:t>快递分拨中心布局，探索构建无人机物流运输体系，支持企业开通无人机物流配送航线，推动无人机快递配送、无人机跑腿等</w:t>
      </w:r>
      <w:r>
        <w:rPr>
          <w:rFonts w:hint="eastAsia" w:ascii="仿宋_GB2312" w:hAnsi="仿宋_GB2312" w:eastAsia="仿宋_GB2312" w:cs="仿宋_GB2312"/>
          <w:lang w:val="en-US" w:eastAsia="zh-CN"/>
        </w:rPr>
        <w:t>新业态</w:t>
      </w:r>
      <w:r>
        <w:rPr>
          <w:rFonts w:hint="eastAsia" w:ascii="仿宋_GB2312" w:hAnsi="仿宋_GB2312" w:eastAsia="仿宋_GB2312" w:cs="仿宋_GB2312"/>
        </w:rPr>
        <w:t>在富锦落地</w:t>
      </w:r>
      <w:r>
        <w:rPr>
          <w:rFonts w:hint="eastAsia" w:ascii="仿宋_GB2312" w:hAnsi="仿宋_GB2312" w:eastAsia="仿宋_GB2312" w:cs="仿宋_GB2312"/>
          <w:lang w:val="en-US" w:eastAsia="zh-CN"/>
        </w:rPr>
        <w:t>实施</w:t>
      </w:r>
      <w:r>
        <w:rPr>
          <w:rFonts w:hint="eastAsia" w:ascii="仿宋_GB2312" w:hAnsi="仿宋_GB2312" w:eastAsia="仿宋_GB2312" w:cs="仿宋_GB2312"/>
        </w:rPr>
        <w:t>。</w:t>
      </w:r>
      <w:r>
        <w:rPr>
          <w:rFonts w:hint="eastAsia" w:ascii="仿宋_GB2312" w:hAnsi="仿宋_GB2312" w:eastAsia="仿宋_GB2312" w:cs="仿宋_GB2312"/>
          <w:lang w:val="en-US" w:eastAsia="zh-CN"/>
        </w:rPr>
        <w:t>进一步</w:t>
      </w:r>
      <w:r>
        <w:rPr>
          <w:rFonts w:hint="eastAsia" w:ascii="仿宋_GB2312" w:hAnsi="仿宋_GB2312" w:eastAsia="仿宋_GB2312" w:cs="仿宋_GB2312"/>
        </w:rPr>
        <w:t>拓展低空飞行器在水利巡查、森林防火、生态监</w:t>
      </w:r>
      <w:r>
        <w:rPr>
          <w:rFonts w:hint="eastAsia" w:ascii="仿宋_GB2312" w:hAnsi="仿宋_GB2312" w:eastAsia="仿宋_GB2312" w:cs="仿宋_GB2312"/>
          <w:lang w:val="en-US" w:eastAsia="zh-CN"/>
        </w:rPr>
        <w:t>管</w:t>
      </w:r>
      <w:r>
        <w:rPr>
          <w:rFonts w:hint="eastAsia" w:ascii="仿宋_GB2312" w:hAnsi="仿宋_GB2312" w:eastAsia="仿宋_GB2312" w:cs="仿宋_GB2312"/>
        </w:rPr>
        <w:t>、应急救援等</w:t>
      </w:r>
      <w:r>
        <w:rPr>
          <w:rFonts w:hint="eastAsia" w:ascii="仿宋_GB2312" w:hAnsi="仿宋_GB2312" w:eastAsia="仿宋_GB2312" w:cs="仿宋_GB2312"/>
          <w:lang w:val="en-US" w:eastAsia="zh-CN"/>
        </w:rPr>
        <w:t>城市治理</w:t>
      </w:r>
      <w:r>
        <w:rPr>
          <w:rFonts w:hint="eastAsia" w:ascii="仿宋_GB2312" w:hAnsi="仿宋_GB2312" w:eastAsia="仿宋_GB2312" w:cs="仿宋_GB2312"/>
        </w:rPr>
        <w:t>领域</w:t>
      </w:r>
      <w:r>
        <w:rPr>
          <w:rFonts w:hint="eastAsia" w:ascii="仿宋_GB2312" w:hAnsi="仿宋_GB2312" w:eastAsia="仿宋_GB2312" w:cs="仿宋_GB2312"/>
          <w:lang w:eastAsia="zh-CN"/>
        </w:rPr>
        <w:t>的</w:t>
      </w:r>
      <w:r>
        <w:rPr>
          <w:rFonts w:hint="eastAsia" w:ascii="仿宋_GB2312" w:hAnsi="仿宋_GB2312" w:eastAsia="仿宋_GB2312" w:cs="仿宋_GB2312"/>
        </w:rPr>
        <w:t>应用，</w:t>
      </w:r>
      <w:r>
        <w:rPr>
          <w:rFonts w:hint="eastAsia" w:ascii="仿宋_GB2312" w:hAnsi="仿宋_GB2312" w:eastAsia="仿宋_GB2312" w:cs="仿宋_GB2312"/>
          <w:lang w:val="en-US" w:eastAsia="zh-CN"/>
        </w:rPr>
        <w:t>全面提升</w:t>
      </w:r>
      <w:r>
        <w:rPr>
          <w:rFonts w:hint="eastAsia" w:ascii="仿宋_GB2312" w:hAnsi="仿宋_GB2312" w:eastAsia="仿宋_GB2312" w:cs="仿宋_GB2312"/>
        </w:rPr>
        <w:t>治理效率</w:t>
      </w:r>
      <w:r>
        <w:rPr>
          <w:rFonts w:hint="eastAsia" w:ascii="仿宋_GB2312" w:hAnsi="仿宋_GB2312" w:eastAsia="仿宋_GB2312" w:cs="仿宋_GB2312"/>
          <w:lang w:val="en-US" w:eastAsia="zh-CN"/>
        </w:rPr>
        <w:t>与</w:t>
      </w:r>
      <w:r>
        <w:rPr>
          <w:rFonts w:hint="eastAsia" w:ascii="仿宋_GB2312" w:hAnsi="仿宋_GB2312" w:eastAsia="仿宋_GB2312" w:cs="仿宋_GB2312"/>
        </w:rPr>
        <w:t>质量。</w:t>
      </w:r>
    </w:p>
    <w:p w14:paraId="24C15F41">
      <w:pPr>
        <w:bidi w:val="0"/>
        <w:rPr>
          <w:rFonts w:hint="eastAsia" w:ascii="仿宋_GB2312" w:hAnsi="仿宋_GB2312" w:eastAsia="仿宋_GB2312" w:cs="仿宋_GB2312"/>
        </w:rPr>
      </w:pPr>
      <w:r>
        <w:rPr>
          <w:rFonts w:hint="eastAsia" w:ascii="仿宋_GB2312" w:hAnsi="仿宋_GB2312" w:eastAsia="仿宋_GB2312" w:cs="仿宋_GB2312"/>
          <w:b/>
          <w:bCs/>
          <w:lang w:val="en-US" w:eastAsia="zh-CN"/>
        </w:rPr>
        <w:t>积极争创</w:t>
      </w:r>
      <w:r>
        <w:rPr>
          <w:rFonts w:hint="eastAsia" w:ascii="仿宋_GB2312" w:hAnsi="仿宋_GB2312" w:eastAsia="仿宋_GB2312" w:cs="仿宋_GB2312"/>
          <w:b/>
          <w:bCs/>
        </w:rPr>
        <w:t>低空经济试验示范。</w:t>
      </w:r>
      <w:r>
        <w:rPr>
          <w:rFonts w:hint="eastAsia" w:ascii="仿宋_GB2312" w:hAnsi="仿宋_GB2312" w:eastAsia="仿宋_GB2312" w:cs="仿宋_GB2312"/>
        </w:rPr>
        <w:t>依托沿江湿地空域</w:t>
      </w:r>
      <w:r>
        <w:rPr>
          <w:rFonts w:hint="eastAsia" w:ascii="仿宋_GB2312" w:hAnsi="仿宋_GB2312" w:eastAsia="仿宋_GB2312" w:cs="仿宋_GB2312"/>
          <w:lang w:val="en-US" w:eastAsia="zh-CN"/>
        </w:rPr>
        <w:t>资源</w:t>
      </w:r>
      <w:r>
        <w:rPr>
          <w:rFonts w:hint="eastAsia" w:ascii="仿宋_GB2312" w:hAnsi="仿宋_GB2312" w:eastAsia="仿宋_GB2312" w:cs="仿宋_GB2312"/>
        </w:rPr>
        <w:t>，主动对接空管部门，申请建设低空开放测试场，面向无人机等</w:t>
      </w:r>
      <w:r>
        <w:rPr>
          <w:rFonts w:hint="eastAsia" w:ascii="仿宋_GB2312" w:hAnsi="仿宋_GB2312" w:eastAsia="仿宋_GB2312" w:cs="仿宋_GB2312"/>
          <w:lang w:val="en-US" w:eastAsia="zh-CN"/>
        </w:rPr>
        <w:t>飞行器</w:t>
      </w:r>
      <w:r>
        <w:rPr>
          <w:rFonts w:hint="eastAsia" w:ascii="仿宋_GB2312" w:hAnsi="仿宋_GB2312" w:eastAsia="仿宋_GB2312" w:cs="仿宋_GB2312"/>
        </w:rPr>
        <w:t>开展科研验证、测试试飞</w:t>
      </w:r>
      <w:r>
        <w:rPr>
          <w:rFonts w:hint="eastAsia" w:ascii="仿宋_GB2312" w:hAnsi="仿宋_GB2312" w:eastAsia="仿宋_GB2312" w:cs="仿宋_GB2312"/>
          <w:lang w:val="en-US" w:eastAsia="zh-CN"/>
        </w:rPr>
        <w:t>及</w:t>
      </w:r>
      <w:r>
        <w:rPr>
          <w:rFonts w:hint="eastAsia" w:ascii="仿宋_GB2312" w:hAnsi="仿宋_GB2312" w:eastAsia="仿宋_GB2312" w:cs="仿宋_GB2312"/>
        </w:rPr>
        <w:t>航模赛事等</w:t>
      </w:r>
      <w:r>
        <w:rPr>
          <w:rFonts w:hint="eastAsia" w:ascii="仿宋_GB2312" w:hAnsi="仿宋_GB2312" w:eastAsia="仿宋_GB2312" w:cs="仿宋_GB2312"/>
          <w:lang w:val="en-US" w:eastAsia="zh-CN"/>
        </w:rPr>
        <w:t>活动</w:t>
      </w:r>
      <w:r>
        <w:rPr>
          <w:rFonts w:hint="eastAsia" w:ascii="仿宋_GB2312" w:hAnsi="仿宋_GB2312" w:eastAsia="仿宋_GB2312" w:cs="仿宋_GB2312"/>
        </w:rPr>
        <w:t>。</w:t>
      </w:r>
      <w:r>
        <w:rPr>
          <w:rFonts w:hint="eastAsia" w:ascii="仿宋_GB2312" w:hAnsi="仿宋_GB2312" w:eastAsia="仿宋_GB2312" w:cs="仿宋_GB2312"/>
          <w:lang w:val="en-US" w:eastAsia="zh-CN"/>
        </w:rPr>
        <w:t>推进“无人机配送进村”试点，打造“智慧农业无人机应用示范区”。围绕</w:t>
      </w:r>
      <w:r>
        <w:rPr>
          <w:rFonts w:hint="eastAsia" w:ascii="仿宋_GB2312" w:hAnsi="仿宋_GB2312" w:eastAsia="仿宋_GB2312" w:cs="仿宋_GB2312"/>
        </w:rPr>
        <w:t>农田作业全域开放、物流航线备案飞行、湿地保护区限时审批等多类型空域管理创新，申报“黑龙江低空空域综合改革试验区”，探索建立适合</w:t>
      </w:r>
      <w:r>
        <w:rPr>
          <w:rFonts w:hint="eastAsia" w:ascii="仿宋_GB2312" w:hAnsi="仿宋_GB2312" w:eastAsia="仿宋_GB2312" w:cs="仿宋_GB2312"/>
          <w:lang w:val="en-US" w:eastAsia="zh-CN"/>
        </w:rPr>
        <w:t>黑龙江省</w:t>
      </w:r>
      <w:r>
        <w:rPr>
          <w:rFonts w:hint="eastAsia" w:ascii="仿宋_GB2312" w:hAnsi="仿宋_GB2312" w:eastAsia="仿宋_GB2312" w:cs="仿宋_GB2312"/>
        </w:rPr>
        <w:t>寒地</w:t>
      </w:r>
      <w:r>
        <w:rPr>
          <w:rFonts w:hint="eastAsia" w:ascii="仿宋_GB2312" w:hAnsi="仿宋_GB2312" w:eastAsia="仿宋_GB2312" w:cs="仿宋_GB2312"/>
          <w:lang w:val="en-US" w:eastAsia="zh-CN"/>
        </w:rPr>
        <w:t>特点</w:t>
      </w:r>
      <w:r>
        <w:rPr>
          <w:rFonts w:hint="eastAsia" w:ascii="仿宋_GB2312" w:hAnsi="仿宋_GB2312" w:eastAsia="仿宋_GB2312" w:cs="仿宋_GB2312"/>
        </w:rPr>
        <w:t>的空域管理新模式。</w:t>
      </w:r>
    </w:p>
    <w:p w14:paraId="479E277C">
      <w:pPr>
        <w:bidi w:val="0"/>
        <w:rPr>
          <w:rFonts w:hint="eastAsia" w:ascii="仿宋_GB2312" w:hAnsi="仿宋_GB2312" w:eastAsia="仿宋_GB2312" w:cs="仿宋_GB2312"/>
        </w:rPr>
      </w:pPr>
      <w:r>
        <w:rPr>
          <w:rFonts w:hint="eastAsia" w:ascii="仿宋_GB2312" w:hAnsi="仿宋_GB2312" w:eastAsia="仿宋_GB2312" w:cs="仿宋_GB2312"/>
          <w:b/>
          <w:bCs/>
        </w:rPr>
        <w:t>打造区域性低空经济中心。</w:t>
      </w:r>
      <w:r>
        <w:rPr>
          <w:rFonts w:hint="eastAsia" w:ascii="仿宋_GB2312" w:hAnsi="仿宋_GB2312" w:eastAsia="仿宋_GB2312" w:cs="仿宋_GB2312"/>
        </w:rPr>
        <w:t>发挥富锦作为三江平原腹地中心城市的</w:t>
      </w:r>
      <w:r>
        <w:rPr>
          <w:rFonts w:hint="eastAsia" w:ascii="仿宋_GB2312" w:hAnsi="仿宋_GB2312" w:eastAsia="仿宋_GB2312" w:cs="仿宋_GB2312"/>
          <w:lang w:val="en-US" w:eastAsia="zh-CN"/>
        </w:rPr>
        <w:t>优势</w:t>
      </w:r>
      <w:r>
        <w:rPr>
          <w:rFonts w:hint="eastAsia" w:ascii="仿宋_GB2312" w:hAnsi="仿宋_GB2312" w:eastAsia="仿宋_GB2312" w:cs="仿宋_GB2312"/>
        </w:rPr>
        <w:t>，面向周边县市，建设区域性低空经济飞行服务保障中心，</w:t>
      </w:r>
      <w:r>
        <w:rPr>
          <w:rFonts w:hint="eastAsia" w:ascii="仿宋_GB2312" w:hAnsi="仿宋_GB2312" w:eastAsia="仿宋_GB2312" w:cs="仿宋_GB2312"/>
          <w:lang w:val="en-US" w:eastAsia="zh-CN"/>
        </w:rPr>
        <w:t>配套</w:t>
      </w:r>
      <w:r>
        <w:rPr>
          <w:rFonts w:hint="eastAsia" w:ascii="仿宋_GB2312" w:hAnsi="仿宋_GB2312" w:eastAsia="仿宋_GB2312" w:cs="仿宋_GB2312"/>
        </w:rPr>
        <w:t>开发飞行服务站和维修基地，提供飞行安全监管、气象服务、能源</w:t>
      </w:r>
      <w:r>
        <w:rPr>
          <w:rFonts w:hint="eastAsia" w:ascii="仿宋_GB2312" w:hAnsi="仿宋_GB2312" w:eastAsia="仿宋_GB2312" w:cs="仿宋_GB2312"/>
          <w:lang w:val="en-US" w:eastAsia="zh-CN"/>
        </w:rPr>
        <w:t>补给</w:t>
      </w:r>
      <w:r>
        <w:rPr>
          <w:rFonts w:hint="eastAsia" w:ascii="仿宋_GB2312" w:hAnsi="仿宋_GB2312" w:eastAsia="仿宋_GB2312" w:cs="仿宋_GB2312"/>
        </w:rPr>
        <w:t>、维修托管等</w:t>
      </w:r>
      <w:r>
        <w:rPr>
          <w:rFonts w:hint="eastAsia" w:ascii="仿宋_GB2312" w:hAnsi="仿宋_GB2312" w:eastAsia="仿宋_GB2312" w:cs="仿宋_GB2312"/>
          <w:lang w:val="en-US" w:eastAsia="zh-CN"/>
        </w:rPr>
        <w:t>一站式</w:t>
      </w:r>
      <w:r>
        <w:rPr>
          <w:rFonts w:hint="eastAsia" w:ascii="仿宋_GB2312" w:hAnsi="仿宋_GB2312" w:eastAsia="仿宋_GB2312" w:cs="仿宋_GB2312"/>
        </w:rPr>
        <w:t>服务。通过与</w:t>
      </w:r>
      <w:r>
        <w:rPr>
          <w:rFonts w:hint="eastAsia" w:ascii="仿宋_GB2312" w:hAnsi="仿宋_GB2312" w:eastAsia="仿宋_GB2312" w:cs="仿宋_GB2312"/>
          <w:lang w:val="en-US" w:eastAsia="zh-CN"/>
        </w:rPr>
        <w:t>外地</w:t>
      </w:r>
      <w:r>
        <w:rPr>
          <w:rFonts w:hint="eastAsia" w:ascii="仿宋_GB2312" w:hAnsi="仿宋_GB2312" w:eastAsia="仿宋_GB2312" w:cs="仿宋_GB2312"/>
        </w:rPr>
        <w:t>院校合作，</w:t>
      </w:r>
      <w:r>
        <w:rPr>
          <w:rFonts w:hint="eastAsia" w:ascii="仿宋_GB2312" w:hAnsi="仿宋_GB2312" w:eastAsia="仿宋_GB2312" w:cs="仿宋_GB2312"/>
          <w:lang w:val="en-US" w:eastAsia="zh-CN"/>
        </w:rPr>
        <w:t>共建</w:t>
      </w:r>
      <w:r>
        <w:rPr>
          <w:rFonts w:hint="eastAsia" w:ascii="仿宋_GB2312" w:hAnsi="仿宋_GB2312" w:eastAsia="仿宋_GB2312" w:cs="仿宋_GB2312"/>
        </w:rPr>
        <w:t>低空经济实训基地，开展无人机</w:t>
      </w:r>
      <w:r>
        <w:rPr>
          <w:rFonts w:hint="eastAsia" w:ascii="仿宋_GB2312" w:hAnsi="仿宋_GB2312" w:eastAsia="仿宋_GB2312" w:cs="仿宋_GB2312"/>
          <w:lang w:val="en-US" w:eastAsia="zh-CN"/>
        </w:rPr>
        <w:t>飞手</w:t>
      </w:r>
      <w:r>
        <w:rPr>
          <w:rFonts w:hint="eastAsia" w:ascii="仿宋_GB2312" w:hAnsi="仿宋_GB2312" w:eastAsia="仿宋_GB2312" w:cs="仿宋_GB2312"/>
        </w:rPr>
        <w:t>、</w:t>
      </w:r>
      <w:r>
        <w:rPr>
          <w:rFonts w:hint="eastAsia" w:ascii="仿宋_GB2312" w:hAnsi="仿宋_GB2312" w:eastAsia="仿宋_GB2312" w:cs="仿宋_GB2312"/>
          <w:lang w:val="en-US" w:eastAsia="zh-CN"/>
        </w:rPr>
        <w:t>运维工程师</w:t>
      </w:r>
      <w:r>
        <w:rPr>
          <w:rFonts w:hint="eastAsia" w:ascii="仿宋_GB2312" w:hAnsi="仿宋_GB2312" w:eastAsia="仿宋_GB2312" w:cs="仿宋_GB2312"/>
        </w:rPr>
        <w:t>、</w:t>
      </w:r>
      <w:r>
        <w:rPr>
          <w:rFonts w:hint="eastAsia" w:ascii="仿宋_GB2312" w:hAnsi="仿宋_GB2312" w:eastAsia="仿宋_GB2312" w:cs="仿宋_GB2312"/>
          <w:lang w:val="en-US" w:eastAsia="zh-CN"/>
        </w:rPr>
        <w:t>低空物流调度员及飞行数据分析师</w:t>
      </w:r>
      <w:r>
        <w:rPr>
          <w:rFonts w:hint="eastAsia" w:ascii="仿宋_GB2312" w:hAnsi="仿宋_GB2312" w:eastAsia="仿宋_GB2312" w:cs="仿宋_GB2312"/>
        </w:rPr>
        <w:t>等</w:t>
      </w:r>
      <w:r>
        <w:rPr>
          <w:rFonts w:hint="eastAsia" w:ascii="仿宋_GB2312" w:hAnsi="仿宋_GB2312" w:eastAsia="仿宋_GB2312" w:cs="仿宋_GB2312"/>
          <w:lang w:val="en-US" w:eastAsia="zh-CN"/>
        </w:rPr>
        <w:t>人才</w:t>
      </w:r>
      <w:r>
        <w:rPr>
          <w:rFonts w:hint="eastAsia" w:ascii="仿宋_GB2312" w:hAnsi="仿宋_GB2312" w:eastAsia="仿宋_GB2312" w:cs="仿宋_GB2312"/>
        </w:rPr>
        <w:t>培训，</w:t>
      </w:r>
      <w:r>
        <w:rPr>
          <w:rFonts w:hint="eastAsia" w:ascii="仿宋_GB2312" w:hAnsi="仿宋_GB2312" w:eastAsia="仿宋_GB2312" w:cs="仿宋_GB2312"/>
          <w:lang w:val="en-US" w:eastAsia="zh-CN"/>
        </w:rPr>
        <w:t>并将无人机驾驶训练纳入富锦市“高素质农民培育”计划</w:t>
      </w:r>
      <w:r>
        <w:rPr>
          <w:rFonts w:hint="eastAsia" w:ascii="仿宋_GB2312" w:hAnsi="仿宋_GB2312" w:eastAsia="仿宋_GB2312" w:cs="仿宋_GB2312"/>
        </w:rPr>
        <w:t>，</w:t>
      </w:r>
      <w:r>
        <w:rPr>
          <w:rFonts w:hint="eastAsia" w:ascii="仿宋_GB2312" w:hAnsi="仿宋_GB2312" w:eastAsia="仿宋_GB2312" w:cs="仿宋_GB2312"/>
          <w:lang w:val="en-US" w:eastAsia="zh-CN"/>
        </w:rPr>
        <w:t>着力</w:t>
      </w:r>
      <w:r>
        <w:rPr>
          <w:rFonts w:hint="eastAsia" w:ascii="仿宋_GB2312" w:hAnsi="仿宋_GB2312" w:eastAsia="仿宋_GB2312" w:cs="仿宋_GB2312"/>
        </w:rPr>
        <w:t>打造区域性低空</w:t>
      </w:r>
      <w:r>
        <w:rPr>
          <w:rFonts w:hint="eastAsia" w:ascii="仿宋_GB2312" w:hAnsi="仿宋_GB2312" w:eastAsia="仿宋_GB2312" w:cs="仿宋_GB2312"/>
          <w:lang w:val="en-US" w:eastAsia="zh-CN"/>
        </w:rPr>
        <w:t>专业</w:t>
      </w:r>
      <w:r>
        <w:rPr>
          <w:rFonts w:hint="eastAsia" w:ascii="仿宋_GB2312" w:hAnsi="仿宋_GB2312" w:eastAsia="仿宋_GB2312" w:cs="仿宋_GB2312"/>
        </w:rPr>
        <w:t>人才培训高地。</w:t>
      </w:r>
    </w:p>
    <w:p w14:paraId="71B70B8C">
      <w:pPr>
        <w:bidi w:val="0"/>
        <w:rPr>
          <w:rFonts w:hint="eastAsia" w:ascii="仿宋_GB2312" w:hAnsi="仿宋_GB2312" w:eastAsia="仿宋_GB2312" w:cs="仿宋_GB2312"/>
        </w:rPr>
      </w:pPr>
      <w:r>
        <w:rPr>
          <w:rFonts w:hint="eastAsia" w:ascii="仿宋_GB2312" w:hAnsi="仿宋_GB2312" w:eastAsia="仿宋_GB2312" w:cs="仿宋_GB2312"/>
          <w:b/>
          <w:bCs/>
        </w:rPr>
        <w:t>加强低空基础设施建设。</w:t>
      </w:r>
      <w:r>
        <w:rPr>
          <w:rFonts w:hint="eastAsia" w:ascii="仿宋_GB2312" w:hAnsi="仿宋_GB2312" w:eastAsia="仿宋_GB2312" w:cs="仿宋_GB2312"/>
          <w:lang w:val="en-US" w:eastAsia="zh-CN"/>
        </w:rPr>
        <w:t>在全市农林</w:t>
      </w:r>
      <w:r>
        <w:rPr>
          <w:rFonts w:hint="eastAsia" w:ascii="仿宋_GB2312" w:hAnsi="仿宋_GB2312" w:eastAsia="仿宋_GB2312" w:cs="仿宋_GB2312"/>
        </w:rPr>
        <w:t>作业区、旅游景区、工业园区等重点区域，合理</w:t>
      </w:r>
      <w:r>
        <w:rPr>
          <w:rFonts w:hint="eastAsia" w:ascii="仿宋_GB2312" w:hAnsi="仿宋_GB2312" w:eastAsia="仿宋_GB2312" w:cs="仿宋_GB2312"/>
          <w:lang w:val="en-US" w:eastAsia="zh-CN"/>
        </w:rPr>
        <w:t>布局</w:t>
      </w:r>
      <w:r>
        <w:rPr>
          <w:rFonts w:hint="eastAsia" w:ascii="仿宋_GB2312" w:hAnsi="仿宋_GB2312" w:eastAsia="仿宋_GB2312" w:cs="仿宋_GB2312"/>
        </w:rPr>
        <w:t>建设</w:t>
      </w:r>
      <w:r>
        <w:rPr>
          <w:rFonts w:hint="eastAsia" w:ascii="仿宋_GB2312" w:hAnsi="仿宋_GB2312" w:eastAsia="仿宋_GB2312" w:cs="仿宋_GB2312"/>
          <w:lang w:val="en-US" w:eastAsia="zh-CN"/>
        </w:rPr>
        <w:t>各类起降枢纽，包括</w:t>
      </w:r>
      <w:r>
        <w:rPr>
          <w:rFonts w:hint="eastAsia" w:ascii="仿宋_GB2312" w:hAnsi="仿宋_GB2312" w:eastAsia="仿宋_GB2312" w:cs="仿宋_GB2312"/>
        </w:rPr>
        <w:t>无人机起降点、区域性综合服务场站</w:t>
      </w:r>
      <w:r>
        <w:rPr>
          <w:rFonts w:hint="eastAsia" w:ascii="仿宋_GB2312" w:hAnsi="仿宋_GB2312" w:eastAsia="仿宋_GB2312" w:cs="仿宋_GB2312"/>
          <w:lang w:val="en-US" w:eastAsia="zh-CN"/>
        </w:rPr>
        <w:t>和</w:t>
      </w:r>
      <w:r>
        <w:rPr>
          <w:rFonts w:hint="eastAsia" w:ascii="仿宋_GB2312" w:hAnsi="仿宋_GB2312" w:eastAsia="仿宋_GB2312" w:cs="仿宋_GB2312"/>
        </w:rPr>
        <w:t>低空飞行营地等，</w:t>
      </w:r>
      <w:r>
        <w:rPr>
          <w:rFonts w:hint="eastAsia" w:ascii="仿宋_GB2312" w:hAnsi="仿宋_GB2312" w:eastAsia="仿宋_GB2312" w:cs="仿宋_GB2312"/>
          <w:lang w:val="en-US" w:eastAsia="zh-CN"/>
        </w:rPr>
        <w:t>以</w:t>
      </w:r>
      <w:r>
        <w:rPr>
          <w:rFonts w:hint="eastAsia" w:ascii="仿宋_GB2312" w:hAnsi="仿宋_GB2312" w:eastAsia="仿宋_GB2312" w:cs="仿宋_GB2312"/>
        </w:rPr>
        <w:t>满足农业植保作业、物流配送、低空旅游</w:t>
      </w:r>
      <w:r>
        <w:rPr>
          <w:rFonts w:hint="eastAsia" w:ascii="仿宋_GB2312" w:hAnsi="仿宋_GB2312" w:eastAsia="仿宋_GB2312" w:cs="仿宋_GB2312"/>
          <w:lang w:val="en-US" w:eastAsia="zh-CN"/>
        </w:rPr>
        <w:t>及</w:t>
      </w:r>
      <w:r>
        <w:rPr>
          <w:rFonts w:hint="eastAsia" w:ascii="仿宋_GB2312" w:hAnsi="仿宋_GB2312" w:eastAsia="仿宋_GB2312" w:cs="仿宋_GB2312"/>
        </w:rPr>
        <w:t>维修保障等</w:t>
      </w:r>
      <w:r>
        <w:rPr>
          <w:rFonts w:hint="eastAsia" w:ascii="仿宋_GB2312" w:hAnsi="仿宋_GB2312" w:eastAsia="仿宋_GB2312" w:cs="仿宋_GB2312"/>
          <w:lang w:val="en-US" w:eastAsia="zh-CN"/>
        </w:rPr>
        <w:t>多元</w:t>
      </w:r>
      <w:r>
        <w:rPr>
          <w:rFonts w:hint="eastAsia" w:ascii="仿宋_GB2312" w:hAnsi="仿宋_GB2312" w:eastAsia="仿宋_GB2312" w:cs="仿宋_GB2312"/>
        </w:rPr>
        <w:t>需求。通过规划“田字格”农业作业走廊和应急物流通道，构建</w:t>
      </w:r>
      <w:r>
        <w:rPr>
          <w:rFonts w:hint="eastAsia" w:ascii="仿宋_GB2312" w:hAnsi="仿宋_GB2312" w:eastAsia="仿宋_GB2312" w:cs="仿宋_GB2312"/>
          <w:lang w:val="en-US" w:eastAsia="zh-CN"/>
        </w:rPr>
        <w:t>覆盖</w:t>
      </w:r>
      <w:r>
        <w:rPr>
          <w:rFonts w:hint="eastAsia" w:ascii="仿宋_GB2312" w:hAnsi="仿宋_GB2312" w:eastAsia="仿宋_GB2312" w:cs="仿宋_GB2312"/>
        </w:rPr>
        <w:t>市域</w:t>
      </w:r>
      <w:r>
        <w:rPr>
          <w:rFonts w:hint="eastAsia" w:ascii="仿宋_GB2312" w:hAnsi="仿宋_GB2312" w:eastAsia="仿宋_GB2312" w:cs="仿宋_GB2312"/>
          <w:lang w:eastAsia="zh-CN"/>
        </w:rPr>
        <w:t>的</w:t>
      </w:r>
      <w:r>
        <w:rPr>
          <w:rFonts w:hint="eastAsia" w:ascii="仿宋_GB2312" w:hAnsi="仿宋_GB2312" w:eastAsia="仿宋_GB2312" w:cs="仿宋_GB2312"/>
        </w:rPr>
        <w:t>低空航路</w:t>
      </w:r>
      <w:r>
        <w:rPr>
          <w:rFonts w:hint="eastAsia" w:ascii="仿宋_GB2312" w:hAnsi="仿宋_GB2312" w:eastAsia="仿宋_GB2312" w:cs="仿宋_GB2312"/>
          <w:lang w:val="en-US" w:eastAsia="zh-CN"/>
        </w:rPr>
        <w:t>网络</w:t>
      </w:r>
      <w:r>
        <w:rPr>
          <w:rFonts w:hint="eastAsia" w:ascii="仿宋_GB2312" w:hAnsi="仿宋_GB2312" w:eastAsia="仿宋_GB2312" w:cs="仿宋_GB2312"/>
        </w:rPr>
        <w:t>，</w:t>
      </w:r>
      <w:r>
        <w:rPr>
          <w:rFonts w:hint="eastAsia" w:ascii="仿宋_GB2312" w:hAnsi="仿宋_GB2312" w:eastAsia="仿宋_GB2312" w:cs="仿宋_GB2312"/>
          <w:lang w:val="en-US" w:eastAsia="zh-CN"/>
        </w:rPr>
        <w:t>同步升级</w:t>
      </w:r>
      <w:r>
        <w:rPr>
          <w:rFonts w:hint="eastAsia" w:ascii="仿宋_GB2312" w:hAnsi="仿宋_GB2312" w:eastAsia="仿宋_GB2312" w:cs="仿宋_GB2312"/>
        </w:rPr>
        <w:t>完善通信导航设施，</w:t>
      </w:r>
      <w:r>
        <w:rPr>
          <w:rFonts w:hint="eastAsia" w:ascii="仿宋_GB2312" w:hAnsi="仿宋_GB2312" w:eastAsia="仿宋_GB2312" w:cs="仿宋_GB2312"/>
          <w:lang w:val="en-US" w:eastAsia="zh-CN"/>
        </w:rPr>
        <w:t>搭建</w:t>
      </w:r>
      <w:r>
        <w:rPr>
          <w:rFonts w:hint="eastAsia" w:ascii="仿宋_GB2312" w:hAnsi="仿宋_GB2312" w:eastAsia="仿宋_GB2312" w:cs="仿宋_GB2312"/>
        </w:rPr>
        <w:t>低空智能管控平台，整合气象、作物、设备等</w:t>
      </w:r>
      <w:r>
        <w:rPr>
          <w:rFonts w:hint="eastAsia" w:ascii="仿宋_GB2312" w:hAnsi="仿宋_GB2312" w:eastAsia="仿宋_GB2312" w:cs="仿宋_GB2312"/>
          <w:lang w:val="en-US" w:eastAsia="zh-CN"/>
        </w:rPr>
        <w:t>多源</w:t>
      </w:r>
      <w:r>
        <w:rPr>
          <w:rFonts w:hint="eastAsia" w:ascii="仿宋_GB2312" w:hAnsi="仿宋_GB2312" w:eastAsia="仿宋_GB2312" w:cs="仿宋_GB2312"/>
        </w:rPr>
        <w:t>数据，实现对低空飞行器的实时监控、精准导航、AI作业决策</w:t>
      </w:r>
      <w:r>
        <w:rPr>
          <w:rFonts w:hint="eastAsia" w:ascii="仿宋_GB2312" w:hAnsi="仿宋_GB2312" w:eastAsia="仿宋_GB2312" w:cs="仿宋_GB2312"/>
          <w:lang w:val="en-US" w:eastAsia="zh-CN"/>
        </w:rPr>
        <w:t>与统一</w:t>
      </w:r>
      <w:r>
        <w:rPr>
          <w:rFonts w:hint="eastAsia" w:ascii="仿宋_GB2312" w:hAnsi="仿宋_GB2312" w:eastAsia="仿宋_GB2312" w:cs="仿宋_GB2312"/>
        </w:rPr>
        <w:t>调度管理。</w:t>
      </w:r>
    </w:p>
    <w:p w14:paraId="50B58FB8">
      <w:pPr>
        <w:bidi w:val="0"/>
        <w:rPr>
          <w:rFonts w:hint="eastAsia" w:ascii="仿宋_GB2312" w:hAnsi="仿宋_GB2312" w:eastAsia="仿宋_GB2312" w:cs="仿宋_GB2312"/>
        </w:rPr>
      </w:pPr>
      <w:r>
        <w:rPr>
          <w:rFonts w:hint="eastAsia" w:ascii="仿宋_GB2312" w:hAnsi="仿宋_GB2312" w:eastAsia="仿宋_GB2312" w:cs="仿宋_GB2312"/>
          <w:b/>
          <w:bCs/>
        </w:rPr>
        <w:t>孵化培育低空制造产业。</w:t>
      </w:r>
      <w:r>
        <w:rPr>
          <w:rFonts w:hint="eastAsia" w:ascii="仿宋_GB2312" w:hAnsi="仿宋_GB2312" w:eastAsia="仿宋_GB2312" w:cs="仿宋_GB2312"/>
        </w:rPr>
        <w:t>依托富锦</w:t>
      </w:r>
      <w:r>
        <w:rPr>
          <w:rFonts w:hint="eastAsia" w:ascii="仿宋_GB2312" w:hAnsi="仿宋_GB2312" w:eastAsia="仿宋_GB2312" w:cs="仿宋_GB2312"/>
          <w:lang w:val="en-US" w:eastAsia="zh-CN"/>
        </w:rPr>
        <w:t>现有</w:t>
      </w:r>
      <w:r>
        <w:rPr>
          <w:rFonts w:hint="eastAsia" w:ascii="仿宋_GB2312" w:hAnsi="仿宋_GB2312" w:eastAsia="仿宋_GB2312" w:cs="仿宋_GB2312"/>
        </w:rPr>
        <w:t>制造业基础，</w:t>
      </w:r>
      <w:r>
        <w:rPr>
          <w:rFonts w:hint="eastAsia" w:ascii="仿宋_GB2312" w:hAnsi="仿宋_GB2312" w:eastAsia="仿宋_GB2312" w:cs="仿宋_GB2312"/>
          <w:lang w:val="en-US" w:eastAsia="zh-CN"/>
        </w:rPr>
        <w:t>重点发展</w:t>
      </w:r>
      <w:r>
        <w:rPr>
          <w:rFonts w:hint="eastAsia" w:ascii="仿宋_GB2312" w:hAnsi="仿宋_GB2312" w:eastAsia="仿宋_GB2312" w:cs="仿宋_GB2312"/>
        </w:rPr>
        <w:t>寒地无人机零部件生产</w:t>
      </w:r>
      <w:r>
        <w:rPr>
          <w:rFonts w:hint="eastAsia" w:ascii="仿宋_GB2312" w:hAnsi="仿宋_GB2312" w:eastAsia="仿宋_GB2312" w:cs="仿宋_GB2312"/>
          <w:lang w:val="en-US" w:eastAsia="zh-CN"/>
        </w:rPr>
        <w:t>与</w:t>
      </w:r>
      <w:r>
        <w:rPr>
          <w:rFonts w:hint="eastAsia" w:ascii="仿宋_GB2312" w:hAnsi="仿宋_GB2312" w:eastAsia="仿宋_GB2312" w:cs="仿宋_GB2312"/>
        </w:rPr>
        <w:t>轻型无人机整机组装，推动企业与哈工大等高校</w:t>
      </w:r>
      <w:r>
        <w:rPr>
          <w:rFonts w:hint="eastAsia" w:ascii="仿宋_GB2312" w:hAnsi="仿宋_GB2312" w:eastAsia="仿宋_GB2312" w:cs="仿宋_GB2312"/>
          <w:lang w:val="en-US" w:eastAsia="zh-CN"/>
        </w:rPr>
        <w:t>及科研机构</w:t>
      </w:r>
      <w:r>
        <w:rPr>
          <w:rFonts w:hint="eastAsia" w:ascii="仿宋_GB2312" w:hAnsi="仿宋_GB2312" w:eastAsia="仿宋_GB2312" w:cs="仿宋_GB2312"/>
        </w:rPr>
        <w:t>合作，</w:t>
      </w:r>
      <w:r>
        <w:rPr>
          <w:rFonts w:hint="eastAsia" w:ascii="仿宋_GB2312" w:hAnsi="仿宋_GB2312" w:eastAsia="仿宋_GB2312" w:cs="仿宋_GB2312"/>
          <w:lang w:val="en-US" w:eastAsia="zh-CN"/>
        </w:rPr>
        <w:t>共同</w:t>
      </w:r>
      <w:r>
        <w:rPr>
          <w:rFonts w:hint="eastAsia" w:ascii="仿宋_GB2312" w:hAnsi="仿宋_GB2312" w:eastAsia="仿宋_GB2312" w:cs="仿宋_GB2312"/>
        </w:rPr>
        <w:t>设立“寒地低空实验室”，</w:t>
      </w:r>
      <w:r>
        <w:rPr>
          <w:rFonts w:hint="eastAsia" w:ascii="仿宋_GB2312" w:hAnsi="仿宋_GB2312" w:eastAsia="仿宋_GB2312" w:cs="仿宋_GB2312"/>
          <w:lang w:val="en-US" w:eastAsia="zh-CN"/>
        </w:rPr>
        <w:t>着力</w:t>
      </w:r>
      <w:r>
        <w:rPr>
          <w:rFonts w:hint="eastAsia" w:ascii="仿宋_GB2312" w:hAnsi="仿宋_GB2312" w:eastAsia="仿宋_GB2312" w:cs="仿宋_GB2312"/>
        </w:rPr>
        <w:t>突破低温环境电池续航、黑土地地貌避障算法、多机集群协同控制等</w:t>
      </w:r>
      <w:r>
        <w:rPr>
          <w:rFonts w:hint="eastAsia" w:ascii="仿宋_GB2312" w:hAnsi="仿宋_GB2312" w:eastAsia="仿宋_GB2312" w:cs="仿宋_GB2312"/>
          <w:lang w:val="en-US" w:eastAsia="zh-CN"/>
        </w:rPr>
        <w:t>关键</w:t>
      </w:r>
      <w:r>
        <w:rPr>
          <w:rFonts w:hint="eastAsia" w:ascii="仿宋_GB2312" w:hAnsi="仿宋_GB2312" w:eastAsia="仿宋_GB2312" w:cs="仿宋_GB2312"/>
        </w:rPr>
        <w:t>技术，</w:t>
      </w:r>
      <w:r>
        <w:rPr>
          <w:rFonts w:hint="eastAsia" w:ascii="仿宋_GB2312" w:hAnsi="仿宋_GB2312" w:eastAsia="仿宋_GB2312" w:cs="仿宋_GB2312"/>
          <w:lang w:val="en-US" w:eastAsia="zh-CN"/>
        </w:rPr>
        <w:t>积极推进</w:t>
      </w:r>
      <w:r>
        <w:rPr>
          <w:rFonts w:hint="eastAsia" w:ascii="仿宋_GB2312" w:hAnsi="仿宋_GB2312" w:eastAsia="仿宋_GB2312" w:cs="仿宋_GB2312"/>
        </w:rPr>
        <w:t>耐低温电池、防冻喷洒系统等寒地专用低空机型</w:t>
      </w:r>
      <w:r>
        <w:rPr>
          <w:rFonts w:hint="eastAsia" w:ascii="仿宋_GB2312" w:hAnsi="仿宋_GB2312" w:eastAsia="仿宋_GB2312" w:cs="仿宋_GB2312"/>
          <w:lang w:eastAsia="zh-CN"/>
        </w:rPr>
        <w:t>的</w:t>
      </w:r>
      <w:r>
        <w:rPr>
          <w:rFonts w:hint="eastAsia" w:ascii="仿宋_GB2312" w:hAnsi="仿宋_GB2312" w:eastAsia="仿宋_GB2312" w:cs="仿宋_GB2312"/>
        </w:rPr>
        <w:t>研发</w:t>
      </w:r>
      <w:r>
        <w:rPr>
          <w:rFonts w:hint="eastAsia" w:ascii="仿宋_GB2312" w:hAnsi="仿宋_GB2312" w:eastAsia="仿宋_GB2312" w:cs="仿宋_GB2312"/>
          <w:lang w:val="en-US" w:eastAsia="zh-CN"/>
        </w:rPr>
        <w:t>与</w:t>
      </w:r>
      <w:r>
        <w:rPr>
          <w:rFonts w:hint="eastAsia" w:ascii="仿宋_GB2312" w:hAnsi="仿宋_GB2312" w:eastAsia="仿宋_GB2312" w:cs="仿宋_GB2312"/>
        </w:rPr>
        <w:t>制造</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结合</w:t>
      </w:r>
      <w:r>
        <w:rPr>
          <w:rFonts w:hint="eastAsia" w:ascii="仿宋_GB2312" w:hAnsi="仿宋_GB2312" w:eastAsia="仿宋_GB2312" w:cs="仿宋_GB2312"/>
        </w:rPr>
        <w:t>智能农机产业园</w:t>
      </w:r>
      <w:r>
        <w:rPr>
          <w:rFonts w:hint="eastAsia" w:ascii="仿宋_GB2312" w:hAnsi="仿宋_GB2312" w:eastAsia="仿宋_GB2312" w:cs="仿宋_GB2312"/>
          <w:lang w:val="en-US" w:eastAsia="zh-CN"/>
        </w:rPr>
        <w:t>建设</w:t>
      </w:r>
      <w:r>
        <w:rPr>
          <w:rFonts w:hint="eastAsia" w:ascii="仿宋_GB2312" w:hAnsi="仿宋_GB2312" w:eastAsia="仿宋_GB2312" w:cs="仿宋_GB2312"/>
        </w:rPr>
        <w:t>特色化产业园区，吸引</w:t>
      </w:r>
      <w:r>
        <w:rPr>
          <w:rFonts w:hint="eastAsia" w:ascii="仿宋_GB2312" w:hAnsi="仿宋_GB2312" w:eastAsia="仿宋_GB2312" w:cs="仿宋_GB2312"/>
          <w:lang w:val="en-US" w:eastAsia="zh-CN"/>
        </w:rPr>
        <w:t>产业链</w:t>
      </w:r>
      <w:r>
        <w:rPr>
          <w:rFonts w:hint="eastAsia" w:ascii="仿宋_GB2312" w:hAnsi="仿宋_GB2312" w:eastAsia="仿宋_GB2312" w:cs="仿宋_GB2312"/>
        </w:rPr>
        <w:t>相关企业</w:t>
      </w:r>
      <w:r>
        <w:rPr>
          <w:rFonts w:hint="eastAsia" w:ascii="仿宋_GB2312" w:hAnsi="仿宋_GB2312" w:eastAsia="仿宋_GB2312" w:cs="仿宋_GB2312"/>
          <w:lang w:val="en-US" w:eastAsia="zh-CN"/>
        </w:rPr>
        <w:t>集聚</w:t>
      </w:r>
      <w:r>
        <w:rPr>
          <w:rFonts w:hint="eastAsia" w:ascii="仿宋_GB2312" w:hAnsi="仿宋_GB2312" w:eastAsia="仿宋_GB2312" w:cs="仿宋_GB2312"/>
        </w:rPr>
        <w:t>，并通过</w:t>
      </w:r>
      <w:r>
        <w:rPr>
          <w:rFonts w:hint="eastAsia" w:ascii="仿宋_GB2312" w:hAnsi="仿宋_GB2312" w:eastAsia="仿宋_GB2312" w:cs="仿宋_GB2312"/>
          <w:lang w:val="en-US" w:eastAsia="zh-CN"/>
        </w:rPr>
        <w:t>实施</w:t>
      </w:r>
      <w:r>
        <w:rPr>
          <w:rFonts w:hint="eastAsia" w:ascii="仿宋_GB2312" w:hAnsi="仿宋_GB2312" w:eastAsia="仿宋_GB2312" w:cs="仿宋_GB2312"/>
        </w:rPr>
        <w:t>“政府首购”制度，保障本土企业订单，</w:t>
      </w:r>
      <w:r>
        <w:rPr>
          <w:rFonts w:hint="eastAsia" w:ascii="仿宋_GB2312" w:hAnsi="仿宋_GB2312" w:eastAsia="仿宋_GB2312" w:cs="仿宋_GB2312"/>
          <w:lang w:val="en-US" w:eastAsia="zh-CN"/>
        </w:rPr>
        <w:t>逐步</w:t>
      </w:r>
      <w:r>
        <w:rPr>
          <w:rFonts w:hint="eastAsia" w:ascii="仿宋_GB2312" w:hAnsi="仿宋_GB2312" w:eastAsia="仿宋_GB2312" w:cs="仿宋_GB2312"/>
        </w:rPr>
        <w:t>形成具有富锦特色的寒地低空制造产业集群。</w:t>
      </w:r>
    </w:p>
    <w:p w14:paraId="3CB6DA75">
      <w:pPr>
        <w:bidi w:val="0"/>
        <w:rPr>
          <w:rFonts w:hint="default" w:ascii="仿宋_GB2312" w:hAnsi="仿宋_GB2312" w:eastAsia="仿宋_GB2312" w:cs="仿宋_GB2312"/>
          <w:b/>
          <w:bCs/>
          <w:lang w:val="en-US" w:eastAsia="zh-CN"/>
        </w:rPr>
      </w:pPr>
      <w:r>
        <w:rPr>
          <w:rFonts w:hint="eastAsia" w:ascii="仿宋_GB2312" w:hAnsi="仿宋_GB2312" w:eastAsia="仿宋_GB2312" w:cs="仿宋_GB2312"/>
          <w:b/>
          <w:bCs/>
        </w:rPr>
        <w:t>二、</w:t>
      </w:r>
      <w:r>
        <w:rPr>
          <w:rFonts w:hint="eastAsia" w:ascii="仿宋_GB2312" w:hAnsi="仿宋_GB2312" w:cs="仿宋_GB2312"/>
          <w:b/>
          <w:bCs/>
          <w:lang w:val="en-US" w:eastAsia="zh-CN"/>
        </w:rPr>
        <w:t>加快智能农机产业发展</w:t>
      </w:r>
    </w:p>
    <w:p w14:paraId="2A0510B3">
      <w:pPr>
        <w:bidi w:val="0"/>
        <w:rPr>
          <w:rFonts w:hint="eastAsia" w:ascii="仿宋_GB2312" w:hAnsi="仿宋_GB2312" w:eastAsia="仿宋_GB2312" w:cs="仿宋_GB2312"/>
          <w:lang w:eastAsia="zh-CN"/>
        </w:rPr>
      </w:pPr>
      <w:r>
        <w:rPr>
          <w:rFonts w:hint="eastAsia" w:ascii="仿宋_GB2312" w:hAnsi="仿宋_GB2312" w:eastAsia="仿宋_GB2312" w:cs="仿宋_GB2312"/>
        </w:rPr>
        <w:t>实施智能农机“补链强基”工程</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引导农机企业与高校院所深化产学研合作，吸引零部件生产与配套企业落户富锦，大力发展适应寒地黑土智能农机，示范推广高效植保机械。</w:t>
      </w:r>
    </w:p>
    <w:p w14:paraId="1098E94C">
      <w:pPr>
        <w:bidi w:val="0"/>
        <w:rPr>
          <w:rFonts w:hint="eastAsia" w:ascii="仿宋_GB2312" w:hAnsi="仿宋_GB2312" w:eastAsia="仿宋_GB2312" w:cs="仿宋_GB2312"/>
        </w:rPr>
      </w:pPr>
      <w:r>
        <w:rPr>
          <w:rFonts w:hint="eastAsia" w:ascii="仿宋_GB2312" w:hAnsi="仿宋_GB2312" w:eastAsia="仿宋_GB2312" w:cs="仿宋_GB2312"/>
          <w:b/>
          <w:bCs/>
          <w:lang w:val="en-US" w:eastAsia="zh-CN"/>
        </w:rPr>
        <w:t>加强</w:t>
      </w:r>
      <w:r>
        <w:rPr>
          <w:rFonts w:hint="eastAsia" w:ascii="仿宋_GB2312" w:hAnsi="仿宋_GB2312" w:eastAsia="仿宋_GB2312" w:cs="仿宋_GB2312"/>
          <w:b/>
          <w:bCs/>
        </w:rPr>
        <w:t>农机创新能力建设。</w:t>
      </w:r>
      <w:r>
        <w:rPr>
          <w:rFonts w:hint="eastAsia" w:ascii="仿宋_GB2312" w:hAnsi="仿宋_GB2312" w:eastAsia="仿宋_GB2312" w:cs="仿宋_GB2312"/>
          <w:lang w:val="en-US" w:eastAsia="zh-CN"/>
        </w:rPr>
        <w:t>紧紧</w:t>
      </w:r>
      <w:r>
        <w:rPr>
          <w:rFonts w:hint="eastAsia" w:ascii="仿宋_GB2312" w:hAnsi="仿宋_GB2312" w:eastAsia="仿宋_GB2312" w:cs="仿宋_GB2312"/>
        </w:rPr>
        <w:t>把握黑龙江省建设国家大型大马力高端智能农机装备研发制造推广应用先导区</w:t>
      </w:r>
      <w:r>
        <w:rPr>
          <w:rFonts w:hint="eastAsia" w:ascii="仿宋_GB2312" w:hAnsi="仿宋_GB2312" w:eastAsia="仿宋_GB2312" w:cs="仿宋_GB2312"/>
          <w:lang w:eastAsia="zh-CN"/>
        </w:rPr>
        <w:t>的</w:t>
      </w:r>
      <w:r>
        <w:rPr>
          <w:rFonts w:hint="eastAsia" w:ascii="仿宋_GB2312" w:hAnsi="仿宋_GB2312" w:eastAsia="仿宋_GB2312" w:cs="仿宋_GB2312"/>
          <w:lang w:val="en-US" w:eastAsia="zh-CN"/>
        </w:rPr>
        <w:t>重大</w:t>
      </w:r>
      <w:r>
        <w:rPr>
          <w:rFonts w:hint="eastAsia" w:ascii="仿宋_GB2312" w:hAnsi="仿宋_GB2312" w:eastAsia="仿宋_GB2312" w:cs="仿宋_GB2312"/>
        </w:rPr>
        <w:t>机遇，</w:t>
      </w:r>
      <w:r>
        <w:rPr>
          <w:rFonts w:hint="eastAsia" w:ascii="仿宋_GB2312" w:hAnsi="仿宋_GB2312" w:eastAsia="仿宋_GB2312" w:cs="仿宋_GB2312"/>
          <w:lang w:val="en-US" w:eastAsia="zh-CN"/>
        </w:rPr>
        <w:t>持续加大</w:t>
      </w:r>
      <w:r>
        <w:rPr>
          <w:rFonts w:hint="eastAsia" w:ascii="仿宋_GB2312" w:hAnsi="仿宋_GB2312" w:cs="仿宋_GB2312"/>
          <w:lang w:val="en-US" w:eastAsia="zh-CN"/>
        </w:rPr>
        <w:t>我</w:t>
      </w:r>
      <w:r>
        <w:rPr>
          <w:rFonts w:hint="eastAsia" w:ascii="仿宋_GB2312" w:hAnsi="仿宋_GB2312" w:eastAsia="仿宋_GB2312" w:cs="仿宋_GB2312"/>
          <w:lang w:val="en-US" w:eastAsia="zh-CN"/>
        </w:rPr>
        <w:t>市在</w:t>
      </w:r>
      <w:r>
        <w:rPr>
          <w:rFonts w:hint="eastAsia" w:ascii="仿宋_GB2312" w:hAnsi="仿宋_GB2312" w:eastAsia="仿宋_GB2312" w:cs="仿宋_GB2312"/>
        </w:rPr>
        <w:t>农机科技创新</w:t>
      </w:r>
      <w:r>
        <w:rPr>
          <w:rFonts w:hint="eastAsia" w:ascii="仿宋_GB2312" w:hAnsi="仿宋_GB2312" w:eastAsia="仿宋_GB2312" w:cs="仿宋_GB2312"/>
          <w:lang w:val="en-US" w:eastAsia="zh-CN"/>
        </w:rPr>
        <w:t>方面的</w:t>
      </w:r>
      <w:r>
        <w:rPr>
          <w:rFonts w:hint="eastAsia" w:ascii="仿宋_GB2312" w:hAnsi="仿宋_GB2312" w:eastAsia="仿宋_GB2312" w:cs="仿宋_GB2312"/>
        </w:rPr>
        <w:t>投入</w:t>
      </w:r>
      <w:r>
        <w:rPr>
          <w:rFonts w:hint="eastAsia" w:ascii="仿宋_GB2312" w:hAnsi="仿宋_GB2312" w:eastAsia="仿宋_GB2312" w:cs="仿宋_GB2312"/>
          <w:lang w:val="en-US" w:eastAsia="zh-CN"/>
        </w:rPr>
        <w:t>力度</w:t>
      </w:r>
      <w:r>
        <w:rPr>
          <w:rFonts w:hint="eastAsia" w:ascii="仿宋_GB2312" w:hAnsi="仿宋_GB2312" w:eastAsia="仿宋_GB2312" w:cs="仿宋_GB2312"/>
          <w:lang w:eastAsia="zh-CN"/>
        </w:rPr>
        <w:t>。</w:t>
      </w:r>
      <w:r>
        <w:rPr>
          <w:rFonts w:hint="eastAsia" w:ascii="仿宋_GB2312" w:hAnsi="仿宋_GB2312" w:eastAsia="仿宋_GB2312" w:cs="仿宋_GB2312"/>
        </w:rPr>
        <w:t>推动设立产业基金</w:t>
      </w:r>
      <w:r>
        <w:rPr>
          <w:rFonts w:hint="eastAsia" w:ascii="仿宋_GB2312" w:hAnsi="仿宋_GB2312" w:eastAsia="仿宋_GB2312" w:cs="仿宋_GB2312"/>
          <w:lang w:val="en-US" w:eastAsia="zh-CN"/>
        </w:rPr>
        <w:t>并</w:t>
      </w:r>
      <w:r>
        <w:rPr>
          <w:rFonts w:hint="eastAsia" w:ascii="仿宋_GB2312" w:hAnsi="仿宋_GB2312" w:eastAsia="仿宋_GB2312" w:cs="仿宋_GB2312"/>
        </w:rPr>
        <w:t>投向智能农机专项研发，</w:t>
      </w:r>
      <w:r>
        <w:rPr>
          <w:rFonts w:hint="eastAsia" w:ascii="仿宋_GB2312" w:hAnsi="仿宋_GB2312" w:eastAsia="仿宋_GB2312" w:cs="仿宋_GB2312"/>
          <w:lang w:val="en-US" w:eastAsia="zh-CN"/>
        </w:rPr>
        <w:t>引导</w:t>
      </w:r>
      <w:r>
        <w:rPr>
          <w:rFonts w:hint="eastAsia" w:ascii="仿宋_GB2312" w:hAnsi="仿宋_GB2312" w:eastAsia="仿宋_GB2312" w:cs="仿宋_GB2312"/>
        </w:rPr>
        <w:t>农机企业与哈工大、东北农大、佳木斯大学等高校</w:t>
      </w:r>
      <w:r>
        <w:rPr>
          <w:rFonts w:hint="eastAsia" w:ascii="仿宋_GB2312" w:hAnsi="仿宋_GB2312" w:eastAsia="仿宋_GB2312" w:cs="仿宋_GB2312"/>
          <w:lang w:val="en-US" w:eastAsia="zh-CN"/>
        </w:rPr>
        <w:t>和科研机构深化</w:t>
      </w:r>
      <w:r>
        <w:rPr>
          <w:rFonts w:hint="eastAsia" w:ascii="仿宋_GB2312" w:hAnsi="仿宋_GB2312" w:eastAsia="仿宋_GB2312" w:cs="仿宋_GB2312"/>
        </w:rPr>
        <w:t>产学研合作，</w:t>
      </w:r>
      <w:r>
        <w:rPr>
          <w:rFonts w:hint="eastAsia" w:ascii="仿宋_GB2312" w:hAnsi="仿宋_GB2312" w:eastAsia="仿宋_GB2312" w:cs="仿宋_GB2312"/>
          <w:lang w:val="en-US" w:eastAsia="zh-CN"/>
        </w:rPr>
        <w:t>共同</w:t>
      </w:r>
      <w:r>
        <w:rPr>
          <w:rFonts w:hint="eastAsia" w:ascii="仿宋_GB2312" w:hAnsi="仿宋_GB2312" w:eastAsia="仿宋_GB2312" w:cs="仿宋_GB2312"/>
        </w:rPr>
        <w:t>研发适应寒地黑土</w:t>
      </w:r>
      <w:r>
        <w:rPr>
          <w:rFonts w:hint="eastAsia" w:ascii="仿宋_GB2312" w:hAnsi="仿宋_GB2312" w:eastAsia="仿宋_GB2312" w:cs="仿宋_GB2312"/>
          <w:lang w:val="en-US" w:eastAsia="zh-CN"/>
        </w:rPr>
        <w:t>耕作</w:t>
      </w:r>
      <w:r>
        <w:rPr>
          <w:rFonts w:hint="eastAsia" w:ascii="仿宋_GB2312" w:hAnsi="仿宋_GB2312" w:eastAsia="仿宋_GB2312" w:cs="仿宋_GB2312"/>
        </w:rPr>
        <w:t>、</w:t>
      </w:r>
      <w:r>
        <w:rPr>
          <w:rFonts w:hint="eastAsia" w:ascii="仿宋_GB2312" w:hAnsi="仿宋_GB2312" w:eastAsia="仿宋_GB2312" w:cs="仿宋_GB2312"/>
          <w:lang w:val="en-US" w:eastAsia="zh-CN"/>
        </w:rPr>
        <w:t>满足</w:t>
      </w:r>
      <w:r>
        <w:rPr>
          <w:rFonts w:hint="eastAsia" w:ascii="仿宋_GB2312" w:hAnsi="仿宋_GB2312" w:eastAsia="仿宋_GB2312" w:cs="仿宋_GB2312"/>
        </w:rPr>
        <w:t>大马力</w:t>
      </w:r>
      <w:r>
        <w:rPr>
          <w:rFonts w:hint="eastAsia" w:ascii="仿宋_GB2312" w:hAnsi="仿宋_GB2312" w:eastAsia="仿宋_GB2312" w:cs="仿宋_GB2312"/>
          <w:lang w:val="en-US" w:eastAsia="zh-CN"/>
        </w:rPr>
        <w:t>及</w:t>
      </w:r>
      <w:r>
        <w:rPr>
          <w:rFonts w:hint="eastAsia" w:ascii="仿宋_GB2312" w:hAnsi="仿宋_GB2312" w:eastAsia="仿宋_GB2312" w:cs="仿宋_GB2312"/>
        </w:rPr>
        <w:t>大垄密植</w:t>
      </w:r>
      <w:r>
        <w:rPr>
          <w:rFonts w:hint="eastAsia" w:ascii="仿宋_GB2312" w:hAnsi="仿宋_GB2312" w:eastAsia="仿宋_GB2312" w:cs="仿宋_GB2312"/>
          <w:lang w:val="en-US" w:eastAsia="zh-CN"/>
        </w:rPr>
        <w:t>需求</w:t>
      </w:r>
      <w:r>
        <w:rPr>
          <w:rFonts w:hint="eastAsia" w:ascii="仿宋_GB2312" w:hAnsi="仿宋_GB2312" w:eastAsia="仿宋_GB2312" w:cs="仿宋_GB2312"/>
        </w:rPr>
        <w:t>的智能农机</w:t>
      </w:r>
      <w:r>
        <w:rPr>
          <w:rFonts w:hint="eastAsia" w:ascii="仿宋_GB2312" w:hAnsi="仿宋_GB2312" w:eastAsia="仿宋_GB2312" w:cs="仿宋_GB2312"/>
          <w:lang w:val="en-US" w:eastAsia="zh-CN"/>
        </w:rPr>
        <w:t>装备。着力突破</w:t>
      </w:r>
      <w:r>
        <w:rPr>
          <w:rFonts w:hint="eastAsia" w:ascii="仿宋_GB2312" w:hAnsi="仿宋_GB2312" w:eastAsia="仿宋_GB2312" w:cs="仿宋_GB2312"/>
        </w:rPr>
        <w:t>大功率农机新能源动力技术、自动驾驶与导航技术、精准农艺作业技术及核心</w:t>
      </w:r>
      <w:r>
        <w:rPr>
          <w:rFonts w:hint="eastAsia" w:ascii="仿宋_GB2312" w:hAnsi="仿宋_GB2312" w:eastAsia="仿宋_GB2312" w:cs="仿宋_GB2312"/>
          <w:lang w:val="en-US" w:eastAsia="zh-CN"/>
        </w:rPr>
        <w:t>零部件</w:t>
      </w:r>
      <w:r>
        <w:rPr>
          <w:rFonts w:hint="eastAsia" w:ascii="仿宋_GB2312" w:hAnsi="仿宋_GB2312" w:eastAsia="仿宋_GB2312" w:cs="仿宋_GB2312"/>
        </w:rPr>
        <w:t>等</w:t>
      </w:r>
      <w:r>
        <w:rPr>
          <w:rFonts w:hint="eastAsia" w:ascii="仿宋_GB2312" w:hAnsi="仿宋_GB2312" w:eastAsia="仿宋_GB2312" w:cs="仿宋_GB2312"/>
          <w:lang w:val="en-US" w:eastAsia="zh-CN"/>
        </w:rPr>
        <w:t>关键</w:t>
      </w:r>
      <w:r>
        <w:rPr>
          <w:rFonts w:hint="eastAsia" w:ascii="仿宋_GB2312" w:hAnsi="仿宋_GB2312" w:eastAsia="仿宋_GB2312" w:cs="仿宋_GB2312"/>
        </w:rPr>
        <w:t>短板，打造寒地智能农机装备研发制造基地。</w:t>
      </w:r>
    </w:p>
    <w:p w14:paraId="0B1C09A2">
      <w:pPr>
        <w:bidi w:val="0"/>
        <w:rPr>
          <w:rFonts w:hint="eastAsia" w:ascii="仿宋_GB2312" w:hAnsi="仿宋_GB2312" w:eastAsia="仿宋_GB2312" w:cs="仿宋_GB2312"/>
        </w:rPr>
      </w:pPr>
      <w:r>
        <w:rPr>
          <w:rFonts w:hint="eastAsia" w:ascii="仿宋_GB2312" w:hAnsi="仿宋_GB2312" w:eastAsia="仿宋_GB2312" w:cs="仿宋_GB2312"/>
          <w:b/>
          <w:bCs/>
        </w:rPr>
        <w:t>壮大智能农机产业集群。</w:t>
      </w:r>
      <w:r>
        <w:rPr>
          <w:rFonts w:hint="eastAsia" w:ascii="仿宋_GB2312" w:hAnsi="仿宋_GB2312" w:eastAsia="仿宋_GB2312" w:cs="仿宋_GB2312"/>
        </w:rPr>
        <w:t>发挥丰诺植保、立兴植保、华锦农机等龙头企业</w:t>
      </w:r>
      <w:r>
        <w:rPr>
          <w:rFonts w:hint="eastAsia" w:ascii="仿宋_GB2312" w:hAnsi="仿宋_GB2312" w:eastAsia="仿宋_GB2312" w:cs="仿宋_GB2312"/>
          <w:lang w:eastAsia="zh-CN"/>
        </w:rPr>
        <w:t>的</w:t>
      </w:r>
      <w:r>
        <w:rPr>
          <w:rFonts w:hint="eastAsia" w:ascii="仿宋_GB2312" w:hAnsi="仿宋_GB2312" w:eastAsia="仿宋_GB2312" w:cs="仿宋_GB2312"/>
        </w:rPr>
        <w:t>引领作用，由政府牵头、联合龙头企业搭建富锦</w:t>
      </w:r>
      <w:r>
        <w:rPr>
          <w:rFonts w:hint="eastAsia" w:ascii="仿宋_GB2312" w:hAnsi="仿宋_GB2312" w:eastAsia="仿宋_GB2312" w:cs="仿宋_GB2312"/>
          <w:lang w:val="en-US" w:eastAsia="zh-CN"/>
        </w:rPr>
        <w:t>市</w:t>
      </w:r>
      <w:r>
        <w:rPr>
          <w:rFonts w:hint="eastAsia" w:ascii="仿宋_GB2312" w:hAnsi="仿宋_GB2312" w:eastAsia="仿宋_GB2312" w:cs="仿宋_GB2312"/>
        </w:rPr>
        <w:t>“智能农机产业共享平台”，集聚共享科技创新、人才培育、供应链金融、检验检测等创新要素，吸引零部件生产</w:t>
      </w:r>
      <w:r>
        <w:rPr>
          <w:rFonts w:hint="eastAsia" w:ascii="仿宋_GB2312" w:hAnsi="仿宋_GB2312" w:eastAsia="仿宋_GB2312" w:cs="仿宋_GB2312"/>
          <w:lang w:val="en-US" w:eastAsia="zh-CN"/>
        </w:rPr>
        <w:t>与</w:t>
      </w:r>
      <w:r>
        <w:rPr>
          <w:rFonts w:hint="eastAsia" w:ascii="仿宋_GB2312" w:hAnsi="仿宋_GB2312" w:eastAsia="仿宋_GB2312" w:cs="仿宋_GB2312"/>
        </w:rPr>
        <w:t>配套服务企业落户富锦，</w:t>
      </w:r>
      <w:r>
        <w:rPr>
          <w:rFonts w:hint="eastAsia" w:ascii="仿宋_GB2312" w:hAnsi="仿宋_GB2312" w:eastAsia="仿宋_GB2312" w:cs="仿宋_GB2312"/>
          <w:lang w:val="en-US" w:eastAsia="zh-CN"/>
        </w:rPr>
        <w:t>延伸农机装备产业链，构建从</w:t>
      </w:r>
      <w:r>
        <w:rPr>
          <w:rFonts w:hint="eastAsia" w:ascii="仿宋_GB2312" w:hAnsi="仿宋_GB2312" w:eastAsia="仿宋_GB2312" w:cs="仿宋_GB2312"/>
        </w:rPr>
        <w:t>上游原材料及零部件供应</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到</w:t>
      </w:r>
      <w:r>
        <w:rPr>
          <w:rFonts w:hint="eastAsia" w:ascii="仿宋_GB2312" w:hAnsi="仿宋_GB2312" w:eastAsia="仿宋_GB2312" w:cs="仿宋_GB2312"/>
        </w:rPr>
        <w:t>中游</w:t>
      </w:r>
      <w:r>
        <w:rPr>
          <w:rFonts w:hint="eastAsia" w:ascii="仿宋_GB2312" w:hAnsi="仿宋_GB2312" w:eastAsia="仿宋_GB2312" w:cs="仿宋_GB2312"/>
          <w:lang w:val="en-US" w:eastAsia="zh-CN"/>
        </w:rPr>
        <w:t>整机制造</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再到</w:t>
      </w:r>
      <w:r>
        <w:rPr>
          <w:rFonts w:hint="eastAsia" w:ascii="仿宋_GB2312" w:hAnsi="仿宋_GB2312" w:eastAsia="仿宋_GB2312" w:cs="仿宋_GB2312"/>
        </w:rPr>
        <w:t>下游展销</w:t>
      </w:r>
      <w:r>
        <w:rPr>
          <w:rFonts w:hint="eastAsia" w:ascii="仿宋_GB2312" w:hAnsi="仿宋_GB2312" w:eastAsia="仿宋_GB2312" w:cs="仿宋_GB2312"/>
          <w:lang w:eastAsia="zh-CN"/>
        </w:rPr>
        <w:t>、</w:t>
      </w:r>
      <w:r>
        <w:rPr>
          <w:rFonts w:hint="eastAsia" w:ascii="仿宋_GB2312" w:hAnsi="仿宋_GB2312" w:eastAsia="仿宋_GB2312" w:cs="仿宋_GB2312"/>
        </w:rPr>
        <w:t>维修保养</w:t>
      </w:r>
      <w:r>
        <w:rPr>
          <w:rFonts w:hint="eastAsia" w:ascii="仿宋_GB2312" w:hAnsi="仿宋_GB2312" w:eastAsia="仿宋_GB2312" w:cs="仿宋_GB2312"/>
          <w:lang w:val="en-US" w:eastAsia="zh-CN"/>
        </w:rPr>
        <w:t>及</w:t>
      </w:r>
      <w:r>
        <w:rPr>
          <w:rFonts w:hint="eastAsia" w:ascii="仿宋_GB2312" w:hAnsi="仿宋_GB2312" w:eastAsia="仿宋_GB2312" w:cs="仿宋_GB2312"/>
        </w:rPr>
        <w:t>培训的</w:t>
      </w:r>
      <w:r>
        <w:rPr>
          <w:rFonts w:hint="eastAsia" w:ascii="仿宋_GB2312" w:hAnsi="仿宋_GB2312" w:eastAsia="仿宋_GB2312" w:cs="仿宋_GB2312"/>
          <w:lang w:val="en-US" w:eastAsia="zh-CN"/>
        </w:rPr>
        <w:t>完整智能</w:t>
      </w:r>
      <w:r>
        <w:rPr>
          <w:rFonts w:hint="eastAsia" w:ascii="仿宋_GB2312" w:hAnsi="仿宋_GB2312" w:eastAsia="仿宋_GB2312" w:cs="仿宋_GB2312"/>
        </w:rPr>
        <w:t>农机产业生态圈，</w:t>
      </w:r>
      <w:r>
        <w:rPr>
          <w:rFonts w:hint="eastAsia" w:ascii="仿宋_GB2312" w:hAnsi="仿宋_GB2312" w:eastAsia="仿宋_GB2312" w:cs="仿宋_GB2312"/>
          <w:lang w:val="en-US" w:eastAsia="zh-CN"/>
        </w:rPr>
        <w:t>形成</w:t>
      </w:r>
      <w:r>
        <w:rPr>
          <w:rFonts w:hint="eastAsia" w:ascii="仿宋_GB2312" w:hAnsi="仿宋_GB2312" w:eastAsia="仿宋_GB2312" w:cs="仿宋_GB2312"/>
        </w:rPr>
        <w:t>智能农机装备制造产业集群，</w:t>
      </w:r>
      <w:r>
        <w:rPr>
          <w:rFonts w:hint="eastAsia" w:ascii="仿宋_GB2312" w:hAnsi="仿宋_GB2312" w:eastAsia="仿宋_GB2312" w:cs="仿宋_GB2312"/>
          <w:lang w:val="en-US" w:eastAsia="zh-CN"/>
        </w:rPr>
        <w:t>布局建设专业化智能农机产业园区，</w:t>
      </w:r>
      <w:r>
        <w:rPr>
          <w:rFonts w:hint="eastAsia" w:ascii="仿宋_GB2312" w:hAnsi="仿宋_GB2312" w:eastAsia="仿宋_GB2312" w:cs="仿宋_GB2312"/>
        </w:rPr>
        <w:t>为</w:t>
      </w:r>
      <w:r>
        <w:rPr>
          <w:rFonts w:hint="eastAsia" w:ascii="仿宋_GB2312" w:hAnsi="仿宋_GB2312" w:eastAsia="仿宋_GB2312" w:cs="仿宋_GB2312"/>
          <w:lang w:val="en-US" w:eastAsia="zh-CN"/>
        </w:rPr>
        <w:t>全市</w:t>
      </w:r>
      <w:r>
        <w:rPr>
          <w:rFonts w:hint="eastAsia" w:ascii="仿宋_GB2312" w:hAnsi="仿宋_GB2312" w:eastAsia="仿宋_GB2312" w:cs="仿宋_GB2312"/>
        </w:rPr>
        <w:t>农业农村现代化提供有力支撑。</w:t>
      </w:r>
    </w:p>
    <w:p w14:paraId="4621EF46">
      <w:pPr>
        <w:bidi w:val="0"/>
        <w:rPr>
          <w:rFonts w:hint="eastAsia" w:ascii="仿宋_GB2312" w:hAnsi="仿宋_GB2312" w:eastAsia="仿宋_GB2312" w:cs="仿宋_GB2312"/>
        </w:rPr>
      </w:pPr>
      <w:r>
        <w:rPr>
          <w:rFonts w:hint="eastAsia" w:ascii="仿宋_GB2312" w:hAnsi="仿宋_GB2312" w:eastAsia="仿宋_GB2312" w:cs="仿宋_GB2312"/>
          <w:b/>
          <w:bCs/>
        </w:rPr>
        <w:t>打造对外农机出口高地。</w:t>
      </w:r>
      <w:r>
        <w:rPr>
          <w:rFonts w:hint="eastAsia" w:ascii="仿宋_GB2312" w:hAnsi="仿宋_GB2312" w:eastAsia="仿宋_GB2312" w:cs="仿宋_GB2312"/>
        </w:rPr>
        <w:t>把握黑龙江省向北开放新高地建设机遇，依托立兴植保等农机企业对俄农机出口基础，支持企业共建“线下门店与线上平台相结合”的海外农机销售网络。组织农机企业开展国际市场调查，面向中亚、中东等潜力市场，发展适合当地农艺特点的“定制农机”模式。</w:t>
      </w:r>
      <w:r>
        <w:rPr>
          <w:rFonts w:hint="eastAsia" w:ascii="仿宋_GB2312" w:hAnsi="仿宋_GB2312" w:eastAsia="仿宋_GB2312" w:cs="仿宋_GB2312"/>
          <w:lang w:val="en-US" w:eastAsia="zh-CN"/>
        </w:rPr>
        <w:t>依托</w:t>
      </w:r>
      <w:r>
        <w:rPr>
          <w:rFonts w:hint="eastAsia" w:ascii="仿宋_GB2312" w:hAnsi="仿宋_GB2312" w:eastAsia="仿宋_GB2312" w:cs="仿宋_GB2312"/>
        </w:rPr>
        <w:t>富锦对外保税孵化园，联动</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一桥一岛</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及</w:t>
      </w:r>
      <w:r>
        <w:rPr>
          <w:rFonts w:hint="eastAsia" w:ascii="仿宋_GB2312" w:hAnsi="仿宋_GB2312" w:eastAsia="仿宋_GB2312" w:cs="仿宋_GB2312"/>
        </w:rPr>
        <w:t>黑龙江自贸</w:t>
      </w:r>
      <w:r>
        <w:rPr>
          <w:rFonts w:hint="eastAsia" w:ascii="仿宋_GB2312" w:hAnsi="仿宋_GB2312" w:eastAsia="仿宋_GB2312" w:cs="仿宋_GB2312"/>
          <w:lang w:val="en-US" w:eastAsia="zh-CN"/>
        </w:rPr>
        <w:t>试验区</w:t>
      </w:r>
      <w:r>
        <w:rPr>
          <w:rFonts w:hint="eastAsia" w:ascii="仿宋_GB2312" w:hAnsi="仿宋_GB2312" w:eastAsia="仿宋_GB2312" w:cs="仿宋_GB2312"/>
          <w:lang w:eastAsia="zh-CN"/>
        </w:rPr>
        <w:t>，</w:t>
      </w:r>
      <w:r>
        <w:rPr>
          <w:rFonts w:hint="eastAsia" w:ascii="仿宋_GB2312" w:hAnsi="仿宋_GB2312" w:eastAsia="仿宋_GB2312" w:cs="仿宋_GB2312"/>
        </w:rPr>
        <w:t>申请开展对俄农机保税维修等协同创新</w:t>
      </w:r>
      <w:r>
        <w:rPr>
          <w:rFonts w:hint="eastAsia" w:ascii="仿宋_GB2312" w:hAnsi="仿宋_GB2312" w:eastAsia="仿宋_GB2312" w:cs="仿宋_GB2312"/>
          <w:lang w:val="en-US" w:eastAsia="zh-CN"/>
        </w:rPr>
        <w:t>试点</w:t>
      </w:r>
      <w:r>
        <w:rPr>
          <w:rFonts w:hint="eastAsia" w:ascii="仿宋_GB2312" w:hAnsi="仿宋_GB2312" w:eastAsia="仿宋_GB2312" w:cs="仿宋_GB2312"/>
        </w:rPr>
        <w:t>，支持企业</w:t>
      </w:r>
      <w:r>
        <w:rPr>
          <w:rFonts w:hint="eastAsia" w:ascii="仿宋_GB2312" w:hAnsi="仿宋_GB2312" w:eastAsia="仿宋_GB2312" w:cs="仿宋_GB2312"/>
          <w:lang w:val="en-US" w:eastAsia="zh-CN"/>
        </w:rPr>
        <w:t>设立</w:t>
      </w:r>
      <w:r>
        <w:rPr>
          <w:rFonts w:hint="eastAsia" w:ascii="仿宋_GB2312" w:hAnsi="仿宋_GB2312" w:eastAsia="仿宋_GB2312" w:cs="仿宋_GB2312"/>
        </w:rPr>
        <w:t>境外农机技术服务中心，推动富锦农机从单纯设备出口向“设备+服务+解决方案”转型升级，</w:t>
      </w:r>
      <w:r>
        <w:rPr>
          <w:rFonts w:hint="eastAsia" w:ascii="仿宋_GB2312" w:hAnsi="仿宋_GB2312" w:eastAsia="仿宋_GB2312" w:cs="仿宋_GB2312"/>
          <w:lang w:val="en-US" w:eastAsia="zh-CN"/>
        </w:rPr>
        <w:t>将</w:t>
      </w:r>
      <w:r>
        <w:rPr>
          <w:rFonts w:hint="eastAsia" w:ascii="仿宋_GB2312" w:hAnsi="仿宋_GB2312" w:eastAsia="仿宋_GB2312" w:cs="仿宋_GB2312"/>
        </w:rPr>
        <w:t>富锦打造</w:t>
      </w:r>
      <w:r>
        <w:rPr>
          <w:rFonts w:hint="eastAsia" w:ascii="仿宋_GB2312" w:hAnsi="仿宋_GB2312" w:eastAsia="仿宋_GB2312" w:cs="仿宋_GB2312"/>
          <w:lang w:val="en-US" w:eastAsia="zh-CN"/>
        </w:rPr>
        <w:t>成为</w:t>
      </w:r>
      <w:r>
        <w:rPr>
          <w:rFonts w:hint="eastAsia" w:ascii="仿宋_GB2312" w:hAnsi="仿宋_GB2312" w:eastAsia="仿宋_GB2312" w:cs="仿宋_GB2312"/>
        </w:rPr>
        <w:t>黑龙江省东部智能农机出口基地。</w:t>
      </w:r>
    </w:p>
    <w:p w14:paraId="7A7FDA6A">
      <w:pPr>
        <w:bidi w:val="0"/>
        <w:rPr>
          <w:rFonts w:hint="default" w:ascii="仿宋_GB2312" w:hAnsi="仿宋_GB2312" w:eastAsia="仿宋_GB2312" w:cs="仿宋_GB2312"/>
          <w:b/>
          <w:bCs/>
          <w:lang w:val="en-US" w:eastAsia="zh-CN"/>
        </w:rPr>
      </w:pPr>
      <w:r>
        <w:rPr>
          <w:rFonts w:hint="eastAsia" w:ascii="仿宋_GB2312" w:hAnsi="仿宋_GB2312" w:eastAsia="仿宋_GB2312" w:cs="仿宋_GB2312"/>
          <w:b/>
          <w:bCs/>
        </w:rPr>
        <w:t>三、</w:t>
      </w:r>
      <w:r>
        <w:rPr>
          <w:rFonts w:hint="eastAsia" w:ascii="仿宋_GB2312" w:hAnsi="仿宋_GB2312" w:cs="仿宋_GB2312"/>
          <w:b/>
          <w:bCs/>
          <w:lang w:val="en-US" w:eastAsia="zh-CN"/>
        </w:rPr>
        <w:t>加快发展数字经济</w:t>
      </w:r>
    </w:p>
    <w:p w14:paraId="4F52943D">
      <w:pPr>
        <w:bidi w:val="0"/>
        <w:rPr>
          <w:rFonts w:hint="eastAsia"/>
        </w:rPr>
      </w:pPr>
      <w:r>
        <w:rPr>
          <w:rFonts w:hint="eastAsia"/>
          <w:lang w:val="en-US" w:eastAsia="zh-CN"/>
        </w:rPr>
        <w:t>聚焦</w:t>
      </w:r>
      <w:r>
        <w:rPr>
          <w:rFonts w:hint="eastAsia"/>
        </w:rPr>
        <w:t>数字经济“软硬协同”体系</w:t>
      </w:r>
      <w:r>
        <w:rPr>
          <w:rFonts w:hint="eastAsia"/>
          <w:lang w:val="en-US" w:eastAsia="zh-CN"/>
        </w:rPr>
        <w:t>建设</w:t>
      </w:r>
      <w:r>
        <w:rPr>
          <w:rFonts w:hint="eastAsia"/>
          <w:lang w:eastAsia="zh-CN"/>
        </w:rPr>
        <w:t>，</w:t>
      </w:r>
      <w:r>
        <w:rPr>
          <w:rFonts w:hint="default"/>
          <w:lang w:eastAsia="zh-CN"/>
        </w:rPr>
        <w:t>引导企业实施数字化、智能化改造，建设一批数字化车间，推动城市公共数据与产业数据互联融合，赋能产业高质量发展。</w:t>
      </w:r>
    </w:p>
    <w:p w14:paraId="3C34F15E">
      <w:pPr>
        <w:bidi w:val="0"/>
        <w:rPr>
          <w:rFonts w:hint="eastAsia" w:ascii="仿宋_GB2312" w:hAnsi="仿宋_GB2312" w:eastAsia="仿宋_GB2312" w:cs="仿宋_GB2312"/>
        </w:rPr>
      </w:pPr>
      <w:r>
        <w:rPr>
          <w:rFonts w:hint="eastAsia" w:ascii="仿宋_GB2312" w:hAnsi="仿宋_GB2312" w:eastAsia="仿宋_GB2312" w:cs="仿宋_GB2312"/>
          <w:b/>
          <w:bCs/>
        </w:rPr>
        <w:t>持续推进数字化基础设施建设。</w:t>
      </w:r>
      <w:r>
        <w:rPr>
          <w:rFonts w:hint="eastAsia" w:ascii="仿宋_GB2312" w:hAnsi="仿宋_GB2312" w:eastAsia="仿宋_GB2312" w:cs="仿宋_GB2312"/>
        </w:rPr>
        <w:t>在已</w:t>
      </w:r>
      <w:r>
        <w:rPr>
          <w:rFonts w:hint="eastAsia" w:ascii="仿宋_GB2312" w:hAnsi="仿宋_GB2312" w:eastAsia="仿宋_GB2312" w:cs="仿宋_GB2312"/>
          <w:lang w:val="en-US" w:eastAsia="zh-CN"/>
        </w:rPr>
        <w:t>初步</w:t>
      </w:r>
      <w:r>
        <w:rPr>
          <w:rFonts w:hint="eastAsia" w:ascii="仿宋_GB2312" w:hAnsi="仿宋_GB2312" w:eastAsia="仿宋_GB2312" w:cs="仿宋_GB2312"/>
        </w:rPr>
        <w:t>实现城区、重点乡镇及经开区5G网络覆盖</w:t>
      </w:r>
      <w:r>
        <w:rPr>
          <w:rFonts w:hint="eastAsia" w:ascii="仿宋_GB2312" w:hAnsi="仿宋_GB2312" w:eastAsia="仿宋_GB2312" w:cs="仿宋_GB2312"/>
          <w:lang w:eastAsia="zh-CN"/>
        </w:rPr>
        <w:t>的</w:t>
      </w:r>
      <w:r>
        <w:rPr>
          <w:rFonts w:hint="eastAsia" w:ascii="仿宋_GB2312" w:hAnsi="仿宋_GB2312" w:eastAsia="仿宋_GB2312" w:cs="仿宋_GB2312"/>
        </w:rPr>
        <w:t>基础上，</w:t>
      </w:r>
      <w:r>
        <w:rPr>
          <w:rFonts w:hint="eastAsia" w:ascii="仿宋_GB2312" w:hAnsi="仿宋_GB2312" w:eastAsia="仿宋_GB2312" w:cs="仿宋_GB2312"/>
          <w:lang w:val="en-US" w:eastAsia="zh-CN"/>
        </w:rPr>
        <w:t>进一步加快</w:t>
      </w:r>
      <w:r>
        <w:rPr>
          <w:rFonts w:hint="eastAsia" w:ascii="仿宋_GB2312" w:hAnsi="仿宋_GB2312" w:eastAsia="仿宋_GB2312" w:cs="仿宋_GB2312"/>
        </w:rPr>
        <w:t>城区重点区域和农村偏远地区的5G基站建设，</w:t>
      </w:r>
      <w:r>
        <w:rPr>
          <w:rFonts w:hint="eastAsia" w:ascii="仿宋_GB2312" w:hAnsi="仿宋_GB2312" w:eastAsia="仿宋_GB2312" w:cs="仿宋_GB2312"/>
          <w:lang w:val="en-US" w:eastAsia="zh-CN"/>
        </w:rPr>
        <w:t>力争</w:t>
      </w:r>
      <w:r>
        <w:rPr>
          <w:rFonts w:hint="eastAsia" w:ascii="仿宋_GB2312" w:hAnsi="仿宋_GB2312" w:eastAsia="仿宋_GB2312" w:cs="仿宋_GB2312"/>
        </w:rPr>
        <w:t>实现市区及周边乡村5G网络全覆盖，推动以5G</w:t>
      </w:r>
      <w:r>
        <w:rPr>
          <w:rFonts w:hint="eastAsia" w:ascii="仿宋_GB2312" w:hAnsi="仿宋_GB2312" w:eastAsia="仿宋_GB2312" w:cs="仿宋_GB2312"/>
          <w:lang w:val="en-US" w:eastAsia="zh-CN"/>
        </w:rPr>
        <w:t>和</w:t>
      </w:r>
      <w:r>
        <w:rPr>
          <w:rFonts w:hint="eastAsia" w:ascii="仿宋_GB2312" w:hAnsi="仿宋_GB2312" w:eastAsia="仿宋_GB2312" w:cs="仿宋_GB2312"/>
        </w:rPr>
        <w:t>千兆光网为核心的“双千兆”网络高质量发展，为全市数字经济提供高速、稳定</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可靠</w:t>
      </w:r>
      <w:r>
        <w:rPr>
          <w:rFonts w:hint="eastAsia" w:ascii="仿宋_GB2312" w:hAnsi="仿宋_GB2312" w:eastAsia="仿宋_GB2312" w:cs="仿宋_GB2312"/>
        </w:rPr>
        <w:t>的网络支撑。</w:t>
      </w:r>
      <w:r>
        <w:rPr>
          <w:rFonts w:hint="eastAsia" w:ascii="仿宋_GB2312" w:hAnsi="仿宋_GB2312" w:eastAsia="仿宋_GB2312" w:cs="仿宋_GB2312"/>
          <w:lang w:val="en-US" w:eastAsia="zh-CN"/>
        </w:rPr>
        <w:t>同时，重点推进</w:t>
      </w:r>
      <w:r>
        <w:rPr>
          <w:rFonts w:hint="eastAsia" w:ascii="仿宋_GB2312" w:hAnsi="仿宋_GB2312" w:eastAsia="仿宋_GB2312" w:cs="仿宋_GB2312"/>
        </w:rPr>
        <w:t>农业、物流等领域</w:t>
      </w:r>
      <w:r>
        <w:rPr>
          <w:rFonts w:hint="eastAsia" w:ascii="仿宋_GB2312" w:hAnsi="仿宋_GB2312" w:eastAsia="仿宋_GB2312" w:cs="仿宋_GB2312"/>
          <w:lang w:eastAsia="zh-CN"/>
        </w:rPr>
        <w:t>的</w:t>
      </w:r>
      <w:r>
        <w:rPr>
          <w:rFonts w:hint="eastAsia" w:ascii="仿宋_GB2312" w:hAnsi="仿宋_GB2312" w:eastAsia="仿宋_GB2312" w:cs="仿宋_GB2312"/>
          <w:lang w:val="en-US" w:eastAsia="zh-CN"/>
        </w:rPr>
        <w:t>物联网基础设施建设</w:t>
      </w:r>
      <w:r>
        <w:rPr>
          <w:rFonts w:hint="eastAsia" w:ascii="仿宋_GB2312" w:hAnsi="仿宋_GB2312" w:eastAsia="仿宋_GB2312" w:cs="仿宋_GB2312"/>
        </w:rPr>
        <w:t>，</w:t>
      </w:r>
      <w:r>
        <w:rPr>
          <w:rFonts w:hint="eastAsia" w:ascii="仿宋_GB2312" w:hAnsi="仿宋_GB2312" w:eastAsia="仿宋_GB2312" w:cs="仿宋_GB2312"/>
          <w:lang w:val="en-US" w:eastAsia="zh-CN"/>
        </w:rPr>
        <w:t>加快布局智能传感器与智能终端，</w:t>
      </w:r>
      <w:r>
        <w:rPr>
          <w:rFonts w:hint="eastAsia" w:ascii="仿宋_GB2312" w:hAnsi="仿宋_GB2312" w:eastAsia="仿宋_GB2312" w:cs="仿宋_GB2312"/>
        </w:rPr>
        <w:t>为智慧农业、智慧物流等应用</w:t>
      </w:r>
      <w:r>
        <w:rPr>
          <w:rFonts w:hint="eastAsia" w:ascii="仿宋_GB2312" w:hAnsi="仿宋_GB2312" w:eastAsia="仿宋_GB2312" w:cs="仿宋_GB2312"/>
          <w:lang w:val="en-US" w:eastAsia="zh-CN"/>
        </w:rPr>
        <w:t>场景</w:t>
      </w:r>
      <w:r>
        <w:rPr>
          <w:rFonts w:hint="eastAsia" w:ascii="仿宋_GB2312" w:hAnsi="仿宋_GB2312" w:eastAsia="仿宋_GB2312" w:cs="仿宋_GB2312"/>
        </w:rPr>
        <w:t>提供</w:t>
      </w:r>
      <w:r>
        <w:rPr>
          <w:rFonts w:hint="eastAsia" w:ascii="仿宋_GB2312" w:hAnsi="仿宋_GB2312" w:eastAsia="仿宋_GB2312" w:cs="仿宋_GB2312"/>
          <w:lang w:val="en-US" w:eastAsia="zh-CN"/>
        </w:rPr>
        <w:t>坚实</w:t>
      </w:r>
      <w:r>
        <w:rPr>
          <w:rFonts w:hint="eastAsia" w:ascii="仿宋_GB2312" w:hAnsi="仿宋_GB2312" w:eastAsia="仿宋_GB2312" w:cs="仿宋_GB2312"/>
        </w:rPr>
        <w:t>基础支撑。</w:t>
      </w:r>
    </w:p>
    <w:p w14:paraId="2FBE785B">
      <w:pPr>
        <w:bidi w:val="0"/>
        <w:rPr>
          <w:rFonts w:hint="eastAsia" w:ascii="仿宋_GB2312" w:hAnsi="仿宋_GB2312" w:eastAsia="仿宋_GB2312" w:cs="仿宋_GB2312"/>
        </w:rPr>
      </w:pPr>
      <w:r>
        <w:rPr>
          <w:rFonts w:hint="eastAsia" w:ascii="仿宋_GB2312" w:hAnsi="仿宋_GB2312" w:eastAsia="仿宋_GB2312" w:cs="仿宋_GB2312"/>
          <w:b/>
          <w:bCs/>
        </w:rPr>
        <w:t>推动数字经济硬件制造业</w:t>
      </w:r>
      <w:r>
        <w:rPr>
          <w:rFonts w:hint="eastAsia" w:ascii="仿宋_GB2312" w:hAnsi="仿宋_GB2312" w:eastAsia="仿宋_GB2312" w:cs="仿宋_GB2312"/>
          <w:b/>
          <w:bCs/>
          <w:lang w:val="en-US" w:eastAsia="zh-CN"/>
        </w:rPr>
        <w:t>实现</w:t>
      </w:r>
      <w:r>
        <w:rPr>
          <w:rFonts w:hint="eastAsia" w:ascii="仿宋_GB2312" w:hAnsi="仿宋_GB2312" w:eastAsia="仿宋_GB2312" w:cs="仿宋_GB2312"/>
          <w:b/>
          <w:bCs/>
        </w:rPr>
        <w:t>突破</w:t>
      </w:r>
      <w:r>
        <w:rPr>
          <w:rFonts w:hint="eastAsia" w:ascii="仿宋_GB2312" w:hAnsi="仿宋_GB2312" w:eastAsia="仿宋_GB2312" w:cs="仿宋_GB2312"/>
          <w:b/>
          <w:bCs/>
          <w:lang w:val="en-US" w:eastAsia="zh-CN"/>
        </w:rPr>
        <w:t>性</w:t>
      </w:r>
      <w:r>
        <w:rPr>
          <w:rFonts w:hint="eastAsia" w:ascii="仿宋_GB2312" w:hAnsi="仿宋_GB2312" w:eastAsia="仿宋_GB2312" w:cs="仿宋_GB2312"/>
          <w:b/>
          <w:bCs/>
        </w:rPr>
        <w:t>发展。</w:t>
      </w:r>
      <w:bookmarkStart w:id="29" w:name="OLE_LINK43"/>
      <w:bookmarkStart w:id="30" w:name="OLE_LINK42"/>
      <w:r>
        <w:rPr>
          <w:rFonts w:hint="eastAsia" w:ascii="仿宋_GB2312" w:hAnsi="仿宋_GB2312" w:eastAsia="仿宋_GB2312" w:cs="仿宋_GB2312"/>
          <w:lang w:val="en-US" w:eastAsia="zh-CN"/>
        </w:rPr>
        <w:t>依托</w:t>
      </w:r>
      <w:r>
        <w:rPr>
          <w:rFonts w:hint="eastAsia" w:ascii="仿宋_GB2312" w:hAnsi="仿宋_GB2312" w:eastAsia="仿宋_GB2312" w:cs="仿宋_GB2312"/>
        </w:rPr>
        <w:t>“一桥一岛”对俄</w:t>
      </w:r>
      <w:bookmarkEnd w:id="29"/>
      <w:bookmarkEnd w:id="30"/>
      <w:r>
        <w:rPr>
          <w:rFonts w:hint="eastAsia" w:ascii="仿宋_GB2312" w:hAnsi="仿宋_GB2312" w:eastAsia="仿宋_GB2312" w:cs="仿宋_GB2312"/>
        </w:rPr>
        <w:t>合作</w:t>
      </w:r>
      <w:r>
        <w:rPr>
          <w:rFonts w:hint="eastAsia" w:ascii="仿宋_GB2312" w:hAnsi="仿宋_GB2312" w:eastAsia="仿宋_GB2312" w:cs="仿宋_GB2312"/>
          <w:lang w:val="en-US" w:eastAsia="zh-CN"/>
        </w:rPr>
        <w:t>独特</w:t>
      </w:r>
      <w:r>
        <w:rPr>
          <w:rFonts w:hint="eastAsia" w:ascii="仿宋_GB2312" w:hAnsi="仿宋_GB2312" w:eastAsia="仿宋_GB2312" w:cs="仿宋_GB2312"/>
        </w:rPr>
        <w:t>优势，</w:t>
      </w:r>
      <w:r>
        <w:rPr>
          <w:rFonts w:hint="eastAsia" w:ascii="仿宋_GB2312" w:hAnsi="仿宋_GB2312" w:eastAsia="仿宋_GB2312" w:cs="仿宋_GB2312"/>
          <w:lang w:val="en-US" w:eastAsia="zh-CN"/>
        </w:rPr>
        <w:t>抢抓光电产业风口</w:t>
      </w:r>
      <w:r>
        <w:rPr>
          <w:rFonts w:hint="eastAsia" w:ascii="仿宋_GB2312" w:hAnsi="仿宋_GB2312" w:eastAsia="仿宋_GB2312" w:cs="仿宋_GB2312"/>
        </w:rPr>
        <w:t>，</w:t>
      </w:r>
      <w:r>
        <w:rPr>
          <w:rFonts w:hint="eastAsia" w:ascii="仿宋_GB2312" w:hAnsi="仿宋_GB2312" w:eastAsia="仿宋_GB2312" w:cs="仿宋_GB2312"/>
          <w:lang w:val="en-US" w:eastAsia="zh-CN"/>
        </w:rPr>
        <w:t>发力光电产业核心环节，加快引进</w:t>
      </w:r>
      <w:r>
        <w:rPr>
          <w:rFonts w:hint="eastAsia" w:ascii="仿宋_GB2312" w:hAnsi="仿宋_GB2312" w:eastAsia="仿宋_GB2312" w:cs="仿宋_GB2312"/>
        </w:rPr>
        <w:t>新型显示器件、</w:t>
      </w:r>
      <w:r>
        <w:rPr>
          <w:rFonts w:hint="eastAsia" w:ascii="仿宋_GB2312" w:hAnsi="仿宋_GB2312" w:eastAsia="仿宋_GB2312" w:cs="仿宋_GB2312"/>
          <w:lang w:val="en-US" w:eastAsia="zh-CN"/>
        </w:rPr>
        <w:t>农业光电装备、新能源光电组件、</w:t>
      </w:r>
      <w:r>
        <w:rPr>
          <w:rFonts w:hint="eastAsia" w:ascii="仿宋_GB2312" w:hAnsi="仿宋_GB2312" w:eastAsia="仿宋_GB2312" w:cs="仿宋_GB2312"/>
        </w:rPr>
        <w:t>柔性电路板等</w:t>
      </w:r>
      <w:r>
        <w:rPr>
          <w:rFonts w:hint="eastAsia" w:ascii="仿宋_GB2312" w:hAnsi="仿宋_GB2312" w:eastAsia="仿宋_GB2312" w:cs="仿宋_GB2312"/>
          <w:lang w:val="en-US" w:eastAsia="zh-CN"/>
        </w:rPr>
        <w:t>光电制造</w:t>
      </w:r>
      <w:r>
        <w:rPr>
          <w:rFonts w:hint="eastAsia" w:ascii="仿宋_GB2312" w:hAnsi="仿宋_GB2312" w:eastAsia="仿宋_GB2312" w:cs="仿宋_GB2312"/>
        </w:rPr>
        <w:t>企业</w:t>
      </w:r>
      <w:r>
        <w:rPr>
          <w:rFonts w:hint="eastAsia" w:ascii="仿宋_GB2312" w:hAnsi="仿宋_GB2312" w:eastAsia="仿宋_GB2312" w:cs="仿宋_GB2312"/>
          <w:lang w:val="en-US" w:eastAsia="zh-CN"/>
        </w:rPr>
        <w:t>落户</w:t>
      </w:r>
      <w:r>
        <w:rPr>
          <w:rFonts w:hint="eastAsia" w:ascii="仿宋_GB2312" w:hAnsi="仿宋_GB2312" w:eastAsia="仿宋_GB2312" w:cs="仿宋_GB2312"/>
        </w:rPr>
        <w:t>富锦，</w:t>
      </w:r>
      <w:r>
        <w:rPr>
          <w:rFonts w:hint="eastAsia" w:ascii="仿宋_GB2312" w:hAnsi="仿宋_GB2312" w:eastAsia="仿宋_GB2312" w:cs="仿宋_GB2312"/>
          <w:lang w:val="en-US" w:eastAsia="zh-CN"/>
        </w:rPr>
        <w:t>全面</w:t>
      </w:r>
      <w:r>
        <w:rPr>
          <w:rFonts w:hint="eastAsia" w:ascii="仿宋_GB2312" w:hAnsi="仿宋_GB2312" w:eastAsia="仿宋_GB2312" w:cs="仿宋_GB2312"/>
        </w:rPr>
        <w:t>提升基础电子</w:t>
      </w:r>
      <w:r>
        <w:rPr>
          <w:rFonts w:hint="eastAsia" w:ascii="仿宋_GB2312" w:hAnsi="仿宋_GB2312" w:cs="仿宋_GB2312"/>
          <w:lang w:eastAsia="zh-CN"/>
        </w:rPr>
        <w:t>产业链供应链</w:t>
      </w:r>
      <w:r>
        <w:rPr>
          <w:rFonts w:hint="eastAsia" w:ascii="仿宋_GB2312" w:hAnsi="仿宋_GB2312" w:eastAsia="仿宋_GB2312" w:cs="仿宋_GB2312"/>
          <w:lang w:val="en-US" w:eastAsia="zh-CN"/>
        </w:rPr>
        <w:t>现代化</w:t>
      </w:r>
      <w:r>
        <w:rPr>
          <w:rFonts w:hint="eastAsia" w:ascii="仿宋_GB2312" w:hAnsi="仿宋_GB2312" w:eastAsia="仿宋_GB2312" w:cs="仿宋_GB2312"/>
        </w:rPr>
        <w:t>水平，</w:t>
      </w:r>
      <w:r>
        <w:rPr>
          <w:rFonts w:hint="eastAsia" w:ascii="仿宋_GB2312" w:hAnsi="仿宋_GB2312" w:eastAsia="仿宋_GB2312" w:cs="仿宋_GB2312"/>
          <w:lang w:val="en-US" w:eastAsia="zh-CN"/>
        </w:rPr>
        <w:t>聚力打造</w:t>
      </w:r>
      <w:r>
        <w:rPr>
          <w:rFonts w:hint="eastAsia" w:ascii="仿宋_GB2312" w:hAnsi="仿宋_GB2312" w:eastAsia="仿宋_GB2312" w:cs="仿宋_GB2312"/>
        </w:rPr>
        <w:t>以光电产业为</w:t>
      </w:r>
      <w:r>
        <w:rPr>
          <w:rFonts w:hint="eastAsia" w:ascii="仿宋_GB2312" w:hAnsi="仿宋_GB2312" w:eastAsia="仿宋_GB2312" w:cs="仿宋_GB2312"/>
          <w:lang w:val="en-US" w:eastAsia="zh-CN"/>
        </w:rPr>
        <w:t>核心</w:t>
      </w:r>
      <w:r>
        <w:rPr>
          <w:rFonts w:hint="eastAsia" w:ascii="仿宋_GB2312" w:hAnsi="仿宋_GB2312" w:eastAsia="仿宋_GB2312" w:cs="仿宋_GB2312"/>
        </w:rPr>
        <w:t>的数字经济制造基地。</w:t>
      </w:r>
      <w:r>
        <w:rPr>
          <w:rFonts w:hint="eastAsia" w:ascii="仿宋_GB2312" w:hAnsi="仿宋_GB2312" w:eastAsia="仿宋_GB2312" w:cs="仿宋_GB2312"/>
          <w:lang w:val="en-US" w:eastAsia="zh-CN"/>
        </w:rPr>
        <w:t>引导</w:t>
      </w:r>
      <w:r>
        <w:rPr>
          <w:rFonts w:hint="eastAsia" w:ascii="仿宋_GB2312" w:hAnsi="仿宋_GB2312" w:eastAsia="仿宋_GB2312" w:cs="仿宋_GB2312"/>
        </w:rPr>
        <w:t>企业发展面向定制化应用场景的“智能产品+服务”模式，</w:t>
      </w:r>
      <w:r>
        <w:rPr>
          <w:rFonts w:hint="eastAsia" w:ascii="仿宋_GB2312" w:hAnsi="仿宋_GB2312" w:eastAsia="仿宋_GB2312" w:cs="仿宋_GB2312"/>
          <w:lang w:val="en-US" w:eastAsia="zh-CN"/>
        </w:rPr>
        <w:t>培育和推广</w:t>
      </w:r>
      <w:r>
        <w:rPr>
          <w:rFonts w:hint="eastAsia" w:ascii="仿宋_GB2312" w:hAnsi="仿宋_GB2312" w:eastAsia="仿宋_GB2312" w:cs="仿宋_GB2312"/>
        </w:rPr>
        <w:t>智能音响、智能安防等新型数字家庭产品。</w:t>
      </w:r>
    </w:p>
    <w:p w14:paraId="4B9F4BFF">
      <w:pPr>
        <w:bidi w:val="0"/>
        <w:rPr>
          <w:rFonts w:hint="eastAsia" w:ascii="仿宋_GB2312" w:hAnsi="仿宋_GB2312" w:eastAsia="仿宋_GB2312" w:cs="仿宋_GB2312"/>
        </w:rPr>
      </w:pPr>
      <w:r>
        <w:rPr>
          <w:rFonts w:hint="eastAsia" w:ascii="仿宋_GB2312" w:hAnsi="仿宋_GB2312" w:eastAsia="仿宋_GB2312" w:cs="仿宋_GB2312"/>
          <w:b/>
          <w:bCs/>
        </w:rPr>
        <w:t>强化平台经济赋能产业高质量发展。</w:t>
      </w:r>
      <w:r>
        <w:rPr>
          <w:rFonts w:hint="eastAsia" w:ascii="仿宋_GB2312" w:hAnsi="仿宋_GB2312" w:eastAsia="仿宋_GB2312" w:cs="仿宋_GB2312"/>
        </w:rPr>
        <w:t>依托富锦</w:t>
      </w:r>
      <w:r>
        <w:rPr>
          <w:rFonts w:hint="eastAsia" w:ascii="仿宋_GB2312" w:hAnsi="仿宋_GB2312" w:eastAsia="仿宋_GB2312" w:cs="仿宋_GB2312"/>
          <w:lang w:val="en-US" w:eastAsia="zh-CN"/>
        </w:rPr>
        <w:t>作为农业大市的资源禀赋</w:t>
      </w:r>
      <w:r>
        <w:rPr>
          <w:rFonts w:hint="eastAsia" w:ascii="仿宋_GB2312" w:hAnsi="仿宋_GB2312" w:eastAsia="仿宋_GB2312" w:cs="仿宋_GB2312"/>
        </w:rPr>
        <w:t>和象屿粮食供应链数字化平台</w:t>
      </w:r>
      <w:r>
        <w:rPr>
          <w:rFonts w:hint="eastAsia" w:ascii="仿宋_GB2312" w:hAnsi="仿宋_GB2312" w:eastAsia="仿宋_GB2312" w:cs="仿宋_GB2312"/>
          <w:lang w:eastAsia="zh-CN"/>
        </w:rPr>
        <w:t>的</w:t>
      </w:r>
      <w:r>
        <w:rPr>
          <w:rFonts w:hint="eastAsia" w:ascii="仿宋_GB2312" w:hAnsi="仿宋_GB2312" w:eastAsia="仿宋_GB2312" w:cs="仿宋_GB2312"/>
        </w:rPr>
        <w:t>基础，</w:t>
      </w:r>
      <w:r>
        <w:rPr>
          <w:rFonts w:hint="eastAsia" w:ascii="仿宋_GB2312" w:hAnsi="仿宋_GB2312" w:eastAsia="仿宋_GB2312" w:cs="仿宋_GB2312"/>
          <w:lang w:val="en-US" w:eastAsia="zh-CN"/>
        </w:rPr>
        <w:t>深度对接佳木斯市“佳家农”智慧农服平台，升级富锦现有农业大数据服务平台，构建</w:t>
      </w:r>
      <w:r>
        <w:rPr>
          <w:rFonts w:hint="eastAsia" w:ascii="仿宋_GB2312" w:hAnsi="仿宋_GB2312" w:eastAsia="仿宋_GB2312" w:cs="仿宋_GB2312"/>
        </w:rPr>
        <w:t>大宗农产品交易平台</w:t>
      </w:r>
      <w:r>
        <w:rPr>
          <w:rFonts w:hint="eastAsia" w:ascii="仿宋_GB2312" w:hAnsi="仿宋_GB2312" w:eastAsia="仿宋_GB2312" w:cs="仿宋_GB2312"/>
          <w:lang w:val="en-US" w:eastAsia="zh-CN"/>
        </w:rPr>
        <w:t>和</w:t>
      </w:r>
      <w:r>
        <w:rPr>
          <w:rFonts w:hint="eastAsia" w:ascii="仿宋_GB2312" w:hAnsi="仿宋_GB2312" w:eastAsia="仿宋_GB2312" w:cs="仿宋_GB2312"/>
        </w:rPr>
        <w:t>供应链数字化服务</w:t>
      </w:r>
      <w:r>
        <w:rPr>
          <w:rFonts w:hint="eastAsia" w:ascii="仿宋_GB2312" w:hAnsi="仿宋_GB2312" w:eastAsia="仿宋_GB2312" w:cs="仿宋_GB2312"/>
          <w:lang w:val="en-US" w:eastAsia="zh-CN"/>
        </w:rPr>
        <w:t>体系</w:t>
      </w:r>
      <w:r>
        <w:rPr>
          <w:rFonts w:hint="eastAsia" w:ascii="仿宋_GB2312" w:hAnsi="仿宋_GB2312" w:eastAsia="仿宋_GB2312" w:cs="仿宋_GB2312"/>
        </w:rPr>
        <w:t>，</w:t>
      </w:r>
      <w:r>
        <w:rPr>
          <w:rFonts w:hint="eastAsia" w:ascii="仿宋_GB2312" w:hAnsi="仿宋_GB2312" w:eastAsia="仿宋_GB2312" w:cs="仿宋_GB2312"/>
          <w:lang w:val="en-US" w:eastAsia="zh-CN"/>
        </w:rPr>
        <w:t>打造覆盖全市的</w:t>
      </w:r>
      <w:r>
        <w:rPr>
          <w:rFonts w:hint="eastAsia" w:ascii="仿宋_GB2312" w:hAnsi="仿宋_GB2312" w:eastAsia="仿宋_GB2312" w:cs="仿宋_GB2312"/>
        </w:rPr>
        <w:t>“农业大脑”</w:t>
      </w:r>
      <w:r>
        <w:rPr>
          <w:rFonts w:hint="eastAsia" w:ascii="仿宋_GB2312" w:hAnsi="仿宋_GB2312" w:eastAsia="仿宋_GB2312" w:cs="仿宋_GB2312"/>
          <w:lang w:eastAsia="zh-CN"/>
        </w:rPr>
        <w:t>。</w:t>
      </w:r>
      <w:r>
        <w:rPr>
          <w:rFonts w:hint="eastAsia" w:ascii="仿宋_GB2312" w:hAnsi="仿宋_GB2312" w:eastAsia="仿宋_GB2312" w:cs="仿宋_GB2312"/>
        </w:rPr>
        <w:t>打通</w:t>
      </w:r>
      <w:r>
        <w:rPr>
          <w:rFonts w:hint="eastAsia" w:ascii="仿宋_GB2312" w:hAnsi="仿宋_GB2312" w:eastAsia="仿宋_GB2312" w:cs="仿宋_GB2312"/>
          <w:lang w:val="en-US" w:eastAsia="zh-CN"/>
        </w:rPr>
        <w:t>农业生产</w:t>
      </w:r>
      <w:r>
        <w:rPr>
          <w:rFonts w:hint="eastAsia" w:ascii="仿宋_GB2312" w:hAnsi="仿宋_GB2312" w:eastAsia="仿宋_GB2312" w:cs="仿宋_GB2312"/>
        </w:rPr>
        <w:t>“种</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加、储、运、销</w:t>
      </w:r>
      <w:r>
        <w:rPr>
          <w:rFonts w:hint="eastAsia" w:ascii="仿宋_GB2312" w:hAnsi="仿宋_GB2312" w:eastAsia="仿宋_GB2312" w:cs="仿宋_GB2312"/>
        </w:rPr>
        <w:t>”全产业链数据闭环，实现各环节数据</w:t>
      </w:r>
      <w:r>
        <w:rPr>
          <w:rFonts w:hint="eastAsia" w:ascii="仿宋_GB2312" w:hAnsi="仿宋_GB2312" w:eastAsia="仿宋_GB2312" w:cs="仿宋_GB2312"/>
          <w:lang w:val="en-US" w:eastAsia="zh-CN"/>
        </w:rPr>
        <w:t>互联互通</w:t>
      </w:r>
      <w:r>
        <w:rPr>
          <w:rFonts w:hint="eastAsia" w:ascii="仿宋_GB2312" w:hAnsi="仿宋_GB2312" w:eastAsia="仿宋_GB2312" w:cs="仿宋_GB2312"/>
        </w:rPr>
        <w:t>，为农业订单种植、电子交易结算、</w:t>
      </w:r>
      <w:r>
        <w:rPr>
          <w:rFonts w:hint="eastAsia" w:ascii="仿宋_GB2312" w:hAnsi="仿宋_GB2312" w:eastAsia="仿宋_GB2312" w:cs="仿宋_GB2312"/>
          <w:lang w:val="en-US" w:eastAsia="zh-CN"/>
        </w:rPr>
        <w:t>智能</w:t>
      </w:r>
      <w:r>
        <w:rPr>
          <w:rFonts w:hint="eastAsia" w:ascii="仿宋_GB2312" w:hAnsi="仿宋_GB2312" w:eastAsia="仿宋_GB2312" w:cs="仿宋_GB2312"/>
        </w:rPr>
        <w:t>仓储物流及农产品展销等提供</w:t>
      </w:r>
      <w:r>
        <w:rPr>
          <w:rFonts w:hint="eastAsia" w:ascii="仿宋_GB2312" w:hAnsi="仿宋_GB2312" w:eastAsia="仿宋_GB2312" w:cs="仿宋_GB2312"/>
          <w:lang w:val="en-US" w:eastAsia="zh-CN"/>
        </w:rPr>
        <w:t>全流程</w:t>
      </w:r>
      <w:r>
        <w:rPr>
          <w:rFonts w:hint="eastAsia" w:ascii="仿宋_GB2312" w:hAnsi="仿宋_GB2312" w:eastAsia="仿宋_GB2312" w:cs="仿宋_GB2312"/>
        </w:rPr>
        <w:t>数字化服务，</w:t>
      </w:r>
      <w:r>
        <w:rPr>
          <w:rFonts w:hint="eastAsia" w:ascii="仿宋_GB2312" w:hAnsi="仿宋_GB2312" w:eastAsia="仿宋_GB2312" w:cs="仿宋_GB2312"/>
          <w:lang w:val="en-US" w:eastAsia="zh-CN"/>
        </w:rPr>
        <w:t>有效</w:t>
      </w:r>
      <w:r>
        <w:rPr>
          <w:rFonts w:hint="eastAsia" w:ascii="仿宋_GB2312" w:hAnsi="仿宋_GB2312" w:eastAsia="仿宋_GB2312" w:cs="仿宋_GB2312"/>
        </w:rPr>
        <w:t>降低农产品生产、物流</w:t>
      </w:r>
      <w:r>
        <w:rPr>
          <w:rFonts w:hint="eastAsia" w:ascii="仿宋_GB2312" w:hAnsi="仿宋_GB2312" w:eastAsia="仿宋_GB2312" w:cs="仿宋_GB2312"/>
          <w:lang w:val="en-US" w:eastAsia="zh-CN"/>
        </w:rPr>
        <w:t>与</w:t>
      </w:r>
      <w:r>
        <w:rPr>
          <w:rFonts w:hint="eastAsia" w:ascii="仿宋_GB2312" w:hAnsi="仿宋_GB2312" w:eastAsia="仿宋_GB2312" w:cs="仿宋_GB2312"/>
        </w:rPr>
        <w:t>运营成本</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推动富锦传统农业向“数据种植”和“智慧服务”转型，打造三江平原智慧农业发展标杆</w:t>
      </w:r>
      <w:r>
        <w:rPr>
          <w:rFonts w:hint="eastAsia" w:ascii="仿宋_GB2312" w:hAnsi="仿宋_GB2312" w:eastAsia="仿宋_GB2312" w:cs="仿宋_GB2312"/>
        </w:rPr>
        <w:t>。</w:t>
      </w:r>
      <w:r>
        <w:rPr>
          <w:rFonts w:hint="eastAsia" w:ascii="仿宋_GB2312" w:hAnsi="仿宋_GB2312" w:eastAsia="仿宋_GB2312" w:cs="仿宋_GB2312"/>
          <w:lang w:val="en-US" w:eastAsia="zh-CN"/>
        </w:rPr>
        <w:t>贯彻国家“工业互联网创新发展工程”战略部署，支持</w:t>
      </w:r>
      <w:r>
        <w:rPr>
          <w:rFonts w:hint="eastAsia" w:ascii="仿宋_GB2312" w:hAnsi="仿宋_GB2312" w:eastAsia="仿宋_GB2312" w:cs="仿宋_GB2312"/>
        </w:rPr>
        <w:t>新型糖、氨基酸、生物医药、绿色食品加工等重点工业领域龙头企业</w:t>
      </w:r>
      <w:r>
        <w:rPr>
          <w:rFonts w:hint="eastAsia" w:ascii="仿宋_GB2312" w:hAnsi="仿宋_GB2312" w:eastAsia="仿宋_GB2312" w:cs="仿宋_GB2312"/>
          <w:lang w:eastAsia="zh-CN"/>
        </w:rPr>
        <w:t>，</w:t>
      </w:r>
      <w:r>
        <w:rPr>
          <w:rFonts w:hint="eastAsia" w:ascii="仿宋_GB2312" w:hAnsi="仿宋_GB2312" w:eastAsia="仿宋_GB2312" w:cs="仿宋_GB2312"/>
        </w:rPr>
        <w:t>牵头建设联通上下游的行业级产业互联网平台，</w:t>
      </w:r>
      <w:r>
        <w:rPr>
          <w:rFonts w:hint="eastAsia" w:ascii="仿宋_GB2312" w:hAnsi="仿宋_GB2312" w:eastAsia="仿宋_GB2312" w:cs="仿宋_GB2312"/>
          <w:lang w:val="en-US" w:eastAsia="zh-CN"/>
        </w:rPr>
        <w:t>为</w:t>
      </w:r>
      <w:r>
        <w:rPr>
          <w:rFonts w:hint="eastAsia" w:ascii="仿宋_GB2312" w:hAnsi="仿宋_GB2312" w:eastAsia="仿宋_GB2312" w:cs="仿宋_GB2312"/>
        </w:rPr>
        <w:t>中小企业提供产品研发、人才培训、供应链金融</w:t>
      </w:r>
      <w:r>
        <w:rPr>
          <w:rFonts w:hint="eastAsia" w:ascii="仿宋_GB2312" w:hAnsi="仿宋_GB2312" w:eastAsia="仿宋_GB2312" w:cs="仿宋_GB2312"/>
          <w:lang w:val="en-US" w:eastAsia="zh-CN"/>
        </w:rPr>
        <w:t>和</w:t>
      </w:r>
      <w:r>
        <w:rPr>
          <w:rFonts w:hint="eastAsia" w:ascii="仿宋_GB2312" w:hAnsi="仿宋_GB2312" w:eastAsia="仿宋_GB2312" w:cs="仿宋_GB2312"/>
        </w:rPr>
        <w:t>订单</w:t>
      </w:r>
      <w:r>
        <w:rPr>
          <w:rFonts w:hint="eastAsia" w:ascii="仿宋_GB2312" w:hAnsi="仿宋_GB2312" w:eastAsia="仿宋_GB2312" w:cs="仿宋_GB2312"/>
          <w:lang w:val="en-US" w:eastAsia="zh-CN"/>
        </w:rPr>
        <w:t>协同</w:t>
      </w:r>
      <w:r>
        <w:rPr>
          <w:rFonts w:hint="eastAsia" w:ascii="仿宋_GB2312" w:hAnsi="仿宋_GB2312" w:eastAsia="仿宋_GB2312" w:cs="仿宋_GB2312"/>
        </w:rPr>
        <w:t>等价值链赋能服务。</w:t>
      </w:r>
      <w:r>
        <w:rPr>
          <w:rFonts w:hint="eastAsia" w:ascii="仿宋_GB2312" w:hAnsi="仿宋_GB2312" w:cs="仿宋_GB2312"/>
          <w:lang w:eastAsia="zh-CN"/>
        </w:rPr>
        <w:t>促进数字经济和实体经济深度融合</w:t>
      </w:r>
      <w:r>
        <w:rPr>
          <w:rFonts w:hint="eastAsia" w:ascii="仿宋_GB2312" w:hAnsi="仿宋_GB2312" w:eastAsia="仿宋_GB2312" w:cs="仿宋_GB2312"/>
          <w:lang w:val="en-US" w:eastAsia="zh-CN"/>
        </w:rPr>
        <w:t>，</w:t>
      </w:r>
      <w:r>
        <w:rPr>
          <w:rFonts w:hint="eastAsia" w:ascii="仿宋_GB2312" w:hAnsi="仿宋_GB2312" w:eastAsia="仿宋_GB2312" w:cs="仿宋_GB2312"/>
        </w:rPr>
        <w:t>加快推动农产品加工、生物医药、农机制造、文化旅游等领域企业“上云用数赋智”，支持企业</w:t>
      </w:r>
      <w:r>
        <w:rPr>
          <w:rFonts w:hint="eastAsia" w:ascii="仿宋_GB2312" w:hAnsi="仿宋_GB2312" w:eastAsia="仿宋_GB2312" w:cs="仿宋_GB2312"/>
          <w:lang w:val="en-US" w:eastAsia="zh-CN"/>
        </w:rPr>
        <w:t>实施</w:t>
      </w:r>
      <w:r>
        <w:rPr>
          <w:rFonts w:hint="eastAsia" w:ascii="仿宋_GB2312" w:hAnsi="仿宋_GB2312" w:eastAsia="仿宋_GB2312" w:cs="仿宋_GB2312"/>
        </w:rPr>
        <w:t>数字化、智能化</w:t>
      </w:r>
      <w:r>
        <w:rPr>
          <w:rFonts w:hint="eastAsia" w:ascii="仿宋_GB2312" w:hAnsi="仿宋_GB2312" w:eastAsia="仿宋_GB2312" w:cs="仿宋_GB2312"/>
          <w:lang w:val="en-US" w:eastAsia="zh-CN"/>
        </w:rPr>
        <w:t>改造</w:t>
      </w:r>
      <w:r>
        <w:rPr>
          <w:rFonts w:hint="eastAsia" w:ascii="仿宋_GB2312" w:hAnsi="仿宋_GB2312" w:eastAsia="仿宋_GB2312" w:cs="仿宋_GB2312"/>
        </w:rPr>
        <w:t>，</w:t>
      </w:r>
      <w:r>
        <w:rPr>
          <w:rFonts w:hint="eastAsia" w:ascii="仿宋_GB2312" w:hAnsi="仿宋_GB2312" w:eastAsia="仿宋_GB2312" w:cs="仿宋_GB2312"/>
          <w:lang w:val="en-US" w:eastAsia="zh-CN"/>
        </w:rPr>
        <w:t>建设</w:t>
      </w:r>
      <w:r>
        <w:rPr>
          <w:rFonts w:hint="eastAsia" w:ascii="仿宋_GB2312" w:hAnsi="仿宋_GB2312" w:eastAsia="仿宋_GB2312" w:cs="仿宋_GB2312"/>
        </w:rPr>
        <w:t>一批数字化车间，</w:t>
      </w:r>
      <w:r>
        <w:rPr>
          <w:rFonts w:hint="eastAsia" w:ascii="仿宋_GB2312" w:hAnsi="仿宋_GB2312" w:eastAsia="仿宋_GB2312" w:cs="仿宋_GB2312"/>
          <w:lang w:val="en-US" w:eastAsia="zh-CN"/>
        </w:rPr>
        <w:t>培育若干</w:t>
      </w:r>
      <w:r>
        <w:rPr>
          <w:rFonts w:hint="eastAsia" w:ascii="仿宋_GB2312" w:hAnsi="仿宋_GB2312" w:eastAsia="仿宋_GB2312" w:cs="仿宋_GB2312"/>
        </w:rPr>
        <w:t>智能工厂、智慧园区和智慧景区，助力全市制造业</w:t>
      </w:r>
      <w:r>
        <w:rPr>
          <w:rFonts w:hint="eastAsia" w:ascii="仿宋_GB2312" w:hAnsi="仿宋_GB2312" w:eastAsia="仿宋_GB2312" w:cs="仿宋_GB2312"/>
          <w:lang w:val="en-US" w:eastAsia="zh-CN"/>
        </w:rPr>
        <w:t>与</w:t>
      </w:r>
      <w:r>
        <w:rPr>
          <w:rFonts w:hint="eastAsia" w:ascii="仿宋_GB2312" w:hAnsi="仿宋_GB2312" w:eastAsia="仿宋_GB2312" w:cs="仿宋_GB2312"/>
        </w:rPr>
        <w:t>服务业实现数字化转型、智能化升级发展。</w:t>
      </w:r>
    </w:p>
    <w:p w14:paraId="66B08668">
      <w:pPr>
        <w:bidi w:val="0"/>
        <w:rPr>
          <w:rFonts w:hint="eastAsia" w:ascii="仿宋_GB2312" w:hAnsi="仿宋_GB2312" w:eastAsia="仿宋_GB2312" w:cs="仿宋_GB2312"/>
        </w:rPr>
      </w:pPr>
      <w:r>
        <w:rPr>
          <w:rFonts w:hint="eastAsia" w:ascii="仿宋_GB2312" w:hAnsi="仿宋_GB2312" w:eastAsia="仿宋_GB2312" w:cs="仿宋_GB2312"/>
          <w:b/>
          <w:bCs/>
        </w:rPr>
        <w:t>推动数字资源要素集聚</w:t>
      </w:r>
      <w:r>
        <w:rPr>
          <w:rFonts w:hint="eastAsia" w:ascii="仿宋_GB2312" w:hAnsi="仿宋_GB2312" w:eastAsia="仿宋_GB2312" w:cs="仿宋_GB2312"/>
          <w:b/>
          <w:bCs/>
          <w:lang w:val="en-US" w:eastAsia="zh-CN"/>
        </w:rPr>
        <w:t>与</w:t>
      </w:r>
      <w:r>
        <w:rPr>
          <w:rFonts w:hint="eastAsia" w:ascii="仿宋_GB2312" w:hAnsi="仿宋_GB2312" w:eastAsia="仿宋_GB2312" w:cs="仿宋_GB2312"/>
          <w:b/>
          <w:bCs/>
        </w:rPr>
        <w:t>服务能力建设。</w:t>
      </w:r>
      <w:r>
        <w:rPr>
          <w:rFonts w:hint="eastAsia" w:ascii="仿宋_GB2312" w:hAnsi="仿宋_GB2312" w:eastAsia="仿宋_GB2312" w:cs="仿宋_GB2312"/>
        </w:rPr>
        <w:t>依托富锦市智慧城市指挥中心及其接入的数字城管、应急指挥、智慧供水、智慧交通等多部门指挥系统</w:t>
      </w:r>
      <w:r>
        <w:rPr>
          <w:rFonts w:hint="eastAsia" w:ascii="仿宋_GB2312" w:hAnsi="仿宋_GB2312" w:eastAsia="仿宋_GB2312" w:cs="仿宋_GB2312"/>
          <w:lang w:val="en-US" w:eastAsia="zh-CN"/>
        </w:rPr>
        <w:t>与</w:t>
      </w:r>
      <w:r>
        <w:rPr>
          <w:rFonts w:hint="eastAsia" w:ascii="仿宋_GB2312" w:hAnsi="仿宋_GB2312" w:eastAsia="仿宋_GB2312" w:cs="仿宋_GB2312"/>
        </w:rPr>
        <w:t>平台，加快</w:t>
      </w:r>
      <w:r>
        <w:rPr>
          <w:rFonts w:hint="eastAsia" w:ascii="仿宋_GB2312" w:hAnsi="仿宋_GB2312" w:eastAsia="仿宋_GB2312" w:cs="仿宋_GB2312"/>
          <w:lang w:val="en-US" w:eastAsia="zh-CN"/>
        </w:rPr>
        <w:t>完善</w:t>
      </w:r>
      <w:r>
        <w:rPr>
          <w:rFonts w:hint="eastAsia" w:ascii="仿宋_GB2312" w:hAnsi="仿宋_GB2312" w:eastAsia="仿宋_GB2312" w:cs="仿宋_GB2312"/>
        </w:rPr>
        <w:t>全市公共数据归集共享常态化工作机制，优化公共数据共享</w:t>
      </w:r>
      <w:r>
        <w:rPr>
          <w:rFonts w:hint="eastAsia" w:ascii="仿宋_GB2312" w:hAnsi="仿宋_GB2312" w:eastAsia="仿宋_GB2312" w:cs="仿宋_GB2312"/>
          <w:lang w:eastAsia="zh-CN"/>
        </w:rPr>
        <w:t>、</w:t>
      </w:r>
      <w:r>
        <w:rPr>
          <w:rFonts w:hint="eastAsia" w:ascii="仿宋_GB2312" w:hAnsi="仿宋_GB2312" w:eastAsia="仿宋_GB2312" w:cs="仿宋_GB2312"/>
        </w:rPr>
        <w:t>应用</w:t>
      </w:r>
      <w:r>
        <w:rPr>
          <w:rFonts w:hint="eastAsia" w:ascii="仿宋_GB2312" w:hAnsi="仿宋_GB2312" w:eastAsia="仿宋_GB2312" w:cs="仿宋_GB2312"/>
          <w:lang w:val="en-US" w:eastAsia="zh-CN"/>
        </w:rPr>
        <w:t>与</w:t>
      </w:r>
      <w:r>
        <w:rPr>
          <w:rFonts w:hint="eastAsia" w:ascii="仿宋_GB2312" w:hAnsi="仿宋_GB2312" w:eastAsia="仿宋_GB2312" w:cs="仿宋_GB2312"/>
        </w:rPr>
        <w:t>开发利用流程，赋能各单位业务创新和行业</w:t>
      </w:r>
      <w:r>
        <w:rPr>
          <w:rFonts w:hint="eastAsia" w:ascii="仿宋_GB2312" w:hAnsi="仿宋_GB2312" w:eastAsia="仿宋_GB2312" w:cs="仿宋_GB2312"/>
          <w:lang w:val="en-US" w:eastAsia="zh-CN"/>
        </w:rPr>
        <w:t>转型升级</w:t>
      </w:r>
      <w:r>
        <w:rPr>
          <w:rFonts w:hint="eastAsia" w:ascii="仿宋_GB2312" w:hAnsi="仿宋_GB2312" w:eastAsia="仿宋_GB2312" w:cs="仿宋_GB2312"/>
        </w:rPr>
        <w:t>。依托产业互联网等行业赋能平台，汇聚农产品全产业链数据、进出口资源能源集散交易数据、新能源发电数据等</w:t>
      </w:r>
      <w:r>
        <w:rPr>
          <w:rFonts w:hint="eastAsia" w:ascii="仿宋_GB2312" w:hAnsi="仿宋_GB2312" w:eastAsia="仿宋_GB2312" w:cs="仿宋_GB2312"/>
          <w:lang w:val="en-US" w:eastAsia="zh-CN"/>
        </w:rPr>
        <w:t>多元</w:t>
      </w:r>
      <w:r>
        <w:rPr>
          <w:rFonts w:hint="eastAsia" w:ascii="仿宋_GB2312" w:hAnsi="仿宋_GB2312" w:eastAsia="仿宋_GB2312" w:cs="仿宋_GB2312"/>
        </w:rPr>
        <w:t>数据</w:t>
      </w:r>
      <w:r>
        <w:rPr>
          <w:rFonts w:hint="eastAsia" w:ascii="仿宋_GB2312" w:hAnsi="仿宋_GB2312" w:eastAsia="仿宋_GB2312" w:cs="仿宋_GB2312"/>
          <w:lang w:val="en-US" w:eastAsia="zh-CN"/>
        </w:rPr>
        <w:t>资源</w:t>
      </w:r>
      <w:r>
        <w:rPr>
          <w:rFonts w:hint="eastAsia" w:ascii="仿宋_GB2312" w:hAnsi="仿宋_GB2312" w:eastAsia="仿宋_GB2312" w:cs="仿宋_GB2312"/>
        </w:rPr>
        <w:t>，打造全市“产业大脑”共享数据平台，</w:t>
      </w:r>
      <w:r>
        <w:rPr>
          <w:rFonts w:hint="eastAsia" w:ascii="仿宋_GB2312" w:hAnsi="仿宋_GB2312" w:eastAsia="仿宋_GB2312" w:cs="仿宋_GB2312"/>
          <w:lang w:val="en-US" w:eastAsia="zh-CN"/>
        </w:rPr>
        <w:t>提供</w:t>
      </w:r>
      <w:r>
        <w:rPr>
          <w:rFonts w:hint="eastAsia" w:ascii="仿宋_GB2312" w:hAnsi="仿宋_GB2312" w:eastAsia="仿宋_GB2312" w:cs="仿宋_GB2312"/>
        </w:rPr>
        <w:t>数据采集、存储、清洗、计算</w:t>
      </w:r>
      <w:r>
        <w:rPr>
          <w:rFonts w:hint="eastAsia" w:ascii="仿宋_GB2312" w:hAnsi="仿宋_GB2312" w:eastAsia="仿宋_GB2312" w:cs="仿宋_GB2312"/>
          <w:lang w:val="en-US" w:eastAsia="zh-CN"/>
        </w:rPr>
        <w:t>与</w:t>
      </w:r>
      <w:r>
        <w:rPr>
          <w:rFonts w:hint="eastAsia" w:ascii="仿宋_GB2312" w:hAnsi="仿宋_GB2312" w:eastAsia="仿宋_GB2312" w:cs="仿宋_GB2312"/>
        </w:rPr>
        <w:t>交易等大数据服务，推动产业大数据与农产品深加工、畜禽乳、风电等富锦特色产业全周期、全链条</w:t>
      </w:r>
      <w:r>
        <w:rPr>
          <w:rFonts w:hint="eastAsia" w:ascii="仿宋_GB2312" w:hAnsi="仿宋_GB2312" w:eastAsia="仿宋_GB2312" w:cs="仿宋_GB2312"/>
          <w:lang w:val="en-US" w:eastAsia="zh-CN"/>
        </w:rPr>
        <w:t>深度融合</w:t>
      </w:r>
      <w:r>
        <w:rPr>
          <w:rFonts w:hint="eastAsia" w:ascii="仿宋_GB2312" w:hAnsi="仿宋_GB2312" w:eastAsia="仿宋_GB2312" w:cs="仿宋_GB2312"/>
        </w:rPr>
        <w:t>，率先</w:t>
      </w:r>
      <w:r>
        <w:rPr>
          <w:rFonts w:hint="eastAsia" w:ascii="仿宋_GB2312" w:hAnsi="仿宋_GB2312" w:eastAsia="仿宋_GB2312" w:cs="仿宋_GB2312"/>
          <w:lang w:val="en-US" w:eastAsia="zh-CN"/>
        </w:rPr>
        <w:t>基于</w:t>
      </w:r>
      <w:r>
        <w:rPr>
          <w:rFonts w:hint="eastAsia" w:ascii="仿宋_GB2312" w:hAnsi="仿宋_GB2312" w:eastAsia="仿宋_GB2312" w:cs="仿宋_GB2312"/>
        </w:rPr>
        <w:t>农产品交易</w:t>
      </w:r>
      <w:r>
        <w:rPr>
          <w:rFonts w:hint="eastAsia" w:ascii="仿宋_GB2312" w:hAnsi="仿宋_GB2312" w:eastAsia="仿宋_GB2312" w:cs="仿宋_GB2312"/>
          <w:lang w:val="en-US" w:eastAsia="zh-CN"/>
        </w:rPr>
        <w:t>与</w:t>
      </w:r>
      <w:r>
        <w:rPr>
          <w:rFonts w:hint="eastAsia" w:ascii="仿宋_GB2312" w:hAnsi="仿宋_GB2312" w:eastAsia="仿宋_GB2312" w:cs="仿宋_GB2312"/>
        </w:rPr>
        <w:t>溯源数据拓展分析应用场景，</w:t>
      </w:r>
      <w:r>
        <w:rPr>
          <w:rFonts w:hint="eastAsia" w:ascii="仿宋_GB2312" w:hAnsi="仿宋_GB2312" w:eastAsia="仿宋_GB2312" w:cs="仿宋_GB2312"/>
          <w:lang w:val="en-US" w:eastAsia="zh-CN"/>
        </w:rPr>
        <w:t>充分释放数据要素价值</w:t>
      </w:r>
      <w:r>
        <w:rPr>
          <w:rFonts w:hint="eastAsia" w:ascii="仿宋_GB2312" w:hAnsi="仿宋_GB2312" w:eastAsia="仿宋_GB2312" w:cs="仿宋_GB2312"/>
        </w:rPr>
        <w:t>。推动</w:t>
      </w:r>
      <w:r>
        <w:rPr>
          <w:rFonts w:hint="eastAsia" w:ascii="仿宋_GB2312" w:hAnsi="仿宋_GB2312" w:eastAsia="仿宋_GB2312" w:cs="仿宋_GB2312"/>
          <w:lang w:val="en-US" w:eastAsia="zh-CN"/>
        </w:rPr>
        <w:t>城市公共数据</w:t>
      </w:r>
      <w:r>
        <w:rPr>
          <w:rFonts w:hint="eastAsia" w:ascii="仿宋_GB2312" w:hAnsi="仿宋_GB2312" w:eastAsia="仿宋_GB2312" w:cs="仿宋_GB2312"/>
        </w:rPr>
        <w:t>与</w:t>
      </w:r>
      <w:r>
        <w:rPr>
          <w:rFonts w:hint="eastAsia" w:ascii="仿宋_GB2312" w:hAnsi="仿宋_GB2312" w:eastAsia="仿宋_GB2312" w:cs="仿宋_GB2312"/>
          <w:lang w:val="en-US" w:eastAsia="zh-CN"/>
        </w:rPr>
        <w:t>产业数据互联融合</w:t>
      </w:r>
      <w:r>
        <w:rPr>
          <w:rFonts w:hint="eastAsia" w:ascii="仿宋_GB2312" w:hAnsi="仿宋_GB2312" w:eastAsia="仿宋_GB2312" w:cs="仿宋_GB2312"/>
        </w:rPr>
        <w:t>，</w:t>
      </w:r>
      <w:r>
        <w:rPr>
          <w:rFonts w:hint="eastAsia" w:ascii="仿宋_GB2312" w:hAnsi="仿宋_GB2312" w:eastAsia="仿宋_GB2312" w:cs="仿宋_GB2312"/>
          <w:lang w:val="en-US" w:eastAsia="zh-CN"/>
        </w:rPr>
        <w:t>提升</w:t>
      </w:r>
      <w:r>
        <w:rPr>
          <w:rFonts w:hint="eastAsia" w:ascii="仿宋_GB2312" w:hAnsi="仿宋_GB2312" w:eastAsia="仿宋_GB2312" w:cs="仿宋_GB2312"/>
        </w:rPr>
        <w:t>政府城市</w:t>
      </w:r>
      <w:r>
        <w:rPr>
          <w:rFonts w:hint="eastAsia" w:ascii="仿宋_GB2312" w:hAnsi="仿宋_GB2312" w:cs="仿宋_GB2312"/>
          <w:lang w:eastAsia="zh-CN"/>
        </w:rPr>
        <w:t>治理效能</w:t>
      </w:r>
      <w:r>
        <w:rPr>
          <w:rFonts w:hint="eastAsia" w:ascii="仿宋_GB2312" w:hAnsi="仿宋_GB2312" w:eastAsia="仿宋_GB2312" w:cs="仿宋_GB2312"/>
        </w:rPr>
        <w:t>和县域经济发展</w:t>
      </w:r>
      <w:r>
        <w:rPr>
          <w:rFonts w:hint="eastAsia" w:ascii="仿宋_GB2312" w:hAnsi="仿宋_GB2312" w:eastAsia="仿宋_GB2312" w:cs="仿宋_GB2312"/>
          <w:lang w:val="en-US" w:eastAsia="zh-CN"/>
        </w:rPr>
        <w:t>水平</w:t>
      </w:r>
      <w:r>
        <w:rPr>
          <w:rFonts w:hint="eastAsia" w:ascii="仿宋_GB2312" w:hAnsi="仿宋_GB2312" w:eastAsia="仿宋_GB2312" w:cs="仿宋_GB2312"/>
        </w:rPr>
        <w:t>，进一步促进</w:t>
      </w:r>
      <w:r>
        <w:rPr>
          <w:rFonts w:hint="eastAsia" w:ascii="仿宋_GB2312" w:hAnsi="仿宋_GB2312" w:eastAsia="仿宋_GB2312" w:cs="仿宋_GB2312"/>
          <w:lang w:val="en-US" w:eastAsia="zh-CN"/>
        </w:rPr>
        <w:t>数字技术与实体经济融合发展</w:t>
      </w:r>
      <w:r>
        <w:rPr>
          <w:rFonts w:hint="eastAsia" w:ascii="仿宋_GB2312" w:hAnsi="仿宋_GB2312" w:eastAsia="仿宋_GB2312" w:cs="仿宋_GB2312"/>
          <w:lang w:eastAsia="zh-CN"/>
        </w:rPr>
        <w:t>。</w:t>
      </w:r>
      <w:r>
        <w:rPr>
          <w:rFonts w:hint="eastAsia" w:ascii="仿宋_GB2312" w:hAnsi="仿宋_GB2312" w:eastAsia="仿宋_GB2312" w:cs="仿宋_GB2312"/>
        </w:rPr>
        <w:t>积极</w:t>
      </w:r>
      <w:r>
        <w:rPr>
          <w:rFonts w:hint="eastAsia" w:ascii="仿宋_GB2312" w:hAnsi="仿宋_GB2312" w:eastAsia="仿宋_GB2312" w:cs="仿宋_GB2312"/>
          <w:lang w:val="en-US" w:eastAsia="zh-CN"/>
        </w:rPr>
        <w:t>对接</w:t>
      </w:r>
      <w:r>
        <w:rPr>
          <w:rFonts w:hint="eastAsia" w:ascii="仿宋_GB2312" w:hAnsi="仿宋_GB2312" w:eastAsia="仿宋_GB2312" w:cs="仿宋_GB2312"/>
        </w:rPr>
        <w:t>重庆大龙网科技集团等数字经济企业，</w:t>
      </w:r>
      <w:r>
        <w:rPr>
          <w:rFonts w:hint="eastAsia" w:ascii="仿宋_GB2312" w:hAnsi="仿宋_GB2312" w:eastAsia="仿宋_GB2312" w:cs="仿宋_GB2312"/>
          <w:lang w:val="en-US" w:eastAsia="zh-CN"/>
        </w:rPr>
        <w:t>加快</w:t>
      </w:r>
      <w:r>
        <w:rPr>
          <w:rFonts w:hint="eastAsia" w:ascii="仿宋_GB2312" w:hAnsi="仿宋_GB2312" w:eastAsia="仿宋_GB2312" w:cs="仿宋_GB2312"/>
        </w:rPr>
        <w:t>推动龙工场数字贸易产业基地等项目落地</w:t>
      </w:r>
      <w:r>
        <w:rPr>
          <w:rFonts w:hint="eastAsia" w:ascii="仿宋_GB2312" w:hAnsi="仿宋_GB2312" w:eastAsia="仿宋_GB2312" w:cs="仿宋_GB2312"/>
          <w:lang w:val="en-US" w:eastAsia="zh-CN"/>
        </w:rPr>
        <w:t>实施</w:t>
      </w:r>
      <w:r>
        <w:rPr>
          <w:rFonts w:hint="eastAsia" w:ascii="仿宋_GB2312" w:hAnsi="仿宋_GB2312" w:eastAsia="仿宋_GB2312" w:cs="仿宋_GB2312"/>
        </w:rPr>
        <w:t>。</w:t>
      </w:r>
    </w:p>
    <w:p w14:paraId="3F71E66A">
      <w:pPr>
        <w:bidi w:val="0"/>
        <w:rPr>
          <w:rFonts w:hint="eastAsia" w:ascii="仿宋_GB2312" w:hAnsi="仿宋_GB2312" w:eastAsia="仿宋_GB2312" w:cs="仿宋_GB2312"/>
        </w:rPr>
      </w:pPr>
    </w:p>
    <w:tbl>
      <w:tblPr>
        <w:tblStyle w:val="20"/>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10C39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vAlign w:val="center"/>
          </w:tcPr>
          <w:p w14:paraId="61EE748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黑体" w:cs="Times New Roman"/>
                <w:sz w:val="24"/>
              </w:rPr>
            </w:pPr>
            <w:r>
              <w:rPr>
                <w:rFonts w:hint="eastAsia" w:ascii="黑体" w:hAnsi="黑体" w:eastAsia="黑体" w:cs="黑体"/>
                <w:sz w:val="24"/>
                <w:szCs w:val="22"/>
              </w:rPr>
              <w:t>专栏</w:t>
            </w:r>
            <w:r>
              <w:rPr>
                <w:rFonts w:hint="eastAsia" w:ascii="黑体" w:hAnsi="黑体" w:eastAsia="黑体" w:cs="黑体"/>
                <w:sz w:val="24"/>
                <w:szCs w:val="22"/>
                <w:lang w:val="en-US" w:eastAsia="zh-CN"/>
              </w:rPr>
              <w:t>4</w:t>
            </w:r>
            <w:r>
              <w:rPr>
                <w:rFonts w:hint="eastAsia" w:ascii="黑体" w:hAnsi="黑体" w:eastAsia="黑体" w:cs="黑体"/>
                <w:sz w:val="24"/>
                <w:szCs w:val="22"/>
              </w:rPr>
              <w:t>-</w:t>
            </w:r>
            <w:r>
              <w:rPr>
                <w:rFonts w:hint="eastAsia" w:ascii="黑体" w:hAnsi="黑体" w:eastAsia="黑体" w:cs="黑体"/>
                <w:sz w:val="24"/>
                <w:szCs w:val="22"/>
                <w:lang w:val="en-US" w:eastAsia="zh-CN"/>
              </w:rPr>
              <w:t>2</w:t>
            </w:r>
            <w:r>
              <w:rPr>
                <w:rFonts w:hint="eastAsia" w:ascii="黑体" w:hAnsi="黑体" w:eastAsia="黑体" w:cs="黑体"/>
                <w:sz w:val="24"/>
                <w:szCs w:val="22"/>
              </w:rPr>
              <w:t xml:space="preserve">  </w:t>
            </w:r>
            <w:r>
              <w:rPr>
                <w:rFonts w:hint="eastAsia" w:ascii="黑体" w:hAnsi="黑体" w:eastAsia="黑体" w:cs="黑体"/>
                <w:sz w:val="24"/>
                <w:szCs w:val="22"/>
                <w:lang w:val="en-US" w:eastAsia="zh-CN"/>
              </w:rPr>
              <w:t>新兴产业培育</w:t>
            </w:r>
            <w:r>
              <w:rPr>
                <w:rFonts w:hint="eastAsia" w:ascii="黑体" w:hAnsi="黑体" w:eastAsia="黑体" w:cs="黑体"/>
                <w:sz w:val="24"/>
                <w:szCs w:val="22"/>
              </w:rPr>
              <w:t>重点工程</w:t>
            </w:r>
          </w:p>
        </w:tc>
      </w:tr>
      <w:tr w14:paraId="53A27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7BA82DCA">
            <w:pPr>
              <w:pStyle w:val="8"/>
              <w:bidi w:val="0"/>
              <w:rPr>
                <w:rFonts w:hint="eastAsia"/>
                <w:lang w:val="en-US" w:eastAsia="zh-CN"/>
              </w:rPr>
            </w:pPr>
            <w:r>
              <w:rPr>
                <w:rFonts w:hint="eastAsia" w:ascii="楷体_GB2312" w:hAnsi="楷体_GB2312" w:eastAsia="楷体_GB2312" w:cs="楷体_GB2312"/>
                <w:b/>
                <w:bCs/>
                <w:lang w:val="en-US" w:eastAsia="zh-CN"/>
              </w:rPr>
              <w:t>1.低空经济产业培育工程</w:t>
            </w:r>
            <w:r>
              <w:rPr>
                <w:rFonts w:hint="eastAsia" w:ascii="楷体_GB2312" w:hAnsi="楷体_GB2312" w:eastAsia="楷体_GB2312" w:cs="楷体_GB2312"/>
                <w:b/>
                <w:bCs/>
              </w:rPr>
              <w:t>。</w:t>
            </w:r>
            <w:r>
              <w:rPr>
                <w:rFonts w:hint="eastAsia"/>
                <w:lang w:val="en-US" w:eastAsia="zh-CN"/>
              </w:rPr>
              <w:t>重点推动无人机在农业领域的规模化应用，优先构建无人机植保与施肥、精准飞播撒种、农田监测等低空农业应用场景，推进“无人机配送进村”试点，打造“智慧农业无人机应用示范区”。围绕多类型空域管理创新，申报“黑龙江低空空域综合改革试验区”。建设区域性飞行服务保障中心和低空经济实训基地。合理布局建设各类起降枢纽，包括无人机起降点、区域性综合服务场站和低空飞行营地等。构建覆盖市域的低空航路网络，同步升级完善通信导航设施，搭建低空智能管控平台。</w:t>
            </w:r>
          </w:p>
          <w:p w14:paraId="0F4DBFC8">
            <w:pPr>
              <w:pStyle w:val="8"/>
              <w:bidi w:val="0"/>
              <w:rPr>
                <w:rFonts w:hint="eastAsia"/>
                <w:lang w:val="en-US" w:eastAsia="zh-CN"/>
              </w:rPr>
            </w:pPr>
            <w:r>
              <w:rPr>
                <w:rFonts w:hint="eastAsia" w:ascii="楷体_GB2312" w:hAnsi="楷体_GB2312" w:eastAsia="楷体_GB2312" w:cs="楷体_GB2312"/>
                <w:b/>
                <w:bCs/>
                <w:lang w:val="en-US" w:eastAsia="zh-CN"/>
              </w:rPr>
              <w:t>2.国家级农业低空应用中心创建工程。</w:t>
            </w:r>
            <w:r>
              <w:rPr>
                <w:rFonts w:hint="eastAsia"/>
                <w:lang w:val="en-US" w:eastAsia="zh-CN"/>
              </w:rPr>
              <w:t>建设集成农用无人机销售、租赁、维修、培训等功能的区域性装备服务基地，打造集植保、施肥、播种、农情监测、产品吊运等应用场景示范区，通过申报国省级农业社会化服务、农机购置补贴等项目争取政策支持，与合作社、农场合作，推广“低空飞手”服务模式，并探索牵头编制寒地农业低空应用技术规范，确立行业标杆。</w:t>
            </w:r>
          </w:p>
          <w:p w14:paraId="7A0C1E70">
            <w:pPr>
              <w:pStyle w:val="8"/>
              <w:bidi w:val="0"/>
              <w:rPr>
                <w:rFonts w:hint="default"/>
                <w:lang w:val="en-US" w:eastAsia="zh-CN"/>
              </w:rPr>
            </w:pPr>
            <w:r>
              <w:rPr>
                <w:rFonts w:hint="eastAsia" w:ascii="楷体_GB2312" w:hAnsi="楷体_GB2312" w:eastAsia="楷体_GB2312" w:cs="楷体_GB2312"/>
                <w:b/>
                <w:bCs/>
                <w:lang w:val="en-US" w:eastAsia="zh-CN"/>
              </w:rPr>
              <w:t>3.寒地低空实验室建设项目。</w:t>
            </w:r>
            <w:r>
              <w:rPr>
                <w:rFonts w:hint="eastAsia"/>
                <w:lang w:val="en-US" w:eastAsia="zh-CN"/>
              </w:rPr>
              <w:t>通过争取成为省级或国家级民用无人驾驶航空寒带应用拓展试验区，联合高校及科研院所，设立“寒地低空实验室”，共同承担寒带适航技术研发项目，聚焦寒地专用电池、材料、飞控系统等关键技术攻关，并面向全国无人机企业提供有偿测试、认证与中试服务。</w:t>
            </w:r>
          </w:p>
          <w:p w14:paraId="748E5A92">
            <w:pPr>
              <w:pStyle w:val="8"/>
              <w:bidi w:val="0"/>
              <w:rPr>
                <w:rFonts w:hint="eastAsia" w:ascii="楷体_GB2312" w:hAnsi="楷体_GB2312" w:eastAsia="楷体_GB2312" w:cs="楷体_GB2312"/>
              </w:rPr>
            </w:pPr>
            <w:r>
              <w:rPr>
                <w:rFonts w:hint="eastAsia" w:ascii="楷体_GB2312" w:hAnsi="楷体_GB2312" w:eastAsia="楷体_GB2312" w:cs="楷体_GB2312"/>
                <w:b/>
                <w:bCs/>
                <w:lang w:val="en-US" w:eastAsia="zh-CN"/>
              </w:rPr>
              <w:t>4.智能农机补链强基工程。</w:t>
            </w:r>
            <w:r>
              <w:rPr>
                <w:rFonts w:hint="eastAsia" w:ascii="楷体_GB2312" w:hAnsi="楷体_GB2312" w:eastAsia="楷体_GB2312" w:cs="楷体_GB2312"/>
                <w:lang w:val="en-US" w:eastAsia="zh-CN"/>
              </w:rPr>
              <w:t>推动设立产业基金投向智能农机专项研发，支持农机企业与高校、科研机构深化产学研合作，打造寒地智能农机装备研发制造基地。由政府牵头、联合龙头企业搭建富锦“智能农机产业共享平台”，吸引零部件生产与配套服务企业落户富锦。支持企业试点建设境外农机技术服务中心。</w:t>
            </w:r>
          </w:p>
          <w:p w14:paraId="708D72B4">
            <w:pPr>
              <w:pStyle w:val="8"/>
              <w:bidi w:val="0"/>
              <w:rPr>
                <w:rFonts w:hint="default" w:ascii="Times New Roman" w:hAnsi="Times New Roman" w:eastAsia="楷体" w:cs="Times New Roman"/>
                <w:lang w:val="en-US"/>
              </w:rPr>
            </w:pPr>
            <w:r>
              <w:rPr>
                <w:rFonts w:hint="eastAsia" w:ascii="楷体_GB2312" w:hAnsi="楷体_GB2312" w:eastAsia="楷体_GB2312" w:cs="楷体_GB2312"/>
                <w:b/>
                <w:bCs/>
                <w:lang w:val="en-US" w:eastAsia="zh-CN"/>
              </w:rPr>
              <w:t>5.数字经济突破赋能工程。</w:t>
            </w:r>
            <w:r>
              <w:rPr>
                <w:rFonts w:hint="eastAsia" w:ascii="楷体_GB2312" w:hAnsi="楷体_GB2312" w:eastAsia="楷体_GB2312" w:cs="楷体_GB2312"/>
                <w:lang w:val="en-US" w:eastAsia="zh-CN"/>
              </w:rPr>
              <w:t>持续加强农村偏远地区5G基站建设，推进“双千兆”网络全面覆盖。加快引进光电制造企业落户富锦，打造以光电产业为核心的数字经济制造基地。升级富锦现有农业大数据服务平台，打造覆盖全市的“农业大脑”。支持企业实施数字化、智能化改造，建设一批数字化车间。建设全市“产业大脑”共享数据平台，推动产业大数据与富锦特色产业深度融合。</w:t>
            </w:r>
          </w:p>
        </w:tc>
      </w:tr>
    </w:tbl>
    <w:p w14:paraId="4FA6C466">
      <w:pPr>
        <w:pStyle w:val="3"/>
        <w:keepNext w:val="0"/>
        <w:keepLines w:val="0"/>
        <w:widowControl/>
        <w:spacing w:line="240" w:lineRule="auto"/>
        <w:ind w:left="0" w:leftChars="0" w:firstLine="0" w:firstLineChars="0"/>
        <w:jc w:val="center"/>
        <w:rPr>
          <w:rFonts w:ascii="Times New Roman" w:hAnsi="Times New Roman" w:eastAsia="楷体_GB2312" w:cs="楷体_GB2312"/>
          <w:u w:val="none"/>
          <w:shd w:val="clear" w:fill="auto"/>
        </w:rPr>
      </w:pPr>
      <w:bookmarkStart w:id="31" w:name="_Toc19819"/>
      <w:r>
        <w:rPr>
          <w:rFonts w:hint="eastAsia" w:ascii="Times New Roman" w:hAnsi="Times New Roman" w:eastAsia="楷体_GB2312" w:cs="楷体_GB2312"/>
          <w:u w:val="none"/>
          <w:shd w:val="clear" w:fill="auto"/>
        </w:rPr>
        <w:t xml:space="preserve">第四节  </w:t>
      </w:r>
      <w:r>
        <w:rPr>
          <w:rFonts w:hint="eastAsia" w:ascii="Times New Roman" w:hAnsi="Times New Roman" w:eastAsia="楷体_GB2312" w:cs="楷体_GB2312"/>
          <w:u w:val="none"/>
          <w:shd w:val="clear" w:fill="auto"/>
          <w:lang w:val="en-US" w:eastAsia="zh-CN"/>
        </w:rPr>
        <w:t>强化产业协同联动</w:t>
      </w:r>
      <w:r>
        <w:rPr>
          <w:rFonts w:hint="eastAsia" w:ascii="Times New Roman" w:hAnsi="Times New Roman" w:eastAsia="楷体_GB2312" w:cs="楷体_GB2312"/>
          <w:u w:val="none"/>
          <w:shd w:val="clear" w:fill="auto"/>
        </w:rPr>
        <w:t>，</w:t>
      </w:r>
      <w:r>
        <w:rPr>
          <w:rFonts w:hint="eastAsia" w:ascii="Times New Roman" w:hAnsi="Times New Roman" w:eastAsia="楷体_GB2312" w:cs="楷体_GB2312"/>
          <w:u w:val="none"/>
          <w:shd w:val="clear" w:fill="auto"/>
          <w:lang w:val="en-US" w:eastAsia="zh-CN"/>
        </w:rPr>
        <w:t>升级</w:t>
      </w:r>
      <w:r>
        <w:rPr>
          <w:rFonts w:hint="eastAsia" w:ascii="Times New Roman" w:hAnsi="Times New Roman" w:eastAsia="楷体_GB2312" w:cs="楷体_GB2312"/>
          <w:u w:val="none"/>
          <w:shd w:val="clear" w:fill="auto"/>
        </w:rPr>
        <w:t>“</w:t>
      </w:r>
      <w:r>
        <w:rPr>
          <w:rFonts w:hint="eastAsia" w:ascii="Times New Roman" w:hAnsi="Times New Roman" w:eastAsia="楷体_GB2312" w:cs="楷体_GB2312"/>
          <w:u w:val="none"/>
          <w:shd w:val="clear" w:fill="auto"/>
          <w:lang w:val="en-US" w:eastAsia="zh-CN"/>
        </w:rPr>
        <w:t>三大现代服务业</w:t>
      </w:r>
      <w:r>
        <w:rPr>
          <w:rFonts w:hint="eastAsia" w:ascii="Times New Roman" w:hAnsi="Times New Roman" w:eastAsia="楷体_GB2312" w:cs="楷体_GB2312"/>
          <w:u w:val="none"/>
          <w:shd w:val="clear" w:fill="auto"/>
        </w:rPr>
        <w:t>”</w:t>
      </w:r>
      <w:bookmarkEnd w:id="31"/>
    </w:p>
    <w:p w14:paraId="1F5AA18F">
      <w:pPr>
        <w:bidi w:val="0"/>
        <w:rPr>
          <w:rFonts w:hint="eastAsia" w:ascii="仿宋_GB2312" w:hAnsi="仿宋_GB2312" w:eastAsia="仿宋_GB2312" w:cs="仿宋_GB2312"/>
        </w:rPr>
      </w:pPr>
      <w:r>
        <w:rPr>
          <w:rFonts w:hint="eastAsia" w:ascii="仿宋_GB2312" w:hAnsi="仿宋_GB2312" w:eastAsia="仿宋_GB2312" w:cs="仿宋_GB2312"/>
          <w:lang w:val="en-US" w:eastAsia="zh-CN"/>
        </w:rPr>
        <w:t>紧扣国家“实施服务业扩能提质行动”战略部署，</w:t>
      </w:r>
      <w:r>
        <w:rPr>
          <w:rFonts w:hint="eastAsia" w:ascii="仿宋_GB2312" w:hAnsi="仿宋_GB2312" w:eastAsia="仿宋_GB2312" w:cs="仿宋_GB2312"/>
        </w:rPr>
        <w:t>全面深化服务业供给侧结构性改革，依托生态资源禀赋和历史文化底蕴，着力构建全域旅游发展体系，强化商贸物流区域枢纽功能建设，积极培育跨境贸易、电子商务等新业态，打造高质量多元化现代服务业发展新格局。</w:t>
      </w:r>
    </w:p>
    <w:p w14:paraId="2441905D">
      <w:pPr>
        <w:bidi w:val="0"/>
        <w:rPr>
          <w:rFonts w:hint="default" w:ascii="仿宋_GB2312" w:hAnsi="仿宋_GB2312" w:eastAsia="仿宋_GB2312" w:cs="仿宋_GB2312"/>
          <w:b/>
          <w:bCs/>
          <w:lang w:val="en-US" w:eastAsia="zh-CN"/>
        </w:rPr>
      </w:pPr>
      <w:r>
        <w:rPr>
          <w:rFonts w:hint="eastAsia" w:ascii="仿宋_GB2312" w:hAnsi="仿宋_GB2312" w:eastAsia="仿宋_GB2312" w:cs="仿宋_GB2312"/>
          <w:b/>
          <w:bCs/>
        </w:rPr>
        <w:t>一、</w:t>
      </w:r>
      <w:r>
        <w:rPr>
          <w:rFonts w:hint="eastAsia" w:ascii="仿宋_GB2312" w:hAnsi="仿宋_GB2312" w:cs="仿宋_GB2312"/>
          <w:b/>
          <w:bCs/>
          <w:lang w:val="en-US" w:eastAsia="zh-CN"/>
        </w:rPr>
        <w:t>推进文化旅游产业发展</w:t>
      </w:r>
    </w:p>
    <w:p w14:paraId="69190BFE">
      <w:pPr>
        <w:bidi w:val="0"/>
        <w:rPr>
          <w:rFonts w:hint="eastAsia" w:ascii="仿宋_GB2312" w:hAnsi="仿宋_GB2312" w:eastAsia="仿宋_GB2312" w:cs="仿宋_GB2312"/>
        </w:rPr>
      </w:pPr>
      <w:r>
        <w:rPr>
          <w:rFonts w:hint="eastAsia" w:ascii="仿宋_GB2312" w:hAnsi="仿宋_GB2312" w:eastAsia="仿宋_GB2312" w:cs="仿宋_GB2312"/>
          <w:lang w:val="en-US" w:eastAsia="zh-CN"/>
        </w:rPr>
        <w:t>瞄准“农业+生态”两大优势领域，开发全域旅游精品路线，</w:t>
      </w:r>
      <w:r>
        <w:rPr>
          <w:rFonts w:hint="eastAsia" w:ascii="仿宋_GB2312" w:hAnsi="仿宋_GB2312" w:eastAsia="仿宋_GB2312" w:cs="仿宋_GB2312"/>
        </w:rPr>
        <w:t>着力构建全域旅游新体系</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打造农旅研学目的地和三江平原旅游消费中心城市。</w:t>
      </w:r>
    </w:p>
    <w:p w14:paraId="3B6CC251">
      <w:pPr>
        <w:bidi w:val="0"/>
        <w:rPr>
          <w:rFonts w:hint="eastAsia" w:ascii="仿宋_GB2312" w:hAnsi="仿宋_GB2312" w:eastAsia="仿宋_GB2312" w:cs="仿宋_GB2312"/>
        </w:rPr>
      </w:pPr>
      <w:r>
        <w:rPr>
          <w:rFonts w:hint="eastAsia" w:ascii="仿宋_GB2312" w:hAnsi="仿宋_GB2312" w:eastAsia="仿宋_GB2312" w:cs="仿宋_GB2312"/>
          <w:b/>
          <w:bCs/>
        </w:rPr>
        <w:t>优化全域旅游空间布局。</w:t>
      </w:r>
      <w:r>
        <w:rPr>
          <w:rFonts w:hint="eastAsia" w:ascii="仿宋_GB2312" w:hAnsi="仿宋_GB2312" w:eastAsia="仿宋_GB2312" w:cs="仿宋_GB2312"/>
        </w:rPr>
        <w:t>秉持“农业为核、生态为基、文化为魂”理念，重点推进农业研学和生态旅游两大领域，着力构建“一核引领、三区协同、四廊联动”的空间格局。强化“一核”枢纽功能。突出“三区”特色发展。以松花江沿线为主的旅游综合服务片区，重点发展城市休闲、工业观光、滨水度假，布局现代工业观光园、松花江水上度假体验区等，强化“城旅共生”；以锦山镇、长安镇等为主的</w:t>
      </w:r>
      <w:r>
        <w:rPr>
          <w:rFonts w:hint="eastAsia" w:ascii="仿宋_GB2312" w:hAnsi="仿宋_GB2312" w:eastAsia="仿宋_GB2312" w:cs="仿宋_GB2312"/>
          <w:lang w:val="en-US" w:eastAsia="zh-CN"/>
        </w:rPr>
        <w:t>富锦</w:t>
      </w:r>
      <w:r>
        <w:rPr>
          <w:rFonts w:hint="eastAsia" w:ascii="仿宋_GB2312" w:hAnsi="仿宋_GB2312" w:eastAsia="仿宋_GB2312" w:cs="仿宋_GB2312"/>
        </w:rPr>
        <w:t>特色游憩片区，围绕万亩水稻公园、富锦国家湿地公园等，打造农业研学、生态观光、科普教育集群，升级稻田马拉松等特色业态；以砚山镇、向阳川镇等为主的乡村振兴聚力片区，依托革命烈士陵园、张进思殉难地纪念碑、五顶山森林公园等红色资源，发展红色文化研学。打造“四廊道”联动网络。以农旅研学体验廊、富锦农旅风情廊、特色乡村休闲廊为纽带，串联重点景区、乡村聚落、产业园区，实现“景城、景乡、景产”无缝衔接，形成“全域皆景、移步换景”的空间形态。</w:t>
      </w:r>
    </w:p>
    <w:p w14:paraId="261A5680">
      <w:pPr>
        <w:pStyle w:val="8"/>
        <w:spacing w:line="240" w:lineRule="auto"/>
        <w:ind w:firstLine="0" w:firstLineChars="0"/>
        <w:jc w:val="center"/>
        <w:rPr>
          <w:rFonts w:hint="eastAsia" w:ascii="仿宋" w:hAnsi="仿宋" w:eastAsia="仿宋" w:cs="仿宋"/>
          <w:sz w:val="32"/>
          <w:szCs w:val="32"/>
          <w:u w:val="none"/>
          <w:shd w:val="clear" w:fill="auto"/>
        </w:rPr>
      </w:pPr>
      <w:r>
        <w:rPr>
          <w:rFonts w:hint="eastAsia" w:ascii="仿宋" w:hAnsi="仿宋" w:eastAsia="仿宋" w:cs="仿宋"/>
          <w:sz w:val="32"/>
          <w:szCs w:val="32"/>
          <w:u w:val="none"/>
          <w:shd w:val="clear" w:fill="auto"/>
        </w:rPr>
        <w:drawing>
          <wp:inline distT="0" distB="0" distL="0" distR="0">
            <wp:extent cx="4972050" cy="3675380"/>
            <wp:effectExtent l="0" t="0" r="0" b="1270"/>
            <wp:docPr id="61785893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858931" name="图片 1"/>
                    <pic:cNvPicPr>
                      <a:picLocks noChangeAspect="1"/>
                    </pic:cNvPicPr>
                  </pic:nvPicPr>
                  <pic:blipFill>
                    <a:blip r:embed="rId13"/>
                    <a:stretch>
                      <a:fillRect/>
                    </a:stretch>
                  </pic:blipFill>
                  <pic:spPr>
                    <a:xfrm>
                      <a:off x="0" y="0"/>
                      <a:ext cx="4972050" cy="3675380"/>
                    </a:xfrm>
                    <a:prstGeom prst="rect">
                      <a:avLst/>
                    </a:prstGeom>
                  </pic:spPr>
                </pic:pic>
              </a:graphicData>
            </a:graphic>
          </wp:inline>
        </w:drawing>
      </w:r>
    </w:p>
    <w:p w14:paraId="0407CE2E">
      <w:pPr>
        <w:pStyle w:val="6"/>
        <w:jc w:val="center"/>
        <w:rPr>
          <w:rFonts w:hint="eastAsia" w:ascii="仿宋" w:hAnsi="仿宋" w:eastAsia="仿宋" w:cs="仿宋"/>
          <w:sz w:val="32"/>
          <w:szCs w:val="32"/>
          <w:u w:val="none"/>
          <w:shd w:val="clear" w:fill="auto"/>
        </w:rPr>
      </w:pPr>
      <w:r>
        <w:rPr>
          <w:rFonts w:hint="eastAsia" w:ascii="仿宋" w:hAnsi="仿宋" w:eastAsia="仿宋" w:cs="仿宋"/>
          <w:u w:val="none"/>
          <w:shd w:val="clear" w:fill="auto"/>
        </w:rPr>
        <w:t xml:space="preserve">图 </w:t>
      </w:r>
      <w:r>
        <w:rPr>
          <w:rFonts w:hint="eastAsia" w:ascii="仿宋" w:hAnsi="仿宋" w:eastAsia="仿宋" w:cs="仿宋"/>
          <w:u w:val="none"/>
          <w:shd w:val="clear" w:fill="auto"/>
        </w:rPr>
        <w:fldChar w:fldCharType="begin"/>
      </w:r>
      <w:r>
        <w:rPr>
          <w:rFonts w:hint="eastAsia" w:ascii="仿宋" w:hAnsi="仿宋" w:eastAsia="仿宋" w:cs="仿宋"/>
          <w:u w:val="none"/>
          <w:shd w:val="clear" w:fill="auto"/>
        </w:rPr>
        <w:instrText xml:space="preserve"> SEQ 图 \* ARABIC </w:instrText>
      </w:r>
      <w:r>
        <w:rPr>
          <w:rFonts w:hint="eastAsia" w:ascii="仿宋" w:hAnsi="仿宋" w:eastAsia="仿宋" w:cs="仿宋"/>
          <w:u w:val="none"/>
          <w:shd w:val="clear" w:fill="auto"/>
        </w:rPr>
        <w:fldChar w:fldCharType="separate"/>
      </w:r>
      <w:r>
        <w:rPr>
          <w:rFonts w:hint="eastAsia" w:ascii="仿宋" w:hAnsi="仿宋" w:eastAsia="仿宋" w:cs="仿宋"/>
          <w:u w:val="none"/>
          <w:shd w:val="clear" w:fill="auto"/>
        </w:rPr>
        <w:t>2</w:t>
      </w:r>
      <w:r>
        <w:rPr>
          <w:rFonts w:hint="eastAsia" w:ascii="仿宋" w:hAnsi="仿宋" w:eastAsia="仿宋" w:cs="仿宋"/>
          <w:u w:val="none"/>
          <w:shd w:val="clear" w:fill="auto"/>
        </w:rPr>
        <w:fldChar w:fldCharType="end"/>
      </w:r>
      <w:r>
        <w:rPr>
          <w:rFonts w:hint="eastAsia" w:ascii="仿宋" w:hAnsi="仿宋" w:eastAsia="仿宋" w:cs="仿宋"/>
          <w:u w:val="none"/>
          <w:shd w:val="clear" w:fill="auto"/>
        </w:rPr>
        <w:t xml:space="preserve">  富锦市全域旅游总体规划图</w:t>
      </w:r>
    </w:p>
    <w:p w14:paraId="0387A8FC">
      <w:pPr>
        <w:bidi w:val="0"/>
        <w:rPr>
          <w:rFonts w:hint="eastAsia" w:ascii="仿宋_GB2312" w:hAnsi="仿宋_GB2312" w:eastAsia="仿宋_GB2312" w:cs="仿宋_GB2312"/>
        </w:rPr>
      </w:pPr>
      <w:r>
        <w:rPr>
          <w:rFonts w:hint="eastAsia" w:ascii="仿宋_GB2312" w:hAnsi="仿宋_GB2312" w:eastAsia="仿宋_GB2312" w:cs="仿宋_GB2312"/>
          <w:b/>
          <w:bCs/>
        </w:rPr>
        <w:t>打造文旅融合新“IP”。</w:t>
      </w:r>
      <w:r>
        <w:rPr>
          <w:rFonts w:hint="eastAsia" w:ascii="仿宋_GB2312" w:hAnsi="仿宋_GB2312" w:eastAsia="仿宋_GB2312" w:cs="仿宋_GB2312"/>
        </w:rPr>
        <w:t>深度融入“华夏东极”品牌体系，整合农业资源、国家湿地、红色文化、绿色低碳等核心要素，构建“农旅研学+生态湿地+</w:t>
      </w:r>
      <w:r>
        <w:rPr>
          <w:rFonts w:hint="eastAsia" w:ascii="仿宋_GB2312" w:hAnsi="仿宋_GB2312" w:eastAsia="仿宋_GB2312" w:cs="仿宋_GB2312"/>
          <w:lang w:val="en-US" w:eastAsia="zh-CN"/>
        </w:rPr>
        <w:t>富锦</w:t>
      </w:r>
      <w:r>
        <w:rPr>
          <w:rFonts w:hint="eastAsia" w:ascii="仿宋_GB2312" w:hAnsi="仿宋_GB2312" w:eastAsia="仿宋_GB2312" w:cs="仿宋_GB2312"/>
        </w:rPr>
        <w:t>特色节事活动”三位一体品牌体系</w:t>
      </w:r>
      <w:r>
        <w:rPr>
          <w:rFonts w:hint="eastAsia" w:ascii="仿宋_GB2312" w:hAnsi="仿宋_GB2312" w:cs="仿宋_GB2312"/>
          <w:lang w:eastAsia="zh-CN"/>
        </w:rPr>
        <w:t>，</w:t>
      </w:r>
      <w:r>
        <w:rPr>
          <w:rFonts w:hint="eastAsia" w:ascii="仿宋_GB2312" w:hAnsi="仿宋_GB2312" w:eastAsia="仿宋_GB2312" w:cs="仿宋_GB2312"/>
        </w:rPr>
        <w:t>着力培育东极</w:t>
      </w:r>
      <w:r>
        <w:rPr>
          <w:rFonts w:hint="eastAsia" w:ascii="仿宋_GB2312" w:hAnsi="仿宋_GB2312" w:eastAsia="仿宋_GB2312" w:cs="仿宋_GB2312"/>
          <w:lang w:val="en-US" w:eastAsia="zh-CN"/>
        </w:rPr>
        <w:t>富锦</w:t>
      </w:r>
      <w:r>
        <w:rPr>
          <w:rFonts w:hint="eastAsia" w:ascii="仿宋_GB2312" w:hAnsi="仿宋_GB2312" w:eastAsia="仿宋_GB2312" w:cs="仿宋_GB2312"/>
        </w:rPr>
        <w:t>特色旅游新亮点。聚焦打造农工旅研学核心IP，以完善未来农业科技互动与农旅生活体验等研学体系为核心，全面推进万亩水稻公园提档升级，</w:t>
      </w:r>
      <w:r>
        <w:rPr>
          <w:rFonts w:hint="eastAsia" w:ascii="仿宋_GB2312" w:hAnsi="仿宋_GB2312" w:cs="仿宋_GB2312"/>
          <w:lang w:val="en-US" w:eastAsia="zh-CN"/>
        </w:rPr>
        <w:t>完善</w:t>
      </w:r>
      <w:r>
        <w:rPr>
          <w:rFonts w:hint="eastAsia" w:ascii="仿宋_GB2312" w:hAnsi="仿宋_GB2312" w:eastAsia="仿宋_GB2312" w:cs="仿宋_GB2312"/>
        </w:rPr>
        <w:t>农业科技馆，同步开发特色种植园、户外亲子厨房等特色体验</w:t>
      </w:r>
      <w:r>
        <w:rPr>
          <w:rFonts w:hint="eastAsia" w:ascii="仿宋_GB2312" w:hAnsi="仿宋_GB2312" w:cs="仿宋_GB2312"/>
          <w:lang w:eastAsia="zh-CN"/>
        </w:rPr>
        <w:t>。</w:t>
      </w:r>
      <w:r>
        <w:rPr>
          <w:rFonts w:hint="eastAsia" w:ascii="仿宋_GB2312" w:hAnsi="仿宋_GB2312" w:eastAsia="仿宋_GB2312" w:cs="仿宋_GB2312"/>
        </w:rPr>
        <w:t>整合特色养殖，打造富锦萌兽主题互动体验区</w:t>
      </w:r>
      <w:r>
        <w:rPr>
          <w:rFonts w:hint="eastAsia" w:ascii="仿宋_GB2312" w:hAnsi="仿宋_GB2312" w:cs="仿宋_GB2312"/>
          <w:lang w:eastAsia="zh-CN"/>
        </w:rPr>
        <w:t>；</w:t>
      </w:r>
      <w:r>
        <w:rPr>
          <w:rFonts w:hint="eastAsia" w:ascii="仿宋_GB2312" w:hAnsi="仿宋_GB2312" w:eastAsia="仿宋_GB2312" w:cs="仿宋_GB2312"/>
        </w:rPr>
        <w:t>优化</w:t>
      </w:r>
      <w:r>
        <w:rPr>
          <w:rFonts w:hint="eastAsia" w:ascii="仿宋_GB2312" w:hAnsi="仿宋_GB2312" w:cs="仿宋_GB2312"/>
          <w:lang w:val="en-US" w:eastAsia="zh-CN"/>
        </w:rPr>
        <w:t>富锦国家湿地公园</w:t>
      </w:r>
      <w:r>
        <w:rPr>
          <w:rFonts w:hint="eastAsia" w:ascii="仿宋_GB2312" w:hAnsi="仿宋_GB2312" w:eastAsia="仿宋_GB2312" w:cs="仿宋_GB2312"/>
        </w:rPr>
        <w:t>“一池、二亭、五区”观光载体升级</w:t>
      </w:r>
      <w:r>
        <w:rPr>
          <w:rFonts w:hint="eastAsia" w:ascii="仿宋_GB2312" w:hAnsi="仿宋_GB2312" w:cs="仿宋_GB2312"/>
          <w:lang w:eastAsia="zh-CN"/>
        </w:rPr>
        <w:t>，</w:t>
      </w:r>
      <w:r>
        <w:rPr>
          <w:rFonts w:hint="eastAsia" w:ascii="仿宋_GB2312" w:hAnsi="仿宋_GB2312" w:eastAsia="仿宋_GB2312" w:cs="仿宋_GB2312"/>
        </w:rPr>
        <w:t>结合慢跑、竞走等</w:t>
      </w:r>
      <w:r>
        <w:rPr>
          <w:rFonts w:hint="eastAsia" w:ascii="仿宋_GB2312" w:hAnsi="仿宋_GB2312" w:eastAsia="仿宋_GB2312" w:cs="仿宋_GB2312"/>
          <w:lang w:val="en-US" w:eastAsia="zh-CN"/>
        </w:rPr>
        <w:t>康体</w:t>
      </w:r>
      <w:r>
        <w:rPr>
          <w:rFonts w:hint="eastAsia" w:ascii="仿宋_GB2312" w:hAnsi="仿宋_GB2312" w:eastAsia="仿宋_GB2312" w:cs="仿宋_GB2312"/>
        </w:rPr>
        <w:t>运动，推进生态跑道升级；积极引导大锦农、同城酒文化体验馆等企业开放生产车间，融入研学教育、科普展示等业态，配套建设参观廊道、产品展示中心；挖掘五顶山森林公园等红色资源，开发红色主题研学旅行产品；开发“新农民的一天”等特色课程，着力打造农工旅研学体验示范区。培育</w:t>
      </w:r>
      <w:r>
        <w:rPr>
          <w:rFonts w:hint="eastAsia" w:ascii="仿宋_GB2312" w:hAnsi="仿宋_GB2312" w:cs="仿宋_GB2312"/>
          <w:lang w:val="en-US" w:eastAsia="zh-CN"/>
        </w:rPr>
        <w:t>滨江景观带等重点文旅</w:t>
      </w:r>
      <w:r>
        <w:rPr>
          <w:rFonts w:hint="eastAsia" w:ascii="仿宋_GB2312" w:hAnsi="仿宋_GB2312" w:eastAsia="仿宋_GB2312" w:cs="仿宋_GB2312"/>
        </w:rPr>
        <w:t>IP，</w:t>
      </w:r>
      <w:r>
        <w:rPr>
          <w:rFonts w:hint="eastAsia" w:ascii="仿宋_GB2312" w:hAnsi="仿宋_GB2312" w:eastAsia="仿宋_GB2312" w:cs="仿宋_GB2312"/>
          <w:lang w:val="en-US" w:eastAsia="zh-CN"/>
        </w:rPr>
        <w:t>选择适宜区域，</w:t>
      </w:r>
      <w:r>
        <w:rPr>
          <w:rFonts w:hint="eastAsia" w:ascii="仿宋_GB2312" w:hAnsi="仿宋_GB2312" w:eastAsia="仿宋_GB2312" w:cs="仿宋_GB2312"/>
        </w:rPr>
        <w:t>配套完善自驾露营、草地影院、</w:t>
      </w:r>
      <w:r>
        <w:rPr>
          <w:rFonts w:hint="eastAsia" w:ascii="仿宋_GB2312" w:hAnsi="仿宋_GB2312" w:cs="仿宋_GB2312"/>
          <w:lang w:val="en-US" w:eastAsia="zh-CN"/>
        </w:rPr>
        <w:t>太空舱</w:t>
      </w:r>
      <w:r>
        <w:rPr>
          <w:rFonts w:hint="eastAsia" w:ascii="仿宋_GB2312" w:hAnsi="仿宋_GB2312" w:eastAsia="仿宋_GB2312" w:cs="仿宋_GB2312"/>
        </w:rPr>
        <w:t>等设施</w:t>
      </w:r>
      <w:r>
        <w:rPr>
          <w:rFonts w:hint="eastAsia" w:ascii="仿宋_GB2312" w:hAnsi="仿宋_GB2312" w:cs="仿宋_GB2312"/>
          <w:lang w:eastAsia="zh-CN"/>
        </w:rPr>
        <w:t>，</w:t>
      </w:r>
      <w:r>
        <w:rPr>
          <w:rFonts w:hint="eastAsia" w:ascii="仿宋_GB2312" w:hAnsi="仿宋_GB2312" w:eastAsia="仿宋_GB2312" w:cs="仿宋_GB2312"/>
        </w:rPr>
        <w:t>通过夜景提升、文化快闪、机光盛宴等夜游形式演绎“富锦之光”；以“冰雪+</w:t>
      </w:r>
      <w:r>
        <w:rPr>
          <w:rFonts w:hint="eastAsia" w:ascii="仿宋_GB2312" w:hAnsi="仿宋_GB2312" w:cs="仿宋_GB2312"/>
          <w:lang w:val="en-US" w:eastAsia="zh-CN"/>
        </w:rPr>
        <w:t>潮玩</w:t>
      </w:r>
      <w:r>
        <w:rPr>
          <w:rFonts w:hint="eastAsia" w:ascii="仿宋_GB2312" w:hAnsi="仿宋_GB2312" w:eastAsia="仿宋_GB2312" w:cs="仿宋_GB2312"/>
        </w:rPr>
        <w:t>+</w:t>
      </w:r>
      <w:r>
        <w:rPr>
          <w:rFonts w:hint="eastAsia" w:ascii="仿宋_GB2312" w:hAnsi="仿宋_GB2312" w:cs="仿宋_GB2312"/>
          <w:lang w:val="en-US" w:eastAsia="zh-CN"/>
        </w:rPr>
        <w:t>国风</w:t>
      </w:r>
      <w:r>
        <w:rPr>
          <w:rFonts w:hint="eastAsia" w:ascii="仿宋_GB2312" w:hAnsi="仿宋_GB2312" w:eastAsia="仿宋_GB2312" w:cs="仿宋_GB2312"/>
        </w:rPr>
        <w:t>”</w:t>
      </w:r>
      <w:r>
        <w:rPr>
          <w:rFonts w:hint="eastAsia" w:ascii="仿宋_GB2312" w:hAnsi="仿宋_GB2312" w:cs="仿宋_GB2312"/>
          <w:lang w:eastAsia="zh-CN"/>
        </w:rPr>
        <w:t>，</w:t>
      </w:r>
      <w:r>
        <w:rPr>
          <w:rFonts w:hint="eastAsia" w:ascii="仿宋_GB2312" w:hAnsi="仿宋_GB2312" w:eastAsia="仿宋_GB2312" w:cs="仿宋_GB2312"/>
        </w:rPr>
        <w:t>有序推进大连乐奇冒险世界主题乐园建设</w:t>
      </w:r>
      <w:r>
        <w:rPr>
          <w:rFonts w:hint="eastAsia" w:ascii="仿宋_GB2312" w:hAnsi="仿宋_GB2312" w:cs="仿宋_GB2312"/>
          <w:lang w:eastAsia="zh-CN"/>
        </w:rPr>
        <w:t>，</w:t>
      </w:r>
      <w:r>
        <w:rPr>
          <w:rFonts w:hint="eastAsia" w:ascii="仿宋_GB2312" w:hAnsi="仿宋_GB2312" w:cs="仿宋_GB2312"/>
          <w:lang w:val="en-US" w:eastAsia="zh-CN"/>
        </w:rPr>
        <w:t>推动冰雪项目升级，打造</w:t>
      </w:r>
      <w:r>
        <w:rPr>
          <w:rFonts w:hint="eastAsia" w:ascii="仿宋_GB2312" w:hAnsi="仿宋_GB2312" w:eastAsia="仿宋_GB2312" w:cs="仿宋_GB2312"/>
        </w:rPr>
        <w:t>娱乐综合体</w:t>
      </w:r>
      <w:r>
        <w:rPr>
          <w:rFonts w:hint="eastAsia" w:ascii="仿宋_GB2312" w:hAnsi="仿宋_GB2312" w:cs="仿宋_GB2312"/>
          <w:lang w:eastAsia="zh-CN"/>
        </w:rPr>
        <w:t>。</w:t>
      </w:r>
      <w:r>
        <w:rPr>
          <w:rFonts w:hint="eastAsia" w:ascii="仿宋_GB2312" w:hAnsi="仿宋_GB2312" w:eastAsia="仿宋_GB2312" w:cs="仿宋_GB2312"/>
        </w:rPr>
        <w:t>创新策划节事活动引流IP，常态化举办</w:t>
      </w:r>
      <w:r>
        <w:rPr>
          <w:rFonts w:hint="eastAsia" w:ascii="仿宋_GB2312" w:hAnsi="仿宋_GB2312" w:cs="仿宋_GB2312"/>
          <w:lang w:eastAsia="zh-CN"/>
        </w:rPr>
        <w:t>“</w:t>
      </w:r>
      <w:r>
        <w:rPr>
          <w:rFonts w:hint="eastAsia" w:ascii="仿宋_GB2312" w:hAnsi="仿宋_GB2312" w:cs="仿宋_GB2312"/>
          <w:lang w:val="en-US" w:eastAsia="zh-CN"/>
        </w:rPr>
        <w:t>大型秧歌会演</w:t>
      </w:r>
      <w:r>
        <w:rPr>
          <w:rFonts w:hint="eastAsia" w:ascii="仿宋_GB2312" w:hAnsi="仿宋_GB2312" w:cs="仿宋_GB2312"/>
          <w:lang w:eastAsia="zh-CN"/>
        </w:rPr>
        <w:t>”</w:t>
      </w:r>
      <w:r>
        <w:rPr>
          <w:rFonts w:hint="eastAsia" w:ascii="仿宋_GB2312" w:hAnsi="仿宋_GB2312" w:eastAsia="仿宋_GB2312" w:cs="仿宋_GB2312"/>
        </w:rPr>
        <w:t>“稻田音乐</w:t>
      </w:r>
      <w:r>
        <w:rPr>
          <w:rFonts w:hint="eastAsia" w:ascii="仿宋_GB2312" w:hAnsi="仿宋_GB2312" w:eastAsia="仿宋_GB2312" w:cs="仿宋_GB2312"/>
          <w:lang w:val="en-US" w:eastAsia="zh-CN"/>
        </w:rPr>
        <w:t>会</w:t>
      </w:r>
      <w:r>
        <w:rPr>
          <w:rFonts w:hint="eastAsia" w:ascii="仿宋_GB2312" w:hAnsi="仿宋_GB2312" w:eastAsia="仿宋_GB2312" w:cs="仿宋_GB2312"/>
        </w:rPr>
        <w:t>”</w:t>
      </w:r>
      <w:r>
        <w:rPr>
          <w:rFonts w:hint="eastAsia" w:ascii="仿宋_GB2312" w:hAnsi="仿宋_GB2312" w:cs="仿宋_GB2312"/>
          <w:lang w:eastAsia="zh-CN"/>
        </w:rPr>
        <w:t>“</w:t>
      </w:r>
      <w:r>
        <w:rPr>
          <w:rFonts w:hint="eastAsia" w:ascii="仿宋_GB2312" w:hAnsi="仿宋_GB2312" w:cs="仿宋_GB2312"/>
          <w:lang w:val="en-US" w:eastAsia="zh-CN"/>
        </w:rPr>
        <w:t>马拉松</w:t>
      </w:r>
      <w:r>
        <w:rPr>
          <w:rFonts w:hint="eastAsia" w:ascii="仿宋_GB2312" w:hAnsi="仿宋_GB2312" w:cs="仿宋_GB2312"/>
          <w:lang w:eastAsia="zh-CN"/>
        </w:rPr>
        <w:t>”</w:t>
      </w:r>
      <w:r>
        <w:rPr>
          <w:rFonts w:hint="eastAsia" w:ascii="仿宋_GB2312" w:hAnsi="仿宋_GB2312" w:eastAsia="仿宋_GB2312" w:cs="仿宋_GB2312"/>
        </w:rPr>
        <w:t>等特色活动，提升品牌曝光度与游客参与度。着力强化三江文化特色休闲体验，深挖北大荒文化、红色文化、知青文化、多民族文化内涵，重点打造非遗工坊等特色文化项目</w:t>
      </w:r>
      <w:r>
        <w:rPr>
          <w:rFonts w:hint="eastAsia" w:ascii="仿宋_GB2312" w:hAnsi="仿宋_GB2312" w:cs="仿宋_GB2312"/>
          <w:lang w:eastAsia="zh-CN"/>
        </w:rPr>
        <w:t>，</w:t>
      </w:r>
      <w:r>
        <w:rPr>
          <w:rFonts w:hint="eastAsia" w:ascii="仿宋_GB2312" w:hAnsi="仿宋_GB2312" w:cs="仿宋_GB2312"/>
          <w:lang w:val="en-US" w:eastAsia="zh-CN"/>
        </w:rPr>
        <w:t>不断完善图书馆总分馆建设，打造“阅见美好、书香富锦”全民阅读品牌</w:t>
      </w:r>
      <w:r>
        <w:rPr>
          <w:rFonts w:hint="eastAsia" w:ascii="仿宋_GB2312" w:hAnsi="仿宋_GB2312" w:eastAsia="仿宋_GB2312" w:cs="仿宋_GB2312"/>
        </w:rPr>
        <w:t>。</w:t>
      </w:r>
    </w:p>
    <w:p w14:paraId="362A552C">
      <w:pPr>
        <w:bidi w:val="0"/>
        <w:rPr>
          <w:rFonts w:hint="default" w:ascii="仿宋_GB2312" w:hAnsi="仿宋_GB2312" w:eastAsia="仿宋_GB2312" w:cs="仿宋_GB2312"/>
          <w:b/>
          <w:bCs/>
          <w:lang w:val="en-US" w:eastAsia="zh-CN"/>
        </w:rPr>
      </w:pPr>
      <w:r>
        <w:rPr>
          <w:rFonts w:hint="eastAsia" w:ascii="仿宋_GB2312" w:hAnsi="仿宋_GB2312" w:eastAsia="仿宋_GB2312" w:cs="仿宋_GB2312"/>
          <w:b/>
          <w:bCs/>
        </w:rPr>
        <w:t>全面提升旅游综合服务能力。</w:t>
      </w:r>
      <w:r>
        <w:rPr>
          <w:rFonts w:hint="eastAsia" w:ascii="仿宋_GB2312" w:hAnsi="仿宋_GB2312" w:cs="仿宋_GB2312"/>
          <w:b w:val="0"/>
          <w:bCs w:val="0"/>
          <w:lang w:val="en-US" w:eastAsia="zh-CN"/>
        </w:rPr>
        <w:t>系统推进城市IP定位策划，提炼独特品牌内涵，精心设计城市品牌LOGO，确保视觉呈现兼具文化底蕴与现代美感，并拓展IP延展应用；统筹推进城市伴手礼策划，深入挖掘具有富锦特色、代表性的产品，组合作为富锦名片推出，从产品规划选品到包装、文案等，打造兼具实用性与纪念价值的城市伴手礼；同步推出旅游网络消费平台、全域旅游小程序、旅游信息动态地图、个性定制旅游路线等智慧化升级。</w:t>
      </w:r>
      <w:r>
        <w:rPr>
          <w:rFonts w:hint="eastAsia" w:ascii="仿宋_GB2312" w:hAnsi="仿宋_GB2312" w:eastAsia="仿宋_GB2312" w:cs="仿宋_GB2312"/>
        </w:rPr>
        <w:t>全面提升基础设施服务品质，构建“低空飞行+骑行绿道”特色交通网络，开通景区直通车、湿地旅游专线，完善自驾车营地配套、优化旅游标识导览系统；培育特色住宿体系，推进旅游厕所标准化改造，精心设计主题旅游路线，提升旅游体验感。</w:t>
      </w:r>
    </w:p>
    <w:p w14:paraId="1ADC2416">
      <w:pPr>
        <w:bidi w:val="0"/>
        <w:rPr>
          <w:rFonts w:hint="default" w:ascii="仿宋_GB2312" w:hAnsi="仿宋_GB2312" w:eastAsia="仿宋_GB2312" w:cs="仿宋_GB2312"/>
          <w:b/>
          <w:bCs/>
          <w:lang w:val="en-US" w:eastAsia="zh-CN"/>
        </w:rPr>
      </w:pPr>
      <w:r>
        <w:rPr>
          <w:rFonts w:hint="eastAsia" w:ascii="仿宋_GB2312" w:hAnsi="仿宋_GB2312" w:eastAsia="仿宋_GB2312" w:cs="仿宋_GB2312"/>
          <w:b/>
          <w:bCs/>
        </w:rPr>
        <w:t>二、</w:t>
      </w:r>
      <w:r>
        <w:rPr>
          <w:rFonts w:hint="eastAsia" w:ascii="仿宋_GB2312" w:hAnsi="仿宋_GB2312" w:cs="仿宋_GB2312"/>
          <w:b/>
          <w:bCs/>
          <w:lang w:val="en-US" w:eastAsia="zh-CN"/>
        </w:rPr>
        <w:t>推进商贸物流产业发展</w:t>
      </w:r>
    </w:p>
    <w:p w14:paraId="118293CD">
      <w:pPr>
        <w:bidi w:val="0"/>
        <w:rPr>
          <w:rFonts w:hint="eastAsia" w:ascii="仿宋_GB2312" w:hAnsi="仿宋_GB2312" w:eastAsia="仿宋_GB2312" w:cs="仿宋_GB2312"/>
        </w:rPr>
      </w:pPr>
      <w:r>
        <w:rPr>
          <w:rFonts w:hint="eastAsia" w:ascii="仿宋_GB2312" w:hAnsi="仿宋_GB2312" w:eastAsia="仿宋_GB2312" w:cs="仿宋_GB2312"/>
          <w:lang w:val="en-US" w:eastAsia="zh-CN"/>
        </w:rPr>
        <w:t>激发商贸物流新动能，</w:t>
      </w:r>
      <w:r>
        <w:rPr>
          <w:rFonts w:hint="eastAsia" w:ascii="仿宋_GB2312" w:hAnsi="仿宋_GB2312" w:eastAsia="仿宋_GB2312" w:cs="仿宋_GB2312"/>
          <w:lang w:eastAsia="zh-CN"/>
        </w:rPr>
        <w:t>高质量建设</w:t>
      </w:r>
      <w:r>
        <w:rPr>
          <w:rFonts w:hint="eastAsia" w:ascii="仿宋_GB2312" w:hAnsi="仿宋_GB2312" w:eastAsia="仿宋_GB2312" w:cs="仿宋_GB2312"/>
          <w:lang w:val="en-US" w:eastAsia="zh-CN"/>
        </w:rPr>
        <w:t>佳木斯陆港型国家物流枢纽辅助功能区，加强商贸物流综合服务体系建设，推动传统商贸改造升级，加快发展电子商务、专业市场，培育商贸消费新业态。</w:t>
      </w:r>
    </w:p>
    <w:p w14:paraId="10E7F886">
      <w:pPr>
        <w:bidi w:val="0"/>
        <w:rPr>
          <w:rFonts w:hint="eastAsia" w:ascii="仿宋_GB2312" w:hAnsi="仿宋_GB2312" w:eastAsia="仿宋_GB2312" w:cs="仿宋_GB2312"/>
        </w:rPr>
      </w:pPr>
      <w:r>
        <w:rPr>
          <w:rFonts w:hint="eastAsia" w:ascii="仿宋_GB2312" w:hAnsi="仿宋_GB2312" w:eastAsia="仿宋_GB2312" w:cs="仿宋_GB2312"/>
          <w:b/>
          <w:bCs/>
        </w:rPr>
        <w:t>强化区域物流核心枢纽建设。</w:t>
      </w:r>
      <w:r>
        <w:rPr>
          <w:rFonts w:hint="eastAsia" w:ascii="仿宋_GB2312" w:hAnsi="仿宋_GB2312" w:eastAsia="仿宋_GB2312" w:cs="仿宋_GB2312"/>
        </w:rPr>
        <w:t>借助建设佳木斯陆港型国家物流枢纽辅助功能区契机，着力构建“一核二园五中心一区五通道一走廊”物流格局，强化与同江、抚远口岸</w:t>
      </w:r>
      <w:r>
        <w:rPr>
          <w:rFonts w:hint="eastAsia" w:ascii="仿宋_GB2312" w:hAnsi="仿宋_GB2312" w:eastAsia="仿宋_GB2312" w:cs="仿宋_GB2312"/>
          <w:lang w:eastAsia="zh-CN"/>
        </w:rPr>
        <w:t>功能</w:t>
      </w:r>
      <w:r>
        <w:rPr>
          <w:rFonts w:hint="eastAsia" w:ascii="仿宋_GB2312" w:hAnsi="仿宋_GB2312" w:eastAsia="仿宋_GB2312" w:cs="仿宋_GB2312"/>
        </w:rPr>
        <w:t>协同联动，</w:t>
      </w:r>
      <w:r>
        <w:rPr>
          <w:rFonts w:hint="eastAsia" w:ascii="仿宋_GB2312" w:hAnsi="仿宋_GB2312" w:eastAsia="仿宋_GB2312" w:cs="仿宋_GB2312"/>
          <w:lang w:eastAsia="zh-CN"/>
        </w:rPr>
        <w:t>进一步</w:t>
      </w:r>
      <w:r>
        <w:rPr>
          <w:rFonts w:hint="eastAsia" w:ascii="仿宋_GB2312" w:hAnsi="仿宋_GB2312" w:eastAsia="仿宋_GB2312" w:cs="仿宋_GB2312"/>
        </w:rPr>
        <w:t>提升区域性物资储备和集散能力。</w:t>
      </w:r>
    </w:p>
    <w:p w14:paraId="6007D473">
      <w:pPr>
        <w:pStyle w:val="8"/>
        <w:spacing w:line="240" w:lineRule="auto"/>
        <w:ind w:firstLine="0" w:firstLineChars="0"/>
        <w:rPr>
          <w:u w:val="none"/>
          <w:shd w:val="clear" w:fill="auto"/>
        </w:rPr>
      </w:pPr>
      <w:r>
        <w:rPr>
          <w:u w:val="none"/>
          <w:shd w:val="clear" w:fill="auto"/>
        </w:rPr>
        <w:drawing>
          <wp:inline distT="0" distB="0" distL="114300" distR="114300">
            <wp:extent cx="5266690" cy="3509645"/>
            <wp:effectExtent l="0" t="0" r="10160" b="1460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4"/>
                    <a:stretch>
                      <a:fillRect/>
                    </a:stretch>
                  </pic:blipFill>
                  <pic:spPr>
                    <a:xfrm>
                      <a:off x="0" y="0"/>
                      <a:ext cx="5266690" cy="3509645"/>
                    </a:xfrm>
                    <a:prstGeom prst="rect">
                      <a:avLst/>
                    </a:prstGeom>
                    <a:noFill/>
                    <a:ln>
                      <a:noFill/>
                    </a:ln>
                  </pic:spPr>
                </pic:pic>
              </a:graphicData>
            </a:graphic>
          </wp:inline>
        </w:drawing>
      </w:r>
    </w:p>
    <w:p w14:paraId="0587C2E4">
      <w:pPr>
        <w:pStyle w:val="6"/>
        <w:jc w:val="center"/>
        <w:rPr>
          <w:rFonts w:hint="eastAsia" w:ascii="仿宋" w:hAnsi="仿宋" w:eastAsia="仿宋" w:cs="仿宋"/>
          <w:u w:val="none"/>
          <w:shd w:val="clear" w:fill="auto"/>
        </w:rPr>
      </w:pPr>
      <w:r>
        <w:rPr>
          <w:rFonts w:hint="eastAsia" w:ascii="仿宋" w:hAnsi="仿宋" w:eastAsia="仿宋" w:cs="仿宋"/>
          <w:u w:val="none"/>
          <w:shd w:val="clear" w:fill="auto"/>
        </w:rPr>
        <w:t xml:space="preserve">图 </w:t>
      </w:r>
      <w:r>
        <w:rPr>
          <w:rFonts w:hint="eastAsia" w:ascii="仿宋" w:hAnsi="仿宋" w:eastAsia="仿宋" w:cs="仿宋"/>
          <w:u w:val="none"/>
          <w:shd w:val="clear" w:fill="auto"/>
        </w:rPr>
        <w:fldChar w:fldCharType="begin"/>
      </w:r>
      <w:r>
        <w:rPr>
          <w:rFonts w:hint="eastAsia" w:ascii="仿宋" w:hAnsi="仿宋" w:eastAsia="仿宋" w:cs="仿宋"/>
          <w:u w:val="none"/>
          <w:shd w:val="clear" w:fill="auto"/>
        </w:rPr>
        <w:instrText xml:space="preserve"> SEQ 图 \* ARABIC </w:instrText>
      </w:r>
      <w:r>
        <w:rPr>
          <w:rFonts w:hint="eastAsia" w:ascii="仿宋" w:hAnsi="仿宋" w:eastAsia="仿宋" w:cs="仿宋"/>
          <w:u w:val="none"/>
          <w:shd w:val="clear" w:fill="auto"/>
        </w:rPr>
        <w:fldChar w:fldCharType="separate"/>
      </w:r>
      <w:r>
        <w:rPr>
          <w:rFonts w:hint="eastAsia" w:ascii="仿宋" w:hAnsi="仿宋" w:eastAsia="仿宋" w:cs="仿宋"/>
          <w:u w:val="none"/>
          <w:shd w:val="clear" w:fill="auto"/>
        </w:rPr>
        <w:t>3</w:t>
      </w:r>
      <w:r>
        <w:rPr>
          <w:rFonts w:hint="eastAsia" w:ascii="仿宋" w:hAnsi="仿宋" w:eastAsia="仿宋" w:cs="仿宋"/>
          <w:u w:val="none"/>
          <w:shd w:val="clear" w:fill="auto"/>
        </w:rPr>
        <w:fldChar w:fldCharType="end"/>
      </w:r>
      <w:r>
        <w:rPr>
          <w:rFonts w:hint="eastAsia" w:ascii="仿宋" w:hAnsi="仿宋" w:eastAsia="仿宋" w:cs="仿宋"/>
          <w:u w:val="none"/>
          <w:shd w:val="clear" w:fill="auto"/>
        </w:rPr>
        <w:t xml:space="preserve">  富锦市物流枢纽空间布局</w:t>
      </w:r>
    </w:p>
    <w:p w14:paraId="09C6175E">
      <w:pPr>
        <w:bidi w:val="0"/>
        <w:rPr>
          <w:rFonts w:hint="eastAsia" w:ascii="仿宋_GB2312" w:hAnsi="仿宋_GB2312" w:eastAsia="仿宋_GB2312" w:cs="仿宋_GB2312"/>
        </w:rPr>
      </w:pPr>
      <w:r>
        <w:rPr>
          <w:rFonts w:hint="eastAsia" w:ascii="仿宋_GB2312" w:hAnsi="仿宋_GB2312" w:eastAsia="仿宋_GB2312" w:cs="仿宋_GB2312"/>
          <w:b/>
          <w:bCs/>
        </w:rPr>
        <w:t>优化大宗商品物流体系</w:t>
      </w:r>
      <w:r>
        <w:rPr>
          <w:rFonts w:hint="eastAsia" w:ascii="仿宋_GB2312" w:hAnsi="仿宋_GB2312" w:cs="仿宋_GB2312"/>
          <w:b/>
          <w:bCs/>
          <w:lang w:eastAsia="zh-CN"/>
        </w:rPr>
        <w:t>。</w:t>
      </w:r>
      <w:r>
        <w:rPr>
          <w:rFonts w:hint="eastAsia" w:ascii="仿宋_GB2312" w:hAnsi="仿宋_GB2312" w:eastAsia="仿宋_GB2312" w:cs="仿宋_GB2312"/>
        </w:rPr>
        <w:t>加快推进建三江前进物流园区</w:t>
      </w:r>
      <w:r>
        <w:rPr>
          <w:rFonts w:hint="eastAsia" w:ascii="仿宋_GB2312" w:hAnsi="仿宋_GB2312" w:eastAsia="仿宋_GB2312" w:cs="仿宋_GB2312"/>
          <w:lang w:eastAsia="zh-CN"/>
        </w:rPr>
        <w:t>建设，支持万达物流、厦门象屿物流园、华粮富锦粮库等</w:t>
      </w:r>
      <w:r>
        <w:rPr>
          <w:rFonts w:hint="eastAsia" w:ascii="仿宋_GB2312" w:hAnsi="仿宋_GB2312" w:eastAsia="仿宋_GB2312" w:cs="仿宋_GB2312"/>
        </w:rPr>
        <w:t>发展粮食“散改集”运输，</w:t>
      </w:r>
      <w:r>
        <w:rPr>
          <w:rFonts w:hint="eastAsia" w:ascii="仿宋_GB2312" w:hAnsi="仿宋_GB2312" w:eastAsia="仿宋_GB2312" w:cs="仿宋_GB2312"/>
          <w:lang w:eastAsia="zh-CN"/>
        </w:rPr>
        <w:t>进一步优化</w:t>
      </w:r>
      <w:r>
        <w:rPr>
          <w:rFonts w:hint="eastAsia" w:ascii="仿宋_GB2312" w:hAnsi="仿宋_GB2312" w:eastAsia="仿宋_GB2312" w:cs="仿宋_GB2312"/>
        </w:rPr>
        <w:t>铁路、水路</w:t>
      </w:r>
      <w:r>
        <w:rPr>
          <w:rFonts w:hint="eastAsia" w:ascii="仿宋_GB2312" w:hAnsi="仿宋_GB2312" w:eastAsia="仿宋_GB2312" w:cs="仿宋_GB2312"/>
          <w:lang w:eastAsia="zh-CN"/>
        </w:rPr>
        <w:t>多式联运比重，</w:t>
      </w:r>
      <w:r>
        <w:rPr>
          <w:rFonts w:hint="eastAsia" w:ascii="仿宋_GB2312" w:hAnsi="仿宋_GB2312" w:eastAsia="仿宋_GB2312" w:cs="仿宋_GB2312"/>
          <w:lang w:val="en-US" w:eastAsia="zh-CN"/>
        </w:rPr>
        <w:t>引导</w:t>
      </w:r>
      <w:r>
        <w:rPr>
          <w:rFonts w:hint="eastAsia" w:ascii="仿宋_GB2312" w:hAnsi="仿宋_GB2312" w:eastAsia="仿宋_GB2312" w:cs="仿宋_GB2312"/>
        </w:rPr>
        <w:t>象屿金谷、万里利达等企业应用低温储粮、气调储粮技术，形成以粮食物流为特色的农产品大宗物流枢纽</w:t>
      </w:r>
      <w:r>
        <w:rPr>
          <w:rFonts w:hint="eastAsia" w:ascii="仿宋_GB2312" w:hAnsi="仿宋_GB2312" w:eastAsia="仿宋_GB2312" w:cs="仿宋_GB2312"/>
          <w:lang w:eastAsia="zh-CN"/>
        </w:rPr>
        <w:t>。</w:t>
      </w:r>
      <w:r>
        <w:rPr>
          <w:rFonts w:hint="eastAsia" w:ascii="仿宋_GB2312" w:hAnsi="仿宋_GB2312" w:cs="仿宋_GB2312"/>
          <w:lang w:val="en-US" w:eastAsia="zh-CN"/>
        </w:rPr>
        <w:t>依托现有富锦玉米、大豆交割库为基础，联合期货公司、金融机构开展粮食现货交易、期货交割、仓储物流、信息服务等业务，打造集交易、结算、物流、信息于一体的综合性粮食交易平台。</w:t>
      </w:r>
      <w:r>
        <w:rPr>
          <w:rFonts w:hint="eastAsia" w:ascii="仿宋_GB2312" w:hAnsi="仿宋_GB2312" w:eastAsia="仿宋_GB2312" w:cs="仿宋_GB2312"/>
        </w:rPr>
        <w:t>积极培育跨境物流新业态，</w:t>
      </w:r>
      <w:r>
        <w:rPr>
          <w:rFonts w:hint="eastAsia" w:ascii="仿宋_GB2312" w:hAnsi="仿宋_GB2312" w:eastAsia="仿宋_GB2312" w:cs="仿宋_GB2312"/>
          <w:lang w:eastAsia="zh-CN"/>
        </w:rPr>
        <w:t>加快推进保税物流中心（</w:t>
      </w:r>
      <w:r>
        <w:rPr>
          <w:rFonts w:hint="eastAsia" w:ascii="仿宋_GB2312" w:hAnsi="仿宋_GB2312" w:eastAsia="仿宋_GB2312" w:cs="仿宋_GB2312"/>
          <w:lang w:val="en-US" w:eastAsia="zh-CN"/>
        </w:rPr>
        <w:t>B型</w:t>
      </w:r>
      <w:r>
        <w:rPr>
          <w:rFonts w:hint="eastAsia" w:ascii="仿宋_GB2312" w:hAnsi="仿宋_GB2312" w:eastAsia="仿宋_GB2312" w:cs="仿宋_GB2312"/>
          <w:lang w:eastAsia="zh-CN"/>
        </w:rPr>
        <w:t>）建设，</w:t>
      </w:r>
      <w:r>
        <w:rPr>
          <w:rFonts w:hint="eastAsia" w:ascii="仿宋_GB2312" w:hAnsi="仿宋_GB2312" w:eastAsia="仿宋_GB2312" w:cs="仿宋_GB2312"/>
        </w:rPr>
        <w:t>围绕木材、</w:t>
      </w:r>
      <w:r>
        <w:rPr>
          <w:rFonts w:hint="eastAsia" w:ascii="仿宋_GB2312" w:hAnsi="仿宋_GB2312" w:eastAsia="仿宋_GB2312" w:cs="仿宋_GB2312"/>
          <w:lang w:val="en-US" w:eastAsia="zh-CN"/>
        </w:rPr>
        <w:t>天然气、煤炭、</w:t>
      </w:r>
      <w:r>
        <w:rPr>
          <w:rFonts w:hint="eastAsia" w:ascii="仿宋_GB2312" w:hAnsi="仿宋_GB2312" w:eastAsia="仿宋_GB2312" w:cs="仿宋_GB2312"/>
        </w:rPr>
        <w:t>粮食等重点产品，布局建设一批具备国际中转、加工存储、分拨集散、检验检疫等功能于一体的跨境物流仓储加工中心，探索“海外仓+专线物流”“跨境电商+快递包裹”等模式；培育升级冷链物流配送，聚焦高端粮食、有机绿色食品、肉制品等特色农产品，探索发展共享式“田头小站”等移动冷库，创新“互联网+冷链物流”模式，高标准谋划集冷链仓储、配送加工、信息处理等于一体</w:t>
      </w:r>
      <w:r>
        <w:rPr>
          <w:rFonts w:hint="eastAsia" w:ascii="仿宋_GB2312" w:hAnsi="仿宋_GB2312" w:eastAsia="仿宋_GB2312" w:cs="仿宋_GB2312"/>
          <w:lang w:eastAsia="zh-CN"/>
        </w:rPr>
        <w:t>的</w:t>
      </w:r>
      <w:r>
        <w:rPr>
          <w:rFonts w:hint="eastAsia" w:ascii="仿宋_GB2312" w:hAnsi="仿宋_GB2312" w:eastAsia="仿宋_GB2312" w:cs="仿宋_GB2312"/>
        </w:rPr>
        <w:t>现代冷链物流产业园，加快与黑龙江东部地区、俄罗斯远东地区农产品、水产品、肉类等市场联动，建成高效冷链物流配送网络体系。</w:t>
      </w:r>
    </w:p>
    <w:p w14:paraId="41B17AA8">
      <w:pPr>
        <w:bidi w:val="0"/>
        <w:rPr>
          <w:rFonts w:hint="eastAsia" w:ascii="仿宋_GB2312" w:hAnsi="仿宋_GB2312" w:eastAsia="仿宋_GB2312" w:cs="仿宋_GB2312"/>
        </w:rPr>
      </w:pPr>
      <w:r>
        <w:rPr>
          <w:rFonts w:hint="eastAsia" w:ascii="仿宋_GB2312" w:hAnsi="仿宋_GB2312" w:eastAsia="仿宋_GB2312" w:cs="仿宋_GB2312"/>
          <w:b/>
          <w:bCs/>
        </w:rPr>
        <w:t>推动商贸流通提质增效。</w:t>
      </w:r>
      <w:r>
        <w:rPr>
          <w:rFonts w:hint="eastAsia" w:ascii="仿宋_GB2312" w:hAnsi="仿宋_GB2312" w:eastAsia="仿宋_GB2312" w:cs="仿宋_GB2312"/>
        </w:rPr>
        <w:t>构建高效商贸物流配送网络，系统整合快递物流、商贸流通和农资服务等各类主体，完善市、</w:t>
      </w:r>
      <w:r>
        <w:rPr>
          <w:rFonts w:hint="eastAsia" w:ascii="仿宋_GB2312" w:hAnsi="仿宋_GB2312" w:eastAsia="仿宋_GB2312" w:cs="仿宋_GB2312"/>
          <w:lang w:val="en-US" w:eastAsia="zh-CN"/>
        </w:rPr>
        <w:t>镇</w:t>
      </w:r>
      <w:r>
        <w:rPr>
          <w:rFonts w:hint="eastAsia" w:ascii="仿宋_GB2312" w:hAnsi="仿宋_GB2312" w:eastAsia="仿宋_GB2312" w:cs="仿宋_GB2312"/>
        </w:rPr>
        <w:t>、村三级物流配送网络；积极引导大锦农、圣海工贸、万</w:t>
      </w:r>
      <w:r>
        <w:rPr>
          <w:rFonts w:hint="eastAsia" w:ascii="仿宋_GB2312" w:hAnsi="仿宋_GB2312" w:eastAsia="仿宋_GB2312" w:cs="仿宋_GB2312"/>
          <w:lang w:val="en-US" w:eastAsia="zh-CN"/>
        </w:rPr>
        <w:t>里</w:t>
      </w:r>
      <w:r>
        <w:rPr>
          <w:rFonts w:hint="eastAsia" w:ascii="仿宋_GB2312" w:hAnsi="仿宋_GB2312" w:eastAsia="仿宋_GB2312" w:cs="仿宋_GB2312"/>
        </w:rPr>
        <w:t>利达等企业加强与邮政、供销、快递等主体深度合作，优化配置配送资源，创新实施统仓共配、直供直销模式；推广无人机、无人车、自提柜终端设施应用场景。深入推进商贸数字化转型，整合农机汽贸市场、农资专业市场、家具建材市场等资源，打造富锦市综合性商贸物流数字化平台，提供线上店铺搭建、交易结算、客户管理等一站式数字化解决方案，实现全链条信息共享与业务协同；</w:t>
      </w:r>
      <w:r>
        <w:rPr>
          <w:rFonts w:hint="eastAsia" w:ascii="仿宋_GB2312" w:hAnsi="仿宋_GB2312" w:eastAsia="仿宋_GB2312" w:cs="仿宋_GB2312"/>
          <w:lang w:val="en-US" w:eastAsia="zh-CN"/>
        </w:rPr>
        <w:t>引导</w:t>
      </w:r>
      <w:r>
        <w:rPr>
          <w:rFonts w:hint="eastAsia" w:ascii="仿宋_GB2312" w:hAnsi="仿宋_GB2312" w:eastAsia="仿宋_GB2312" w:cs="仿宋_GB2312"/>
        </w:rPr>
        <w:t>商户利用直播电商、短视频营销等新兴手段拓展销售渠道；推动物联网技术在物流配送、仓储管理等环节应用，实现供应链全链路可视化管理。加快推进专业市场多元化升级，建立健全农机汽贸售前、售中及售后全流程服务体系，重点引进新能源农业机械、农用航空器、农业信息化设备等新兴产品，拓展农机配件市场，构建完善的农机配件供应体系；强化农资产品的质量监管力度，重点加大生物肥料、生物农药、高效节水灌溉设备等绿色农资产品市场供给，深化产业链上下游协同联动，实现精准化采购和供应，持续优化农业技术服务中心的技术培训，加强农资使用效果跟踪反馈机制；促进家具建材市场与装修装饰行业的融合发展，打造家居建材装修一站式服务平台，创新开展家居文化节、创意设计大赛等主题活动，全面提升产品附加值与市场竞争力。</w:t>
      </w:r>
    </w:p>
    <w:p w14:paraId="40CA600C">
      <w:pPr>
        <w:bidi w:val="0"/>
        <w:rPr>
          <w:rFonts w:hint="eastAsia" w:ascii="仿宋_GB2312" w:hAnsi="仿宋_GB2312" w:eastAsia="仿宋_GB2312" w:cs="仿宋_GB2312"/>
        </w:rPr>
      </w:pPr>
      <w:r>
        <w:rPr>
          <w:rFonts w:hint="eastAsia" w:ascii="仿宋_GB2312" w:hAnsi="仿宋_GB2312" w:eastAsia="仿宋_GB2312" w:cs="仿宋_GB2312"/>
          <w:b/>
          <w:bCs/>
        </w:rPr>
        <w:t>持续推进电子商务优化升级。</w:t>
      </w:r>
      <w:r>
        <w:rPr>
          <w:rFonts w:hint="eastAsia" w:ascii="仿宋_GB2312" w:hAnsi="仿宋_GB2312" w:eastAsia="仿宋_GB2312" w:cs="仿宋_GB2312"/>
        </w:rPr>
        <w:t>构建多元化电商新生态体系。加快推进直播电商共享基地升级扩建工程，创新打造“直播+电商+社交”新型商业模式，构建涵盖品牌专场、溯源场景和IP联名等多元化营销场景；进一步完善“绿谷粮都”平台功能建设，重点打造直播电商供应链选品中心，</w:t>
      </w:r>
      <w:r>
        <w:rPr>
          <w:rFonts w:hint="eastAsia" w:ascii="仿宋_GB2312" w:hAnsi="仿宋_GB2312" w:eastAsia="仿宋_GB2312" w:cs="仿宋_GB2312"/>
          <w:lang w:eastAsia="zh-CN"/>
        </w:rPr>
        <w:t>设立“源头优选”认证标准，发展“商品库</w:t>
      </w:r>
      <w:r>
        <w:rPr>
          <w:rFonts w:hint="eastAsia" w:ascii="仿宋_GB2312" w:hAnsi="仿宋_GB2312" w:eastAsia="仿宋_GB2312" w:cs="仿宋_GB2312"/>
          <w:lang w:val="en-US" w:eastAsia="zh-CN"/>
        </w:rPr>
        <w:t>+智能匹配</w:t>
      </w:r>
      <w:r>
        <w:rPr>
          <w:rFonts w:hint="eastAsia" w:ascii="仿宋_GB2312" w:hAnsi="仿宋_GB2312" w:eastAsia="仿宋_GB2312" w:cs="仿宋_GB2312"/>
          <w:lang w:eastAsia="zh-CN"/>
        </w:rPr>
        <w:t>”模式，</w:t>
      </w:r>
      <w:r>
        <w:rPr>
          <w:rFonts w:hint="eastAsia" w:ascii="仿宋_GB2312" w:hAnsi="仿宋_GB2312" w:eastAsia="仿宋_GB2312" w:cs="仿宋_GB2312"/>
        </w:rPr>
        <w:t xml:space="preserve">强化农产品质量监管及售后服务质量；积极拓展跨境电商业务，推动海外公共仓建设布局，引入交易、支付、物流、通关、退税、结汇等增值服务功能，全力打造一站式跨境电商交易平台；大力引进抖音、京东等头部电商平台设立区域运营中心，探索发展内容电商、社区团购等新业态。全面加强配套服务体系建设，新建智能化仓储设施及自动化分拣系统；加快推进电商创新孵化基地建设，布局创业办公区、项目路演区、创业导师工作室等；加速建设直播电商培训中心，系统开展直播电商技能培训、主播孵化、运营指导等专业服务；积极推进电商线下体验旗舰店建设，为消费者打造“线下体验、线上购买”新型消费模式。力争到2030年，打造成为国家级电子商务示范基地，年总交易额达到3亿元以上。 </w:t>
      </w:r>
    </w:p>
    <w:p w14:paraId="73885509">
      <w:pPr>
        <w:bidi w:val="0"/>
        <w:rPr>
          <w:rFonts w:hint="eastAsia" w:ascii="仿宋_GB2312" w:hAnsi="仿宋_GB2312" w:eastAsia="仿宋_GB2312" w:cs="仿宋_GB2312"/>
          <w:b/>
          <w:bCs/>
        </w:rPr>
      </w:pPr>
      <w:r>
        <w:rPr>
          <w:rFonts w:hint="eastAsia" w:ascii="仿宋_GB2312" w:hAnsi="仿宋_GB2312" w:eastAsia="仿宋_GB2312" w:cs="仿宋_GB2312"/>
          <w:b/>
          <w:bCs/>
        </w:rPr>
        <w:t>三、</w:t>
      </w:r>
      <w:r>
        <w:rPr>
          <w:rFonts w:hint="eastAsia" w:ascii="仿宋_GB2312" w:hAnsi="仿宋_GB2312" w:cs="仿宋_GB2312"/>
          <w:b/>
          <w:bCs/>
          <w:lang w:val="en-US" w:eastAsia="zh-CN"/>
        </w:rPr>
        <w:t>培育跨境贸易产业</w:t>
      </w:r>
      <w:r>
        <w:rPr>
          <w:rFonts w:hint="eastAsia" w:ascii="仿宋_GB2312" w:hAnsi="仿宋_GB2312" w:eastAsia="仿宋_GB2312" w:cs="仿宋_GB2312"/>
          <w:b/>
          <w:bCs/>
        </w:rPr>
        <w:t>新动能</w:t>
      </w:r>
    </w:p>
    <w:p w14:paraId="32BD1B6B">
      <w:pPr>
        <w:bidi w:val="0"/>
        <w:rPr>
          <w:rFonts w:hint="eastAsia" w:ascii="仿宋_GB2312" w:hAnsi="仿宋_GB2312" w:eastAsia="仿宋_GB2312" w:cs="仿宋_GB2312"/>
        </w:rPr>
      </w:pPr>
      <w:r>
        <w:rPr>
          <w:rFonts w:hint="eastAsia" w:ascii="仿宋_GB2312" w:hAnsi="仿宋_GB2312" w:eastAsia="仿宋_GB2312" w:cs="仿宋_GB2312"/>
          <w:b/>
          <w:bCs/>
        </w:rPr>
        <w:t>深化对俄产业合作力度。</w:t>
      </w:r>
      <w:r>
        <w:rPr>
          <w:rFonts w:hint="eastAsia" w:ascii="仿宋_GB2312" w:hAnsi="仿宋_GB2312" w:eastAsia="仿宋_GB2312" w:cs="仿宋_GB2312"/>
        </w:rPr>
        <w:t>加快LPG-LNG项目落地</w:t>
      </w:r>
      <w:r>
        <w:rPr>
          <w:rFonts w:hint="eastAsia" w:ascii="仿宋_GB2312" w:hAnsi="仿宋_GB2312" w:eastAsia="仿宋_GB2312" w:cs="仿宋_GB2312"/>
          <w:lang w:val="en-US" w:eastAsia="zh-CN"/>
        </w:rPr>
        <w:t>实施</w:t>
      </w:r>
      <w:r>
        <w:rPr>
          <w:rFonts w:hint="eastAsia" w:ascii="仿宋_GB2312" w:hAnsi="仿宋_GB2312" w:eastAsia="仿宋_GB2312" w:cs="仿宋_GB2312"/>
        </w:rPr>
        <w:t>，着力推进能源交易平台建设，全面实现俄煤、天然气、液化石油储运、加工和交易，力争打造成为国家级能源交易中心与战略储备中心。充分发挥福慧食品和金正油脂作为海关备案进境粮食指定加工厂基础优势，加快推进粮食进境指定口岸申请进程，持续扩大进境粮食加工规模化水平，重点发展大豆蛋白、大豆肽等高附加值功能性食品，积极开拓国际市场。进一步扩大俄罗斯远东地区优质木材进口规模，加快推进木材加工园区扩建升级，引导永安木业、龙腾木业等企业入驻，引进国内先进的木材加工生产线，全面提升高档家具和装饰材料的生产工艺与产品品质，打造富锦木材加工的特色品牌。重点加强对悦缘公司、鑫奥经贸、原崎商贸等对外贸易主体培育，搭建对俄信息服务平台，建立一对一精准帮扶机制，为企业提供专业化政策指导和全方位信息服务，切实提升对外贸易发展水平。</w:t>
      </w:r>
    </w:p>
    <w:p w14:paraId="158B9017">
      <w:pPr>
        <w:bidi w:val="0"/>
        <w:rPr>
          <w:rFonts w:hint="eastAsia" w:ascii="仿宋_GB2312" w:hAnsi="仿宋_GB2312" w:eastAsia="仿宋_GB2312" w:cs="仿宋_GB2312"/>
        </w:rPr>
      </w:pPr>
      <w:r>
        <w:rPr>
          <w:rFonts w:hint="eastAsia" w:ascii="仿宋_GB2312" w:hAnsi="仿宋_GB2312" w:eastAsia="仿宋_GB2312" w:cs="仿宋_GB2312"/>
          <w:b/>
          <w:bCs/>
        </w:rPr>
        <w:t>培育对外贸易新业态。</w:t>
      </w:r>
      <w:r>
        <w:rPr>
          <w:rFonts w:hint="eastAsia" w:ascii="仿宋_GB2312" w:hAnsi="仿宋_GB2312" w:eastAsia="仿宋_GB2312" w:cs="仿宋_GB2312"/>
        </w:rPr>
        <w:t>构建完善富锦跨境贸易服务产业链体系，高标准推进对外保税项目孵化园区建设，完善保税仓储、保税加工、保税物流、国际转口贸易等功能，重点对接引入贸易代理、货物结算、金融服务、报关报验、融资租赁等专业化第三方优质企业，进一步优化木材加工、农机装备等产品的进出口贸易结算。统筹谋划集商品展示、交易服务、仓储物流于一体</w:t>
      </w:r>
      <w:r>
        <w:rPr>
          <w:rFonts w:hint="eastAsia" w:ascii="仿宋_GB2312" w:hAnsi="仿宋_GB2312" w:eastAsia="仿宋_GB2312" w:cs="仿宋_GB2312"/>
          <w:lang w:eastAsia="zh-CN"/>
        </w:rPr>
        <w:t>的</w:t>
      </w:r>
      <w:r>
        <w:rPr>
          <w:rFonts w:hint="eastAsia" w:ascii="仿宋_GB2312" w:hAnsi="仿宋_GB2312" w:eastAsia="仿宋_GB2312" w:cs="仿宋_GB2312"/>
        </w:rPr>
        <w:t>中俄贸易孵化产业园，定期举办富锦特色产品国际展销会、中俄经贸合作论坛等高水平经贸活动，打造富锦特色产品走向国际市场的优质展示平台。积极推动富锦经开区</w:t>
      </w:r>
      <w:r>
        <w:rPr>
          <w:rFonts w:hint="eastAsia" w:ascii="仿宋_GB2312" w:hAnsi="仿宋_GB2312" w:eastAsia="仿宋_GB2312" w:cs="仿宋_GB2312"/>
          <w:lang w:val="en-US" w:eastAsia="zh-CN"/>
        </w:rPr>
        <w:t>及</w:t>
      </w:r>
      <w:r>
        <w:rPr>
          <w:rFonts w:hint="eastAsia" w:ascii="仿宋_GB2312" w:hAnsi="仿宋_GB2312" w:eastAsia="仿宋_GB2312" w:cs="仿宋_GB2312"/>
        </w:rPr>
        <w:t>龙头企业与境外投资主体开展深度合作，重点探索与俄罗斯在农业种植、林业开发、智能农机等领域的跨境产业合作新模式，建立高标准跨境产业合作示范区，促进大豆、木材、中药材等优势产品的落地加工、仓储物流体系建设，实现境内外资源的高效配置与优势互补。</w:t>
      </w:r>
    </w:p>
    <w:p w14:paraId="2992C078">
      <w:pPr>
        <w:bidi w:val="0"/>
        <w:rPr>
          <w:rFonts w:hint="default" w:ascii="仿宋_GB2312" w:hAnsi="仿宋_GB2312" w:eastAsia="仿宋_GB2312" w:cs="仿宋_GB2312"/>
          <w:b/>
          <w:bCs/>
          <w:lang w:val="en-US" w:eastAsia="zh-CN"/>
        </w:rPr>
      </w:pPr>
      <w:r>
        <w:rPr>
          <w:rFonts w:hint="eastAsia" w:ascii="仿宋_GB2312" w:hAnsi="仿宋_GB2312" w:cs="仿宋_GB2312"/>
          <w:b/>
          <w:bCs/>
          <w:lang w:val="en-US" w:eastAsia="zh-CN"/>
        </w:rPr>
        <w:t>四、培育冰雪经济和创意设计新引擎</w:t>
      </w:r>
    </w:p>
    <w:p w14:paraId="321D8440">
      <w:pPr>
        <w:bidi w:val="0"/>
        <w:rPr>
          <w:rFonts w:hint="eastAsia" w:ascii="仿宋_GB2312" w:hAnsi="仿宋_GB2312" w:eastAsia="宋体" w:cs="仿宋_GB2312"/>
          <w:lang w:eastAsia="zh-CN"/>
        </w:rPr>
      </w:pPr>
      <w:r>
        <w:rPr>
          <w:rFonts w:hint="eastAsia" w:ascii="仿宋_GB2312" w:hAnsi="仿宋_GB2312" w:eastAsia="仿宋_GB2312" w:cs="仿宋_GB2312"/>
          <w:b/>
          <w:bCs/>
          <w:lang w:eastAsia="zh-CN"/>
        </w:rPr>
        <w:t>加快发展冰雪经济</w:t>
      </w:r>
      <w:r>
        <w:rPr>
          <w:rFonts w:hint="eastAsia" w:ascii="仿宋_GB2312" w:hAnsi="仿宋_GB2312" w:cs="仿宋_GB2312"/>
          <w:b/>
          <w:bCs/>
          <w:lang w:eastAsia="zh-CN"/>
        </w:rPr>
        <w:t>。</w:t>
      </w:r>
      <w:r>
        <w:rPr>
          <w:rFonts w:hint="eastAsia" w:ascii="仿宋_GB2312" w:hAnsi="仿宋_GB2312" w:eastAsia="仿宋_GB2312" w:cs="仿宋_GB2312"/>
        </w:rPr>
        <w:t>立足富锦市冰雪资源与生态优势，将冰雪经济作为破解冬季旅游瓶颈、延长旅游产业链、培育新消费热点的关键突破口。以“冰雪+”融合发展战略为核心，推进冰雪主题乐园设施建设，培育一批集观赏、游乐、体验、研学于一体的冰雪旅游消费新场景。全面</w:t>
      </w:r>
      <w:r>
        <w:rPr>
          <w:rFonts w:hint="eastAsia" w:ascii="仿宋_GB2312" w:hAnsi="仿宋_GB2312" w:eastAsia="仿宋_GB2312" w:cs="仿宋_GB2312"/>
          <w:lang w:eastAsia="zh-CN"/>
        </w:rPr>
        <w:t>发展群众冰雪运动，</w:t>
      </w:r>
      <w:r>
        <w:rPr>
          <w:rFonts w:hint="eastAsia" w:ascii="仿宋_GB2312" w:hAnsi="仿宋_GB2312" w:eastAsia="仿宋_GB2312" w:cs="仿宋_GB2312"/>
        </w:rPr>
        <w:t>实施“冰雪运动进校园、进社区”普及工程，夯实群众基础，激活本地消费市场</w:t>
      </w:r>
      <w:r>
        <w:rPr>
          <w:rFonts w:hint="eastAsia" w:ascii="仿宋_GB2312" w:hAnsi="仿宋_GB2312" w:eastAsia="仿宋_GB2312" w:cs="仿宋_GB2312"/>
          <w:lang w:eastAsia="zh-CN"/>
        </w:rPr>
        <w:t>。增强冰雪旅游产品和服务供给，</w:t>
      </w:r>
      <w:r>
        <w:rPr>
          <w:rFonts w:hint="eastAsia" w:ascii="仿宋_GB2312" w:hAnsi="仿宋_GB2312" w:eastAsia="仿宋_GB2312" w:cs="仿宋_GB2312"/>
        </w:rPr>
        <w:t>构建以专业化冰雪旅游产品为核心、大众化冰雪运动为基础、多元化“冰雪+”产业为延伸的现代化冰雪经济体系，</w:t>
      </w:r>
      <w:r>
        <w:rPr>
          <w:rFonts w:hint="eastAsia" w:ascii="仿宋_GB2312" w:hAnsi="仿宋_GB2312" w:eastAsia="仿宋_GB2312" w:cs="仿宋_GB2312"/>
          <w:lang w:val="en-US" w:eastAsia="zh-CN"/>
        </w:rPr>
        <w:t>有效</w:t>
      </w:r>
      <w:r>
        <w:rPr>
          <w:rFonts w:hint="eastAsia" w:ascii="仿宋_GB2312" w:hAnsi="仿宋_GB2312" w:eastAsia="仿宋_GB2312" w:cs="仿宋_GB2312"/>
        </w:rPr>
        <w:t>补全四季旅游空白</w:t>
      </w:r>
      <w:r>
        <w:rPr>
          <w:rFonts w:hint="eastAsia" w:ascii="仿宋_GB2312" w:hAnsi="仿宋_GB2312" w:eastAsia="仿宋_GB2312" w:cs="仿宋_GB2312"/>
          <w:lang w:eastAsia="zh-CN"/>
        </w:rPr>
        <w:t>，</w:t>
      </w:r>
      <w:r>
        <w:rPr>
          <w:rFonts w:hint="eastAsia" w:ascii="仿宋_GB2312" w:hAnsi="仿宋_GB2312" w:eastAsia="仿宋_GB2312" w:cs="仿宋_GB2312"/>
        </w:rPr>
        <w:t>将“冷资源”转化为“热经济”</w:t>
      </w:r>
      <w:r>
        <w:rPr>
          <w:rFonts w:hint="eastAsia" w:ascii="仿宋_GB2312" w:hAnsi="仿宋_GB2312" w:eastAsia="仿宋_GB2312" w:cs="仿宋_GB2312"/>
          <w:lang w:eastAsia="zh-CN"/>
        </w:rPr>
        <w:t>。</w:t>
      </w:r>
    </w:p>
    <w:p w14:paraId="55ED818F">
      <w:pPr>
        <w:bidi w:val="0"/>
        <w:rPr>
          <w:rFonts w:hint="eastAsia" w:ascii="仿宋_GB2312" w:hAnsi="仿宋_GB2312" w:eastAsia="仿宋_GB2312" w:cs="仿宋_GB2312"/>
          <w:lang w:eastAsia="zh-CN"/>
        </w:rPr>
      </w:pPr>
      <w:r>
        <w:rPr>
          <w:rFonts w:hint="eastAsia" w:ascii="仿宋_GB2312" w:hAnsi="仿宋_GB2312" w:eastAsia="仿宋_GB2312" w:cs="仿宋_GB2312"/>
          <w:b/>
          <w:bCs/>
        </w:rPr>
        <w:t>加快发展创意设计产业</w:t>
      </w:r>
      <w:r>
        <w:rPr>
          <w:rFonts w:hint="eastAsia" w:ascii="仿宋_GB2312" w:hAnsi="仿宋_GB2312" w:eastAsia="仿宋_GB2312" w:cs="仿宋_GB2312"/>
          <w:b/>
          <w:bCs/>
          <w:lang w:eastAsia="zh-CN"/>
        </w:rPr>
        <w:t>。</w:t>
      </w:r>
      <w:r>
        <w:rPr>
          <w:rFonts w:hint="eastAsia" w:ascii="仿宋_GB2312" w:hAnsi="仿宋_GB2312" w:eastAsia="仿宋_GB2312" w:cs="仿宋_GB2312"/>
        </w:rPr>
        <w:t>实施创意设计赋能行动，聚焦农副产品精深加工、特色文旅IP打造主攻方向</w:t>
      </w:r>
      <w:r>
        <w:rPr>
          <w:rFonts w:hint="eastAsia" w:ascii="仿宋_GB2312" w:hAnsi="仿宋_GB2312" w:eastAsia="仿宋_GB2312" w:cs="仿宋_GB2312"/>
          <w:lang w:eastAsia="zh-CN"/>
        </w:rPr>
        <w:t>，</w:t>
      </w:r>
      <w:r>
        <w:rPr>
          <w:rFonts w:hint="eastAsia" w:ascii="仿宋_GB2312" w:hAnsi="仿宋_GB2312" w:eastAsia="仿宋_GB2312" w:cs="仿宋_GB2312"/>
        </w:rPr>
        <w:t>促进创意设计与装备制造、现代农业、文化旅游等产业深度融合。推动创意设计从“后期美化”向“前端植入”转变，从“单一服务”向“系统解决方案”升级，全面提升“富锦制造”的附加值、“富锦品牌”的辨识度与“富锦体验”的吸引力，将其打造</w:t>
      </w:r>
      <w:r>
        <w:rPr>
          <w:rFonts w:hint="eastAsia" w:ascii="仿宋_GB2312" w:hAnsi="仿宋_GB2312" w:eastAsia="仿宋_GB2312" w:cs="仿宋_GB2312"/>
          <w:lang w:val="en-US" w:eastAsia="zh-CN"/>
        </w:rPr>
        <w:t>成为彰显城市品牌魅力的新支点，</w:t>
      </w:r>
      <w:r>
        <w:rPr>
          <w:rFonts w:hint="eastAsia" w:ascii="仿宋_GB2312" w:hAnsi="仿宋_GB2312" w:eastAsia="仿宋_GB2312" w:cs="仿宋_GB2312"/>
        </w:rPr>
        <w:t>富锦培育新质生产力、吸引青年人才提供关键支撑。</w:t>
      </w:r>
    </w:p>
    <w:p w14:paraId="7FB40C8C">
      <w:pPr>
        <w:bidi w:val="0"/>
        <w:rPr>
          <w:rFonts w:hint="default" w:ascii="仿宋_GB2312" w:hAnsi="仿宋_GB2312" w:eastAsia="仿宋_GB2312" w:cs="仿宋_GB2312"/>
          <w:b/>
          <w:bCs/>
          <w:lang w:val="en-US" w:eastAsia="zh-CN"/>
        </w:rPr>
      </w:pPr>
      <w:r>
        <w:rPr>
          <w:rFonts w:hint="eastAsia" w:ascii="仿宋_GB2312" w:hAnsi="仿宋_GB2312" w:cs="仿宋_GB2312"/>
          <w:b/>
          <w:bCs/>
          <w:lang w:val="en-US" w:eastAsia="zh-CN"/>
        </w:rPr>
        <w:t>五、促进其他服务业优质高效发展</w:t>
      </w:r>
    </w:p>
    <w:p w14:paraId="35FD7149">
      <w:pPr>
        <w:bidi w:val="0"/>
        <w:rPr>
          <w:rFonts w:hint="eastAsia" w:ascii="仿宋_GB2312" w:hAnsi="仿宋_GB2312" w:eastAsia="仿宋_GB2312" w:cs="仿宋_GB2312"/>
        </w:rPr>
      </w:pPr>
      <w:r>
        <w:rPr>
          <w:rFonts w:hint="default"/>
          <w:lang w:eastAsia="zh-CN"/>
        </w:rPr>
        <w:t>实施服务业扩能提质行动，扩大服务业开放，深化监管改革，完善支持政策体系，扩大优质经营主体。</w:t>
      </w:r>
      <w:r>
        <w:rPr>
          <w:rFonts w:hint="default"/>
          <w:lang w:val="en-US" w:eastAsia="zh-CN"/>
        </w:rPr>
        <w:t>促进健康、医疗、养老、育幼、家政、物业等生活性服务业多样化、便利化发展。</w:t>
      </w:r>
      <w:r>
        <w:rPr>
          <w:rFonts w:hint="default"/>
          <w:lang w:eastAsia="zh-CN"/>
        </w:rPr>
        <w:t>全面提升</w:t>
      </w:r>
      <w:r>
        <w:rPr>
          <w:rFonts w:hint="default"/>
          <w:lang w:val="en-US" w:eastAsia="zh-CN"/>
        </w:rPr>
        <w:t>现代服务业与先进制造业、现代农业融合发展水平，推进服务业数智化。强化服务标准和质量品牌建设。加强服务业统计监测。</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2DD0C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0FB20DAE">
            <w:pPr>
              <w:pStyle w:val="8"/>
              <w:ind w:firstLine="0" w:firstLineChars="0"/>
              <w:jc w:val="center"/>
              <w:rPr>
                <w:rFonts w:ascii="Times New Roman" w:hAnsi="Times New Roman" w:cs="仿宋_GB2312"/>
                <w:b/>
                <w:bCs/>
                <w:sz w:val="32"/>
                <w:szCs w:val="32"/>
                <w:u w:val="none"/>
                <w:shd w:val="clear" w:fill="auto"/>
              </w:rPr>
            </w:pPr>
            <w:r>
              <w:rPr>
                <w:rFonts w:hint="eastAsia" w:ascii="黑体" w:hAnsi="黑体" w:eastAsia="黑体" w:cs="黑体"/>
                <w:b w:val="0"/>
                <w:bCs w:val="0"/>
                <w:sz w:val="24"/>
                <w:szCs w:val="24"/>
                <w:u w:val="none"/>
                <w:shd w:val="clear" w:fill="auto"/>
              </w:rPr>
              <w:t>专栏</w:t>
            </w:r>
            <w:r>
              <w:rPr>
                <w:rFonts w:hint="eastAsia" w:ascii="黑体" w:hAnsi="黑体" w:eastAsia="黑体" w:cs="黑体"/>
                <w:b w:val="0"/>
                <w:bCs w:val="0"/>
                <w:sz w:val="24"/>
                <w:szCs w:val="24"/>
                <w:u w:val="none"/>
                <w:shd w:val="clear" w:fill="auto"/>
                <w:lang w:val="en-US" w:eastAsia="zh-CN"/>
              </w:rPr>
              <w:t xml:space="preserve">4-3  </w:t>
            </w:r>
            <w:r>
              <w:rPr>
                <w:rFonts w:hint="eastAsia" w:ascii="黑体" w:hAnsi="黑体" w:eastAsia="黑体" w:cs="黑体"/>
                <w:b w:val="0"/>
                <w:bCs w:val="0"/>
                <w:sz w:val="24"/>
                <w:szCs w:val="24"/>
                <w:u w:val="none"/>
                <w:shd w:val="clear" w:fill="auto"/>
              </w:rPr>
              <w:t>现代服务业发展重点工程</w:t>
            </w:r>
          </w:p>
        </w:tc>
      </w:tr>
      <w:tr w14:paraId="2927F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13649A3D">
            <w:pPr>
              <w:pStyle w:val="8"/>
              <w:bidi w:val="0"/>
              <w:rPr>
                <w:rFonts w:hint="eastAsia" w:ascii="楷体_GB2312" w:hAnsi="楷体_GB2312" w:eastAsia="楷体_GB2312" w:cs="楷体_GB2312"/>
              </w:rPr>
            </w:pPr>
            <w:r>
              <w:rPr>
                <w:rFonts w:hint="eastAsia" w:ascii="楷体_GB2312" w:hAnsi="楷体_GB2312" w:eastAsia="楷体_GB2312" w:cs="楷体_GB2312"/>
                <w:b/>
                <w:bCs/>
                <w:lang w:val="en-US" w:eastAsia="zh-CN"/>
              </w:rPr>
              <w:t>1.</w:t>
            </w:r>
            <w:r>
              <w:rPr>
                <w:rFonts w:hint="eastAsia" w:ascii="楷体_GB2312" w:hAnsi="楷体_GB2312" w:eastAsia="楷体_GB2312" w:cs="楷体_GB2312"/>
                <w:b/>
                <w:bCs/>
              </w:rPr>
              <w:t>文旅融合新“IP”</w:t>
            </w:r>
            <w:r>
              <w:rPr>
                <w:rFonts w:hint="eastAsia" w:ascii="楷体_GB2312" w:hAnsi="楷体_GB2312" w:eastAsia="楷体_GB2312" w:cs="楷体_GB2312"/>
                <w:b/>
                <w:bCs/>
                <w:lang w:eastAsia="zh-CN"/>
              </w:rPr>
              <w:t>创建</w:t>
            </w:r>
            <w:r>
              <w:rPr>
                <w:rFonts w:hint="eastAsia" w:ascii="楷体_GB2312" w:hAnsi="楷体_GB2312" w:eastAsia="楷体_GB2312" w:cs="楷体_GB2312"/>
                <w:b/>
                <w:bCs/>
              </w:rPr>
              <w:t>工程。</w:t>
            </w:r>
            <w:r>
              <w:rPr>
                <w:rFonts w:hint="eastAsia" w:ascii="楷体_GB2312" w:hAnsi="楷体_GB2312" w:eastAsia="楷体_GB2312" w:cs="楷体_GB2312"/>
              </w:rPr>
              <w:t>聚焦农工旅研学，</w:t>
            </w:r>
            <w:r>
              <w:rPr>
                <w:rFonts w:hint="eastAsia" w:ascii="楷体_GB2312" w:hAnsi="楷体_GB2312" w:eastAsia="楷体_GB2312" w:cs="楷体_GB2312"/>
                <w:lang w:eastAsia="zh-CN"/>
              </w:rPr>
              <w:t>围绕科普研学、亲子体验等谋划未来农业科技馆、冰雪国潮文化园等，着力推动</w:t>
            </w:r>
            <w:r>
              <w:rPr>
                <w:rFonts w:hint="eastAsia" w:ascii="楷体_GB2312" w:hAnsi="楷体_GB2312" w:eastAsia="楷体_GB2312" w:cs="楷体_GB2312"/>
              </w:rPr>
              <w:t>富锦国家湿地公园、万亩水稻公园、</w:t>
            </w:r>
            <w:r>
              <w:rPr>
                <w:rFonts w:hint="eastAsia" w:ascii="楷体_GB2312" w:hAnsi="楷体_GB2312" w:eastAsia="楷体_GB2312" w:cs="楷体_GB2312"/>
                <w:lang w:eastAsia="zh-CN"/>
              </w:rPr>
              <w:t>滨江景观带</w:t>
            </w:r>
            <w:r>
              <w:rPr>
                <w:rFonts w:hint="eastAsia" w:ascii="楷体_GB2312" w:hAnsi="楷体_GB2312" w:eastAsia="楷体_GB2312" w:cs="楷体_GB2312"/>
              </w:rPr>
              <w:t>等景</w:t>
            </w:r>
            <w:r>
              <w:rPr>
                <w:rFonts w:hint="eastAsia" w:ascii="楷体_GB2312" w:hAnsi="楷体_GB2312" w:eastAsia="楷体_GB2312" w:cs="楷体_GB2312"/>
                <w:lang w:eastAsia="zh-CN"/>
              </w:rPr>
              <w:t>点产品业态迭代升级，创新策划节事活动，塑造引流阵地，打造东极</w:t>
            </w:r>
            <w:r>
              <w:rPr>
                <w:rFonts w:hint="eastAsia" w:ascii="楷体_GB2312" w:hAnsi="楷体_GB2312" w:eastAsia="楷体_GB2312" w:cs="楷体_GB2312"/>
                <w:lang w:val="en-US" w:eastAsia="zh-CN"/>
              </w:rPr>
              <w:t>富锦</w:t>
            </w:r>
            <w:r>
              <w:rPr>
                <w:rFonts w:hint="eastAsia" w:ascii="楷体_GB2312" w:hAnsi="楷体_GB2312" w:eastAsia="楷体_GB2312" w:cs="楷体_GB2312"/>
                <w:lang w:eastAsia="zh-CN"/>
              </w:rPr>
              <w:t>特色旅游新亮点。</w:t>
            </w:r>
          </w:p>
          <w:p w14:paraId="01A1CF54">
            <w:pPr>
              <w:pStyle w:val="8"/>
              <w:bidi w:val="0"/>
              <w:rPr>
                <w:rFonts w:hint="eastAsia" w:ascii="楷体_GB2312" w:hAnsi="楷体_GB2312" w:eastAsia="楷体_GB2312" w:cs="楷体_GB2312"/>
                <w:lang w:val="en-US" w:eastAsia="zh-CN"/>
              </w:rPr>
            </w:pPr>
            <w:r>
              <w:rPr>
                <w:rFonts w:hint="eastAsia" w:ascii="楷体_GB2312" w:hAnsi="楷体_GB2312" w:eastAsia="楷体_GB2312" w:cs="楷体_GB2312"/>
                <w:b/>
                <w:bCs/>
                <w:lang w:val="en-US" w:eastAsia="zh-CN"/>
              </w:rPr>
              <w:t>2.</w:t>
            </w:r>
            <w:r>
              <w:rPr>
                <w:rFonts w:hint="eastAsia" w:ascii="楷体_GB2312" w:hAnsi="楷体_GB2312" w:eastAsia="楷体_GB2312" w:cs="楷体_GB2312"/>
                <w:b/>
                <w:bCs/>
              </w:rPr>
              <w:t>智慧旅游及基础设施提升工程</w:t>
            </w:r>
            <w:r>
              <w:rPr>
                <w:rFonts w:hint="eastAsia" w:ascii="楷体_GB2312" w:hAnsi="楷体_GB2312" w:eastAsia="楷体_GB2312" w:cs="楷体_GB2312"/>
                <w:b/>
                <w:bCs/>
                <w:lang w:eastAsia="zh-CN"/>
              </w:rPr>
              <w:t>。</w:t>
            </w:r>
            <w:r>
              <w:rPr>
                <w:rFonts w:hint="eastAsia" w:ascii="楷体_GB2312" w:hAnsi="楷体_GB2312" w:eastAsia="楷体_GB2312" w:cs="楷体_GB2312"/>
              </w:rPr>
              <w:t>完善旅游集散中心、建设智慧旅游平台，实现景区智能化管理和服务，升级特色旅游交通，推进旅游厕所改造；</w:t>
            </w:r>
            <w:r>
              <w:rPr>
                <w:rFonts w:hint="eastAsia" w:ascii="楷体_GB2312" w:hAnsi="楷体_GB2312" w:eastAsia="楷体_GB2312" w:cs="楷体_GB2312"/>
                <w:lang w:eastAsia="zh-CN"/>
              </w:rPr>
              <w:t>串联</w:t>
            </w:r>
            <w:r>
              <w:rPr>
                <w:rFonts w:hint="eastAsia" w:ascii="楷体_GB2312" w:hAnsi="楷体_GB2312" w:eastAsia="楷体_GB2312" w:cs="楷体_GB2312"/>
              </w:rPr>
              <w:t>农工旅研学、粮食安全、红色记忆体验等主题</w:t>
            </w:r>
            <w:r>
              <w:rPr>
                <w:rFonts w:hint="eastAsia" w:ascii="楷体_GB2312" w:hAnsi="楷体_GB2312" w:eastAsia="楷体_GB2312" w:cs="楷体_GB2312"/>
                <w:lang w:eastAsia="zh-CN"/>
              </w:rPr>
              <w:t>旅游资源</w:t>
            </w:r>
            <w:r>
              <w:rPr>
                <w:rFonts w:hint="eastAsia" w:ascii="楷体_GB2312" w:hAnsi="楷体_GB2312" w:eastAsia="楷体_GB2312" w:cs="楷体_GB2312"/>
              </w:rPr>
              <w:t>，</w:t>
            </w:r>
            <w:r>
              <w:rPr>
                <w:rFonts w:hint="eastAsia" w:ascii="楷体_GB2312" w:hAnsi="楷体_GB2312" w:eastAsia="楷体_GB2312" w:cs="楷体_GB2312"/>
                <w:lang w:eastAsia="zh-CN"/>
              </w:rPr>
              <w:t>设计推出</w:t>
            </w:r>
            <w:r>
              <w:rPr>
                <w:rFonts w:hint="eastAsia" w:ascii="楷体_GB2312" w:hAnsi="楷体_GB2312" w:eastAsia="楷体_GB2312" w:cs="楷体_GB2312"/>
              </w:rPr>
              <w:t>“两天一夜”“三天两夜”精品旅游线路</w:t>
            </w:r>
            <w:r>
              <w:rPr>
                <w:rFonts w:hint="eastAsia" w:ascii="楷体_GB2312" w:hAnsi="楷体_GB2312" w:eastAsia="楷体_GB2312" w:cs="楷体_GB2312"/>
                <w:lang w:eastAsia="zh-CN"/>
              </w:rPr>
              <w:t>，全力支撑三大核心</w:t>
            </w:r>
            <w:r>
              <w:rPr>
                <w:rFonts w:hint="eastAsia" w:ascii="楷体_GB2312" w:hAnsi="楷体_GB2312" w:eastAsia="楷体_GB2312" w:cs="楷体_GB2312"/>
                <w:lang w:val="en-US" w:eastAsia="zh-CN"/>
              </w:rPr>
              <w:t>IP塑造。</w:t>
            </w:r>
          </w:p>
          <w:p w14:paraId="6A8A10BA">
            <w:pPr>
              <w:pStyle w:val="8"/>
              <w:bidi w:val="0"/>
              <w:rPr>
                <w:rFonts w:hint="eastAsia" w:ascii="楷体_GB2312" w:hAnsi="楷体_GB2312" w:eastAsia="楷体_GB2312" w:cs="楷体_GB2312"/>
              </w:rPr>
            </w:pPr>
            <w:r>
              <w:rPr>
                <w:rFonts w:hint="eastAsia" w:ascii="楷体_GB2312" w:hAnsi="楷体_GB2312" w:cs="楷体_GB2312"/>
                <w:b/>
                <w:bCs/>
                <w:lang w:val="en-US" w:eastAsia="zh-CN"/>
              </w:rPr>
              <w:t>3</w:t>
            </w:r>
            <w:r>
              <w:rPr>
                <w:rFonts w:hint="eastAsia" w:ascii="楷体_GB2312" w:hAnsi="楷体_GB2312" w:eastAsia="楷体_GB2312" w:cs="楷体_GB2312"/>
                <w:b/>
                <w:bCs/>
                <w:lang w:val="en-US" w:eastAsia="zh-CN"/>
              </w:rPr>
              <w:t>.</w:t>
            </w:r>
            <w:r>
              <w:rPr>
                <w:rFonts w:hint="eastAsia" w:ascii="楷体_GB2312" w:hAnsi="楷体_GB2312" w:eastAsia="楷体_GB2312" w:cs="楷体_GB2312"/>
                <w:b/>
                <w:bCs/>
              </w:rPr>
              <w:t>“一核二园五中心”物流枢纽</w:t>
            </w:r>
            <w:r>
              <w:rPr>
                <w:rFonts w:hint="eastAsia" w:ascii="楷体_GB2312" w:hAnsi="楷体_GB2312" w:eastAsia="楷体_GB2312" w:cs="楷体_GB2312"/>
                <w:b/>
                <w:bCs/>
                <w:lang w:val="en-US" w:eastAsia="zh-CN"/>
              </w:rPr>
              <w:t>体系建设工程</w:t>
            </w:r>
            <w:r>
              <w:rPr>
                <w:rFonts w:hint="eastAsia" w:ascii="楷体_GB2312" w:hAnsi="楷体_GB2312" w:eastAsia="楷体_GB2312" w:cs="楷体_GB2312"/>
                <w:b/>
                <w:bCs/>
              </w:rPr>
              <w:t>。</w:t>
            </w:r>
            <w:r>
              <w:rPr>
                <w:rFonts w:hint="eastAsia" w:ascii="楷体_GB2312" w:hAnsi="楷体_GB2312" w:eastAsia="楷体_GB2312" w:cs="楷体_GB2312"/>
              </w:rPr>
              <w:t>“一核”为富锦国家物流枢纽，位于富锦经济开发区，打造以粮食物流为特色的农产品大宗物流枢纽与中俄能源储运基地；“二园”为上街基镇国际多式联运物流园区，木材加工、对俄贸易、清洁能源等临港产业集群发展；建三江前进物流园区，以粮食物流为主；五大专业物流中心，设统仓共配物流中心、双龙铁路物流中心、农资交易物流中心、航空快递物流中心、肉类产地冷链集配中心。</w:t>
            </w:r>
          </w:p>
          <w:p w14:paraId="4030BDC9">
            <w:pPr>
              <w:pStyle w:val="8"/>
              <w:bidi w:val="0"/>
              <w:rPr>
                <w:rFonts w:hint="eastAsia" w:ascii="楷体_GB2312" w:hAnsi="楷体_GB2312" w:eastAsia="楷体_GB2312" w:cs="楷体_GB2312"/>
              </w:rPr>
            </w:pPr>
            <w:r>
              <w:rPr>
                <w:rFonts w:hint="eastAsia" w:ascii="楷体_GB2312" w:hAnsi="楷体_GB2312" w:cs="楷体_GB2312"/>
                <w:b/>
                <w:bCs/>
                <w:lang w:val="en-US" w:eastAsia="zh-CN"/>
              </w:rPr>
              <w:t>4</w:t>
            </w:r>
            <w:r>
              <w:rPr>
                <w:rFonts w:hint="eastAsia" w:ascii="楷体_GB2312" w:hAnsi="楷体_GB2312" w:eastAsia="楷体_GB2312" w:cs="楷体_GB2312"/>
                <w:b/>
                <w:bCs/>
                <w:lang w:eastAsia="zh-CN"/>
              </w:rPr>
              <w:t>.富锦电子商务平台优化升级工程。</w:t>
            </w:r>
            <w:r>
              <w:rPr>
                <w:rFonts w:hint="eastAsia" w:ascii="楷体_GB2312" w:hAnsi="楷体_GB2312" w:eastAsia="楷体_GB2312" w:cs="楷体_GB2312"/>
              </w:rPr>
              <w:t>依托电子商务产业园现状基础，进一步拓展平台跨境电商、供应链选品中心功能建设，探索发展“直播+电商+社交”新</w:t>
            </w:r>
            <w:r>
              <w:rPr>
                <w:rFonts w:hint="eastAsia" w:ascii="楷体_GB2312" w:hAnsi="楷体_GB2312" w:eastAsia="楷体_GB2312" w:cs="楷体_GB2312"/>
                <w:lang w:eastAsia="zh-CN"/>
              </w:rPr>
              <w:t>型商业</w:t>
            </w:r>
            <w:r>
              <w:rPr>
                <w:rFonts w:hint="eastAsia" w:ascii="楷体_GB2312" w:hAnsi="楷体_GB2312" w:eastAsia="楷体_GB2312" w:cs="楷体_GB2312"/>
              </w:rPr>
              <w:t>模式，构建多元化电商生态新体系</w:t>
            </w:r>
            <w:r>
              <w:rPr>
                <w:rFonts w:hint="eastAsia" w:ascii="楷体_GB2312" w:hAnsi="楷体_GB2312" w:eastAsia="楷体_GB2312" w:cs="楷体_GB2312"/>
                <w:lang w:eastAsia="zh-CN"/>
              </w:rPr>
              <w:t>；同时加强电商创新孵化基地、电商直播培训中心、电商线下体验旗舰店等配套载体建设，到</w:t>
            </w:r>
            <w:r>
              <w:rPr>
                <w:rFonts w:hint="eastAsia" w:ascii="楷体_GB2312" w:hAnsi="楷体_GB2312" w:eastAsia="楷体_GB2312" w:cs="楷体_GB2312"/>
                <w:lang w:val="en-US" w:eastAsia="zh-CN"/>
              </w:rPr>
              <w:t>2030年打造成为国家级电子商务示范基地</w:t>
            </w:r>
            <w:r>
              <w:rPr>
                <w:rFonts w:hint="eastAsia" w:ascii="楷体_GB2312" w:hAnsi="楷体_GB2312" w:eastAsia="楷体_GB2312" w:cs="楷体_GB2312"/>
              </w:rPr>
              <w:t>。</w:t>
            </w:r>
          </w:p>
          <w:p w14:paraId="34361A54">
            <w:pPr>
              <w:pStyle w:val="8"/>
              <w:bidi w:val="0"/>
              <w:rPr>
                <w:rFonts w:hint="eastAsia" w:ascii="楷体_GB2312" w:hAnsi="楷体_GB2312" w:cs="楷体_GB2312"/>
                <w:lang w:val="en-US" w:eastAsia="zh-CN"/>
              </w:rPr>
            </w:pPr>
            <w:r>
              <w:rPr>
                <w:rFonts w:hint="eastAsia" w:ascii="楷体_GB2312" w:hAnsi="楷体_GB2312" w:cs="楷体_GB2312"/>
                <w:b/>
                <w:bCs/>
                <w:lang w:val="en-US" w:eastAsia="zh-CN"/>
              </w:rPr>
              <w:t>5.富锦市商贸城地块收储改造项目。</w:t>
            </w:r>
            <w:r>
              <w:rPr>
                <w:rFonts w:hint="eastAsia" w:ascii="楷体_GB2312" w:hAnsi="楷体_GB2312" w:cs="楷体_GB2312"/>
                <w:lang w:val="en-US" w:eastAsia="zh-CN"/>
              </w:rPr>
              <w:t>富锦市商贸城土地储备，总占地面积2.5公顷，对国有土地房屋征收，根据富锦市国土空间总体规划，拟规划用途为商住用地。</w:t>
            </w:r>
          </w:p>
          <w:p w14:paraId="49301D4C">
            <w:pPr>
              <w:pStyle w:val="8"/>
              <w:bidi w:val="0"/>
              <w:rPr>
                <w:rFonts w:hint="default" w:ascii="楷体_GB2312" w:hAnsi="楷体_GB2312" w:cs="楷体_GB2312"/>
                <w:lang w:val="en-US" w:eastAsia="zh-CN"/>
              </w:rPr>
            </w:pPr>
            <w:r>
              <w:rPr>
                <w:rFonts w:hint="eastAsia" w:ascii="楷体_GB2312" w:hAnsi="楷体_GB2312" w:cs="楷体_GB2312"/>
                <w:b/>
                <w:bCs/>
                <w:lang w:val="en-US" w:eastAsia="zh-CN"/>
              </w:rPr>
              <w:t>6.成品油零售网络优化提升工程。</w:t>
            </w:r>
            <w:r>
              <w:rPr>
                <w:rFonts w:hint="eastAsia" w:ascii="楷体_GB2312" w:hAnsi="楷体_GB2312" w:cs="楷体_GB2312"/>
                <w:lang w:val="en-US" w:eastAsia="zh-CN"/>
              </w:rPr>
              <w:t>适应成品油零售市场发展新形势，系统构建“十五五”成品油现代流通体系，推动行业高质量发展。严格落实国土空间规划和生态保护红线要求，兼顾综合交通布局。聚焦农村供给短板，重点在二龙山镇、大榆树镇、向阳川镇等乡镇新增布局加油站点位，推动传统加油站向集加油、充电、加氢等多功能于一体的综合能源服务站转型，逐步形成布局合理、竞争有序、功能完善的成品油零售网络，有效满足人民群众成品油消费需求。</w:t>
            </w:r>
          </w:p>
          <w:p w14:paraId="7DB9902A">
            <w:pPr>
              <w:pStyle w:val="8"/>
              <w:bidi w:val="0"/>
              <w:rPr>
                <w:rFonts w:hint="eastAsia" w:ascii="楷体_GB2312" w:hAnsi="楷体_GB2312" w:eastAsia="楷体_GB2312" w:cs="楷体_GB2312"/>
              </w:rPr>
            </w:pPr>
            <w:r>
              <w:rPr>
                <w:rFonts w:hint="eastAsia" w:ascii="楷体_GB2312" w:hAnsi="楷体_GB2312" w:cs="楷体_GB2312"/>
                <w:b/>
                <w:bCs/>
                <w:lang w:val="en-US" w:eastAsia="zh-CN"/>
              </w:rPr>
              <w:t>7</w:t>
            </w:r>
            <w:r>
              <w:rPr>
                <w:rFonts w:hint="eastAsia" w:ascii="楷体_GB2312" w:hAnsi="楷体_GB2312" w:eastAsia="楷体_GB2312" w:cs="楷体_GB2312"/>
                <w:b/>
                <w:bCs/>
                <w:lang w:eastAsia="zh-CN"/>
              </w:rPr>
              <w:t>.</w:t>
            </w:r>
            <w:r>
              <w:rPr>
                <w:rFonts w:hint="eastAsia" w:ascii="楷体_GB2312" w:hAnsi="楷体_GB2312" w:eastAsia="楷体_GB2312" w:cs="楷体_GB2312"/>
                <w:b/>
                <w:bCs/>
              </w:rPr>
              <w:t>中俄贸易孵化产业园</w:t>
            </w:r>
            <w:r>
              <w:rPr>
                <w:rFonts w:hint="eastAsia" w:ascii="楷体_GB2312" w:hAnsi="楷体_GB2312" w:eastAsia="楷体_GB2312" w:cs="楷体_GB2312"/>
                <w:b/>
                <w:bCs/>
                <w:lang w:eastAsia="zh-CN"/>
              </w:rPr>
              <w:t>创建工程</w:t>
            </w:r>
            <w:r>
              <w:rPr>
                <w:rFonts w:hint="eastAsia" w:ascii="楷体_GB2312" w:hAnsi="楷体_GB2312" w:eastAsia="楷体_GB2312" w:cs="楷体_GB2312"/>
                <w:b/>
                <w:bCs/>
              </w:rPr>
              <w:t>。</w:t>
            </w:r>
            <w:r>
              <w:rPr>
                <w:rFonts w:hint="eastAsia" w:ascii="楷体_GB2312" w:hAnsi="楷体_GB2312" w:eastAsia="楷体_GB2312" w:cs="楷体_GB2312"/>
                <w:lang w:eastAsia="zh-CN"/>
              </w:rPr>
              <w:t>项目</w:t>
            </w:r>
            <w:r>
              <w:rPr>
                <w:rFonts w:hint="eastAsia" w:ascii="楷体_GB2312" w:hAnsi="楷体_GB2312" w:eastAsia="楷体_GB2312" w:cs="楷体_GB2312"/>
              </w:rPr>
              <w:t>集商品展示、交易服务、仓储物流于一体，吸引国内外跨国贸易公司入驻，实现“双买双卖”，打造富锦特色产品走向国际市场的优质展示平台。</w:t>
            </w:r>
          </w:p>
          <w:p w14:paraId="61B71330">
            <w:pPr>
              <w:pStyle w:val="8"/>
              <w:bidi w:val="0"/>
              <w:rPr>
                <w:rFonts w:hint="default" w:ascii="楷体_GB2312" w:hAnsi="楷体_GB2312" w:eastAsia="楷体_GB2312" w:cs="楷体_GB2312"/>
                <w:lang w:val="en-US" w:eastAsia="zh-CN"/>
              </w:rPr>
            </w:pPr>
            <w:r>
              <w:rPr>
                <w:rFonts w:hint="eastAsia" w:ascii="楷体_GB2312" w:hAnsi="楷体_GB2312" w:cs="楷体_GB2312"/>
                <w:b/>
                <w:bCs/>
                <w:lang w:val="en-US" w:eastAsia="zh-CN"/>
              </w:rPr>
              <w:t>8.富锦市国际现代物流园区一期建设项目。</w:t>
            </w:r>
            <w:r>
              <w:rPr>
                <w:rFonts w:hint="eastAsia" w:ascii="楷体_GB2312" w:hAnsi="楷体_GB2312" w:cs="楷体_GB2312"/>
                <w:lang w:val="en-US" w:eastAsia="zh-CN"/>
              </w:rPr>
              <w:t>新建的工程项目包括：汽车服务之家、快递分拣中心、农产品批发、综合物流共10个新建筑项目，总用地面积83101.62平方米，总建筑面积42390.23平方米。</w:t>
            </w:r>
          </w:p>
          <w:p w14:paraId="5000306D">
            <w:pPr>
              <w:pStyle w:val="8"/>
              <w:bidi w:val="0"/>
              <w:rPr>
                <w:rFonts w:hint="default" w:ascii="楷体_GB2312" w:hAnsi="楷体_GB2312" w:eastAsia="楷体_GB2312" w:cs="楷体_GB2312"/>
                <w:lang w:val="en-US" w:eastAsia="zh-CN"/>
              </w:rPr>
            </w:pPr>
            <w:r>
              <w:rPr>
                <w:rFonts w:hint="eastAsia" w:ascii="楷体_GB2312" w:hAnsi="楷体_GB2312" w:cs="楷体_GB2312"/>
                <w:b/>
                <w:bCs/>
                <w:lang w:val="en-US" w:eastAsia="zh-CN"/>
              </w:rPr>
              <w:t>9</w:t>
            </w:r>
            <w:r>
              <w:rPr>
                <w:rFonts w:hint="eastAsia" w:ascii="楷体_GB2312" w:hAnsi="楷体_GB2312" w:eastAsia="楷体_GB2312" w:cs="楷体_GB2312"/>
                <w:b/>
                <w:bCs/>
                <w:lang w:val="en-US" w:eastAsia="zh-CN"/>
              </w:rPr>
              <w:t>.中俄能源多式联运跨境合作示范区。</w:t>
            </w:r>
            <w:r>
              <w:rPr>
                <w:rFonts w:hint="eastAsia" w:ascii="楷体_GB2312" w:hAnsi="楷体_GB2312" w:eastAsia="楷体_GB2312" w:cs="楷体_GB2312"/>
                <w:lang w:val="en-US" w:eastAsia="zh-CN"/>
              </w:rPr>
              <w:t>项目总投资预计25亿元，占地面积1092亩，以多式联运方式运输俄罗斯LNG-LPG等能源物资到富锦经济开发区进行储运、销售，致力于打造国家级能源交易中心与战略储备中心。建设内容包括：LPG、LNG集装箱货场区、LPG、LNG 调峰储备库区、铁路专用线、LPG、LNG集装箱码头、配套设施和办公区等。其中，铁路方面，谋划建设同江口岸直通富锦化工园区的危化品铁路专线，降低物流成本；水运方面，利用同江市滚装船码头和危化品码头，配套我市船舶进行运输等。</w:t>
            </w:r>
          </w:p>
        </w:tc>
      </w:tr>
    </w:tbl>
    <w:p w14:paraId="16AE72D5">
      <w:pPr>
        <w:pStyle w:val="3"/>
        <w:keepNext w:val="0"/>
        <w:keepLines w:val="0"/>
        <w:widowControl/>
        <w:spacing w:line="240" w:lineRule="auto"/>
        <w:ind w:left="0" w:leftChars="0" w:firstLine="0" w:firstLineChars="0"/>
        <w:jc w:val="center"/>
        <w:rPr>
          <w:rFonts w:hint="default" w:ascii="Times New Roman" w:hAnsi="Times New Roman" w:eastAsia="楷体_GB2312" w:cs="楷体_GB2312"/>
          <w:lang w:val="en-US" w:eastAsia="zh-CN"/>
        </w:rPr>
      </w:pPr>
      <w:bookmarkStart w:id="32" w:name="_Toc31546"/>
      <w:r>
        <w:rPr>
          <w:rFonts w:hint="eastAsia" w:ascii="Times New Roman" w:hAnsi="Times New Roman" w:eastAsia="楷体_GB2312" w:cs="楷体_GB2312"/>
        </w:rPr>
        <w:t>第</w:t>
      </w:r>
      <w:r>
        <w:rPr>
          <w:rFonts w:hint="eastAsia" w:ascii="Times New Roman" w:hAnsi="Times New Roman" w:cs="楷体_GB2312"/>
          <w:lang w:val="en-US" w:eastAsia="zh-CN"/>
        </w:rPr>
        <w:t>五</w:t>
      </w:r>
      <w:r>
        <w:rPr>
          <w:rFonts w:hint="eastAsia" w:ascii="Times New Roman" w:hAnsi="Times New Roman" w:eastAsia="楷体_GB2312" w:cs="楷体_GB2312"/>
        </w:rPr>
        <w:t xml:space="preserve">节  </w:t>
      </w:r>
      <w:r>
        <w:rPr>
          <w:rFonts w:hint="eastAsia" w:ascii="Times New Roman" w:hAnsi="Times New Roman" w:eastAsia="楷体_GB2312" w:cs="楷体_GB2312"/>
          <w:lang w:val="en-US" w:eastAsia="zh-CN"/>
        </w:rPr>
        <w:t>推动园区</w:t>
      </w:r>
      <w:r>
        <w:rPr>
          <w:rFonts w:hint="eastAsia" w:ascii="Times New Roman" w:hAnsi="Times New Roman" w:cs="楷体_GB2312"/>
          <w:lang w:val="en-US" w:eastAsia="zh-CN"/>
        </w:rPr>
        <w:t>提档升级，带动产业扩容增效发展</w:t>
      </w:r>
      <w:bookmarkEnd w:id="32"/>
    </w:p>
    <w:p w14:paraId="57A44BCD">
      <w:pPr>
        <w:bidi w:val="0"/>
        <w:rPr>
          <w:rFonts w:hint="eastAsia"/>
          <w:lang w:val="en-US" w:eastAsia="zh-CN"/>
        </w:rPr>
      </w:pPr>
      <w:r>
        <w:rPr>
          <w:rFonts w:hint="eastAsia" w:ascii="仿宋_GB2312" w:hAnsi="仿宋_GB2312" w:eastAsia="仿宋_GB2312" w:cs="仿宋_GB2312"/>
          <w:b/>
          <w:bCs/>
          <w:lang w:val="en-US" w:eastAsia="zh-CN"/>
        </w:rPr>
        <w:t>健全用地储备和</w:t>
      </w:r>
      <w:r>
        <w:rPr>
          <w:rFonts w:hint="eastAsia" w:ascii="仿宋_GB2312" w:hAnsi="仿宋_GB2312" w:cs="仿宋_GB2312"/>
          <w:b/>
          <w:bCs/>
          <w:lang w:val="en-US" w:eastAsia="zh-CN"/>
        </w:rPr>
        <w:t>供地</w:t>
      </w:r>
      <w:r>
        <w:rPr>
          <w:rFonts w:hint="eastAsia" w:ascii="仿宋_GB2312" w:hAnsi="仿宋_GB2312" w:eastAsia="仿宋_GB2312" w:cs="仿宋_GB2312"/>
          <w:b/>
          <w:bCs/>
          <w:lang w:val="en-US" w:eastAsia="zh-CN"/>
        </w:rPr>
        <w:t>机制。</w:t>
      </w:r>
      <w:r>
        <w:rPr>
          <w:rFonts w:hint="eastAsia" w:ascii="仿宋_GB2312" w:hAnsi="仿宋_GB2312" w:eastAsia="仿宋_GB2312" w:cs="仿宋_GB2312"/>
          <w:lang w:val="en-US" w:eastAsia="zh-CN"/>
        </w:rPr>
        <w:t>推动经开区在原有实控1030公顷面积基础上，依据富锦市国土空间总体规划，有序开展301公顷土地储备及基础配套建设，进一步拓展发展空间，提升承载能力。创新“园村联动”富民机制，探索村级建设用地作价入股开发园区模式。</w:t>
      </w:r>
      <w:r>
        <w:rPr>
          <w:rFonts w:hint="eastAsia" w:ascii="仿宋_GB2312" w:hAnsi="仿宋_GB2312" w:eastAsia="仿宋_GB2312" w:cs="仿宋_GB2312"/>
        </w:rPr>
        <w:t>推进闲置工业用地腾退，盘活再利用存量土地，打造高质量产业园区</w:t>
      </w:r>
      <w:r>
        <w:rPr>
          <w:rFonts w:hint="eastAsia" w:ascii="仿宋_GB2312" w:hAnsi="仿宋_GB2312" w:eastAsia="仿宋_GB2312" w:cs="仿宋_GB2312"/>
          <w:lang w:eastAsia="zh-CN"/>
        </w:rPr>
        <w:t>。</w:t>
      </w:r>
    </w:p>
    <w:p w14:paraId="3D0D7418">
      <w:pPr>
        <w:bidi w:val="0"/>
        <w:rPr>
          <w:rFonts w:hint="eastAsia" w:ascii="仿宋_GB2312" w:hAnsi="仿宋_GB2312" w:eastAsia="仿宋_GB2312" w:cs="仿宋_GB2312"/>
          <w:lang w:val="en-US" w:eastAsia="zh-CN"/>
        </w:rPr>
      </w:pPr>
      <w:r>
        <w:rPr>
          <w:rFonts w:hint="eastAsia" w:ascii="仿宋" w:hAnsi="仿宋" w:eastAsia="仿宋" w:cs="仿宋_GB2312"/>
          <w:b/>
          <w:sz w:val="32"/>
          <w:szCs w:val="32"/>
        </w:rPr>
        <w:t>推动经开区“一区多园”扩容增效。</w:t>
      </w:r>
      <w:r>
        <w:rPr>
          <w:rFonts w:ascii="仿宋" w:hAnsi="仿宋" w:eastAsia="仿宋" w:cs="仿宋_GB2312"/>
          <w:kern w:val="0"/>
          <w:sz w:val="32"/>
          <w:szCs w:val="32"/>
        </w:rPr>
        <w:t>结合循环经济、</w:t>
      </w:r>
      <w:r>
        <w:rPr>
          <w:rFonts w:hint="eastAsia" w:ascii="仿宋" w:hAnsi="仿宋" w:eastAsia="仿宋" w:cs="仿宋_GB2312"/>
          <w:kern w:val="0"/>
          <w:sz w:val="32"/>
          <w:szCs w:val="32"/>
          <w:lang w:val="en-US" w:eastAsia="zh-CN"/>
        </w:rPr>
        <w:t>绿色经济</w:t>
      </w:r>
      <w:r>
        <w:rPr>
          <w:rFonts w:ascii="仿宋" w:hAnsi="仿宋" w:eastAsia="仿宋" w:cs="仿宋_GB2312"/>
          <w:kern w:val="0"/>
          <w:sz w:val="32"/>
          <w:szCs w:val="32"/>
        </w:rPr>
        <w:t>等新兴产业方向，</w:t>
      </w:r>
      <w:r>
        <w:rPr>
          <w:rFonts w:hint="eastAsia" w:ascii="仿宋" w:hAnsi="仿宋" w:eastAsia="仿宋" w:cs="仿宋_GB2312"/>
          <w:kern w:val="0"/>
          <w:sz w:val="32"/>
          <w:szCs w:val="32"/>
        </w:rPr>
        <w:t>依托富锦市经济开发区，带动绿色食品产业园、富锦国际现代物流园、化工园等多个产业园区</w:t>
      </w:r>
      <w:r>
        <w:rPr>
          <w:rFonts w:hint="eastAsia" w:ascii="仿宋" w:hAnsi="仿宋" w:eastAsia="仿宋" w:cs="仿宋_GB2312"/>
          <w:kern w:val="0"/>
          <w:sz w:val="32"/>
          <w:szCs w:val="32"/>
          <w:lang w:val="en-US" w:eastAsia="zh-CN"/>
        </w:rPr>
        <w:t>协同发展</w:t>
      </w:r>
      <w:r>
        <w:rPr>
          <w:rFonts w:hint="eastAsia" w:ascii="仿宋" w:hAnsi="仿宋" w:eastAsia="仿宋" w:cs="仿宋_GB2312"/>
          <w:kern w:val="0"/>
          <w:sz w:val="32"/>
          <w:szCs w:val="32"/>
        </w:rPr>
        <w:t>，</w:t>
      </w:r>
      <w:r>
        <w:rPr>
          <w:rFonts w:hint="eastAsia" w:ascii="仿宋" w:hAnsi="仿宋" w:eastAsia="仿宋" w:cs="仿宋_GB2312"/>
          <w:kern w:val="0"/>
          <w:sz w:val="32"/>
          <w:szCs w:val="32"/>
          <w:lang w:val="en-US" w:eastAsia="zh-CN"/>
        </w:rPr>
        <w:t>构建</w:t>
      </w:r>
      <w:r>
        <w:rPr>
          <w:rFonts w:hint="eastAsia" w:ascii="仿宋" w:hAnsi="仿宋" w:eastAsia="仿宋" w:cs="仿宋_GB2312"/>
          <w:kern w:val="0"/>
          <w:sz w:val="32"/>
          <w:szCs w:val="32"/>
        </w:rPr>
        <w:t>“</w:t>
      </w:r>
      <w:r>
        <w:rPr>
          <w:rFonts w:hint="eastAsia" w:ascii="仿宋" w:hAnsi="仿宋" w:eastAsia="仿宋" w:cs="仿宋_GB2312"/>
          <w:kern w:val="0"/>
          <w:sz w:val="32"/>
          <w:szCs w:val="32"/>
          <w:lang w:val="en-US" w:eastAsia="zh-CN"/>
        </w:rPr>
        <w:t>富锦经开区</w:t>
      </w:r>
      <w:r>
        <w:rPr>
          <w:rFonts w:hint="eastAsia" w:ascii="仿宋" w:hAnsi="仿宋" w:eastAsia="仿宋" w:cs="仿宋_GB2312"/>
          <w:kern w:val="0"/>
          <w:sz w:val="32"/>
          <w:szCs w:val="32"/>
        </w:rPr>
        <w:t>+若干专业产业园”现代</w:t>
      </w:r>
      <w:r>
        <w:rPr>
          <w:rFonts w:hint="eastAsia" w:ascii="仿宋" w:hAnsi="仿宋" w:eastAsia="仿宋" w:cs="仿宋_GB2312"/>
          <w:kern w:val="0"/>
          <w:sz w:val="32"/>
          <w:szCs w:val="32"/>
          <w:lang w:val="en-US" w:eastAsia="zh-CN"/>
        </w:rPr>
        <w:t>产业园</w:t>
      </w:r>
      <w:r>
        <w:rPr>
          <w:rFonts w:hint="eastAsia" w:ascii="仿宋" w:hAnsi="仿宋" w:eastAsia="仿宋" w:cs="仿宋_GB2312"/>
          <w:kern w:val="0"/>
          <w:sz w:val="32"/>
          <w:szCs w:val="32"/>
        </w:rPr>
        <w:t>发展</w:t>
      </w:r>
      <w:r>
        <w:rPr>
          <w:rFonts w:hint="eastAsia" w:ascii="仿宋_GB2312" w:hAnsi="仿宋_GB2312" w:eastAsia="仿宋_GB2312" w:cs="仿宋_GB2312"/>
        </w:rPr>
        <w:t>格局。</w:t>
      </w:r>
      <w:bookmarkStart w:id="33" w:name="OLE_LINK14"/>
      <w:r>
        <w:rPr>
          <w:rFonts w:hint="eastAsia" w:ascii="仿宋_GB2312" w:hAnsi="仿宋_GB2312" w:eastAsia="仿宋_GB2312" w:cs="仿宋_GB2312"/>
        </w:rPr>
        <w:t>推动</w:t>
      </w:r>
      <w:r>
        <w:rPr>
          <w:rFonts w:hint="eastAsia" w:ascii="仿宋_GB2312" w:hAnsi="仿宋_GB2312" w:eastAsia="仿宋_GB2312" w:cs="仿宋_GB2312"/>
          <w:lang w:val="en-US" w:eastAsia="zh-CN"/>
        </w:rPr>
        <w:t>富锦经开区</w:t>
      </w:r>
      <w:r>
        <w:rPr>
          <w:rFonts w:hint="eastAsia" w:ascii="仿宋_GB2312" w:hAnsi="仿宋_GB2312" w:eastAsia="仿宋_GB2312" w:cs="仿宋_GB2312"/>
        </w:rPr>
        <w:t>产业空间整合和布局优化，引导零散工业用地、新建工业项目向开发区</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园区</w:t>
      </w:r>
      <w:r>
        <w:rPr>
          <w:rFonts w:hint="eastAsia" w:ascii="仿宋_GB2312" w:hAnsi="仿宋_GB2312" w:eastAsia="仿宋_GB2312" w:cs="仿宋_GB2312"/>
          <w:lang w:eastAsia="zh-CN"/>
        </w:rPr>
        <w:t>）</w:t>
      </w:r>
      <w:r>
        <w:rPr>
          <w:rFonts w:hint="eastAsia" w:ascii="仿宋_GB2312" w:hAnsi="仿宋_GB2312" w:eastAsia="仿宋_GB2312" w:cs="仿宋_GB2312"/>
        </w:rPr>
        <w:t>集聚，加快经开区拟建产业项目落地，促进产业集聚发展。</w:t>
      </w:r>
      <w:bookmarkEnd w:id="33"/>
      <w:r>
        <w:rPr>
          <w:rFonts w:hint="eastAsia" w:ascii="仿宋_GB2312" w:hAnsi="仿宋_GB2312" w:eastAsia="仿宋_GB2312" w:cs="仿宋_GB2312"/>
          <w:lang w:val="en-US" w:eastAsia="zh-CN"/>
        </w:rPr>
        <w:t>创新经开区管理体制，优化“管委会+公司”运营模式，健全市场化运营机制，推动经开区“政企分开、管运分离”，提升园区公共服务能力和市场化运作水平。</w:t>
      </w:r>
    </w:p>
    <w:p w14:paraId="3C832760">
      <w:pPr>
        <w:bidi w:val="0"/>
        <w:rPr>
          <w:rFonts w:hint="eastAsia" w:ascii="仿宋_GB2312" w:hAnsi="仿宋_GB2312" w:eastAsia="仿宋_GB2312" w:cs="仿宋_GB2312"/>
          <w:lang w:val="en-US" w:eastAsia="zh-CN"/>
        </w:rPr>
      </w:pPr>
      <w:r>
        <w:rPr>
          <w:rFonts w:hint="eastAsia" w:ascii="仿宋" w:hAnsi="仿宋" w:eastAsia="仿宋" w:cs="仿宋_GB2312"/>
          <w:b/>
          <w:bCs/>
          <w:kern w:val="0"/>
          <w:sz w:val="32"/>
          <w:szCs w:val="32"/>
          <w:lang w:val="en-US" w:eastAsia="zh-CN"/>
        </w:rPr>
        <w:t>完善经开区配套设施建设。</w:t>
      </w:r>
      <w:r>
        <w:rPr>
          <w:rFonts w:hint="default" w:ascii="Times New Roman" w:hAnsi="Times New Roman" w:eastAsia="仿宋_GB2312" w:cs="Times New Roman"/>
          <w:color w:val="000000"/>
          <w:sz w:val="32"/>
          <w:szCs w:val="32"/>
          <w:u w:val="none"/>
          <w:lang w:eastAsia="zh-CN"/>
        </w:rPr>
        <w:t>持续</w:t>
      </w:r>
      <w:r>
        <w:rPr>
          <w:rFonts w:hint="default" w:ascii="Times New Roman" w:hAnsi="Times New Roman" w:eastAsia="仿宋_GB2312" w:cs="Times New Roman"/>
          <w:color w:val="000000"/>
          <w:sz w:val="32"/>
          <w:szCs w:val="32"/>
          <w:u w:val="none"/>
          <w:lang w:val="en-US" w:eastAsia="zh-CN"/>
        </w:rPr>
        <w:t>强化水热电</w:t>
      </w:r>
      <w:r>
        <w:rPr>
          <w:rFonts w:hint="default" w:ascii="Times New Roman" w:hAnsi="Times New Roman" w:cs="Times New Roman"/>
          <w:color w:val="000000"/>
          <w:sz w:val="32"/>
          <w:szCs w:val="32"/>
          <w:u w:val="none"/>
          <w:lang w:val="en-US" w:eastAsia="zh-CN"/>
        </w:rPr>
        <w:t>汽</w:t>
      </w:r>
      <w:r>
        <w:rPr>
          <w:rFonts w:hint="default" w:ascii="Times New Roman" w:hAnsi="Times New Roman" w:eastAsia="仿宋_GB2312" w:cs="Times New Roman"/>
          <w:color w:val="000000"/>
          <w:sz w:val="32"/>
          <w:szCs w:val="32"/>
          <w:u w:val="none"/>
          <w:lang w:val="en-US" w:eastAsia="zh-CN"/>
        </w:rPr>
        <w:t>、信息网络、标准厂房、科技服务等要素供给，</w:t>
      </w:r>
      <w:r>
        <w:rPr>
          <w:rFonts w:hint="default" w:ascii="Times New Roman" w:hAnsi="Times New Roman" w:eastAsia="仿宋_GB2312" w:cs="Times New Roman"/>
          <w:color w:val="000000"/>
          <w:kern w:val="2"/>
          <w:sz w:val="32"/>
          <w:szCs w:val="32"/>
          <w:u w:val="none"/>
          <w:lang w:eastAsia="zh-CN" w:bidi="ar-SA"/>
        </w:rPr>
        <w:t>降低生产要素成本，</w:t>
      </w:r>
      <w:r>
        <w:rPr>
          <w:rFonts w:hint="default" w:ascii="Times New Roman" w:hAnsi="Times New Roman" w:eastAsia="仿宋_GB2312" w:cs="Times New Roman"/>
          <w:color w:val="000000"/>
          <w:sz w:val="32"/>
          <w:szCs w:val="32"/>
          <w:u w:val="none"/>
          <w:lang w:val="en-US" w:eastAsia="zh-CN"/>
        </w:rPr>
        <w:t>发挥载体功能和支撑作用</w:t>
      </w:r>
      <w:r>
        <w:rPr>
          <w:rFonts w:hint="eastAsia" w:ascii="Times New Roman" w:hAnsi="Times New Roman" w:cs="Times New Roman"/>
          <w:color w:val="000000"/>
          <w:sz w:val="32"/>
          <w:szCs w:val="32"/>
          <w:u w:val="none"/>
          <w:lang w:val="en-US" w:eastAsia="zh-CN"/>
        </w:rPr>
        <w:t>。</w:t>
      </w:r>
      <w:r>
        <w:rPr>
          <w:rFonts w:hint="eastAsia" w:ascii="仿宋" w:hAnsi="仿宋" w:eastAsia="仿宋" w:cs="仿宋_GB2312"/>
          <w:kern w:val="0"/>
          <w:sz w:val="32"/>
          <w:szCs w:val="32"/>
          <w:lang w:val="en-US" w:eastAsia="zh-CN"/>
        </w:rPr>
        <w:t>升级园区生产保障设施，推动能源保障体系升级，建设园区双回路电网、智能微电网，探索“隔墙售电”“绿电直供”模式项目，为园区提供绿色、低成本能源补充；推动环保安全设施强化，升级园区污水处理厂，提高处理标准和能力，加强固废资源化利用，推动建设集中的工业废物、危废收集、转运和处理中心。构建园区专业化服务平台，推动公共技术研发平台建设，与高校、科研机构合作，共建园区食品检测、技术研发、公共维修平台和中试基地，降低中小企业创新门槛；推动数字智慧园区平台建设，建设“园区大脑”，集成能源监控、安全环保应急指挥、企业服务“一网通办”、物流信息匹配等功能，让数据多跑路、企业少跑腿。完善园区生活服务功能，规划建设园区健身中心、绿地、公园等休闲空间，营造优美、舒适的工作生活环境，提升园区整体形象和员工幸福感。</w:t>
      </w:r>
    </w:p>
    <w:p w14:paraId="276A9EC7">
      <w:pPr>
        <w:bidi w:val="0"/>
        <w:rPr>
          <w:rFonts w:hint="default" w:ascii="仿宋_GB2312" w:hAnsi="仿宋_GB2312" w:eastAsia="仿宋_GB2312" w:cs="仿宋_GB2312"/>
          <w:lang w:val="en-US" w:eastAsia="zh-CN"/>
        </w:rPr>
      </w:pPr>
      <w:r>
        <w:rPr>
          <w:rFonts w:hint="eastAsia" w:ascii="仿宋_GB2312" w:hAnsi="仿宋_GB2312" w:eastAsia="仿宋_GB2312" w:cs="仿宋_GB2312"/>
          <w:b/>
          <w:bCs/>
          <w:lang w:val="en-US" w:eastAsia="zh-CN"/>
        </w:rPr>
        <w:t>建设</w:t>
      </w:r>
      <w:r>
        <w:rPr>
          <w:rFonts w:hint="eastAsia" w:ascii="仿宋_GB2312" w:hAnsi="仿宋_GB2312" w:eastAsia="仿宋_GB2312" w:cs="仿宋_GB2312"/>
          <w:b/>
          <w:bCs/>
        </w:rPr>
        <w:t>产城融合发展示范区。</w:t>
      </w:r>
      <w:r>
        <w:rPr>
          <w:rFonts w:hint="eastAsia" w:ascii="仿宋_GB2312" w:hAnsi="仿宋_GB2312" w:eastAsia="仿宋_GB2312" w:cs="仿宋_GB2312"/>
        </w:rPr>
        <w:t>推动产城融合深度协调，以产促城、以城兴产，将产业、居住、生态等功能模块有机整合，</w:t>
      </w:r>
      <w:r>
        <w:rPr>
          <w:rFonts w:hint="default" w:ascii="Times New Roman" w:hAnsi="Times New Roman" w:eastAsia="仿宋_GB2312" w:cs="Times New Roman"/>
          <w:color w:val="000000"/>
          <w:kern w:val="2"/>
          <w:sz w:val="34"/>
          <w:szCs w:val="34"/>
          <w:u w:val="none"/>
          <w:lang w:val="en-US" w:eastAsia="zh-CN" w:bidi="ar-SA"/>
        </w:rPr>
        <w:t>推动经开区与主城区设施共享</w:t>
      </w:r>
      <w:r>
        <w:rPr>
          <w:rFonts w:hint="eastAsia" w:ascii="Times New Roman" w:hAnsi="Times New Roman" w:cs="Times New Roman"/>
          <w:color w:val="000000"/>
          <w:kern w:val="2"/>
          <w:sz w:val="34"/>
          <w:szCs w:val="34"/>
          <w:u w:val="none"/>
          <w:lang w:val="en-US" w:eastAsia="zh-CN" w:bidi="ar-SA"/>
        </w:rPr>
        <w:t>，</w:t>
      </w:r>
      <w:r>
        <w:rPr>
          <w:rFonts w:hint="eastAsia" w:ascii="仿宋_GB2312" w:hAnsi="仿宋_GB2312" w:eastAsia="仿宋_GB2312" w:cs="仿宋_GB2312"/>
        </w:rPr>
        <w:t>促进经开区与主城区职住平衡持续优化、空间布局一体共融，形成产城互促共进的良性发</w:t>
      </w:r>
      <w:r>
        <w:rPr>
          <w:rFonts w:hint="eastAsia" w:ascii="仿宋_GB2312" w:hAnsi="仿宋_GB2312" w:eastAsia="仿宋_GB2312" w:cs="仿宋_GB2312"/>
          <w:sz w:val="32"/>
          <w:szCs w:val="32"/>
        </w:rPr>
        <w:t>展格局</w:t>
      </w:r>
      <w:r>
        <w:rPr>
          <w:rFonts w:hint="eastAsia" w:ascii="仿宋_GB2312" w:hAnsi="仿宋_GB2312" w:cs="仿宋_GB2312"/>
          <w:sz w:val="32"/>
          <w:szCs w:val="32"/>
          <w:lang w:eastAsia="zh-CN"/>
        </w:rPr>
        <w:t>，</w:t>
      </w:r>
      <w:r>
        <w:rPr>
          <w:rFonts w:hint="default" w:ascii="Times New Roman" w:hAnsi="Times New Roman" w:eastAsia="仿宋_GB2312" w:cs="Times New Roman"/>
          <w:color w:val="000000"/>
          <w:kern w:val="2"/>
          <w:sz w:val="32"/>
          <w:szCs w:val="32"/>
          <w:u w:val="none"/>
          <w:lang w:val="en-US" w:eastAsia="zh-CN" w:bidi="ar-SA"/>
        </w:rPr>
        <w:t>打造产城融合发展示范区</w:t>
      </w:r>
      <w:r>
        <w:rPr>
          <w:rFonts w:hint="eastAsia" w:ascii="仿宋_GB2312" w:hAnsi="仿宋_GB2312" w:eastAsia="仿宋_GB2312" w:cs="仿宋_GB2312"/>
        </w:rPr>
        <w:t>。</w:t>
      </w:r>
    </w:p>
    <w:p w14:paraId="0185CF0C">
      <w:pPr>
        <w:bidi w:val="0"/>
        <w:rPr>
          <w:rFonts w:hint="default" w:ascii="仿宋" w:hAnsi="仿宋" w:eastAsia="仿宋" w:cs="仿宋_GB2312"/>
          <w:kern w:val="0"/>
          <w:sz w:val="32"/>
          <w:szCs w:val="32"/>
          <w:lang w:val="en-US" w:eastAsia="zh-CN"/>
        </w:rPr>
      </w:pPr>
      <w:r>
        <w:rPr>
          <w:rFonts w:hint="eastAsia" w:ascii="仿宋_GB2312" w:hAnsi="仿宋_GB2312" w:cs="仿宋_GB2312"/>
          <w:b/>
          <w:bCs/>
          <w:lang w:val="en-US" w:eastAsia="zh-CN"/>
        </w:rPr>
        <w:t>推动化工园区高质量发展</w:t>
      </w:r>
      <w:r>
        <w:rPr>
          <w:rFonts w:hint="eastAsia" w:ascii="仿宋_GB2312" w:hAnsi="仿宋_GB2312" w:eastAsia="仿宋_GB2312" w:cs="仿宋_GB2312"/>
          <w:b/>
          <w:bCs/>
        </w:rPr>
        <w:t>。</w:t>
      </w:r>
      <w:r>
        <w:rPr>
          <w:rFonts w:hint="eastAsia" w:ascii="仿宋_GB2312" w:hAnsi="仿宋_GB2312" w:eastAsia="仿宋_GB2312" w:cs="仿宋_GB2312"/>
        </w:rPr>
        <w:t>持续优化化工园区建设，推动污水处理厂、危险化学品运输车辆停车场、化工园区事故应急水池、化工园区变电站等基础设施正式运行。</w:t>
      </w:r>
      <w:r>
        <w:rPr>
          <w:rFonts w:hint="eastAsia" w:ascii="仿宋_GB2312" w:hAnsi="仿宋_GB2312" w:cs="仿宋_GB2312"/>
          <w:lang w:val="en-US" w:eastAsia="zh-CN"/>
        </w:rPr>
        <w:t>推进化工园区“安全升级”，</w:t>
      </w:r>
      <w:r>
        <w:rPr>
          <w:rFonts w:hint="eastAsia" w:ascii="仿宋_GB2312" w:hAnsi="仿宋_GB2312" w:eastAsia="仿宋_GB2312" w:cs="仿宋_GB2312"/>
        </w:rPr>
        <w:t>强化安全生产应急管理，完善各项制度，修编化工园区各项应急预案，组织进行安全生产事故应急演练，迎接国家应急管理部安全风险等级复核，按新国检标准，提升软硬件配套，建设低安全风险的化工园区。加快危化铁路扩建、香稻铁路专用线、危化品停车场、应急水池、综合物料管廊等在建项目建设进度，力争早日建成并投入使用。</w:t>
      </w:r>
    </w:p>
    <w:p w14:paraId="61561134">
      <w:pPr>
        <w:bidi w:val="0"/>
        <w:rPr>
          <w:rFonts w:hint="eastAsia" w:ascii="仿宋_GB2312" w:hAnsi="仿宋_GB2312" w:eastAsia="仿宋_GB2312" w:cs="仿宋_GB2312"/>
        </w:rPr>
      </w:pPr>
      <w:r>
        <w:rPr>
          <w:rFonts w:hint="eastAsia" w:ascii="仿宋_GB2312" w:hAnsi="仿宋_GB2312" w:eastAsia="仿宋_GB2312" w:cs="仿宋_GB2312"/>
          <w:b/>
          <w:bCs/>
        </w:rPr>
        <w:t>积极</w:t>
      </w:r>
      <w:r>
        <w:rPr>
          <w:rFonts w:hint="eastAsia" w:ascii="仿宋_GB2312" w:hAnsi="仿宋_GB2312" w:eastAsia="仿宋_GB2312" w:cs="仿宋_GB2312"/>
          <w:b/>
          <w:bCs/>
          <w:lang w:val="en-US" w:eastAsia="zh-CN"/>
        </w:rPr>
        <w:t>谋划国省</w:t>
      </w:r>
      <w:r>
        <w:rPr>
          <w:rFonts w:hint="eastAsia" w:ascii="仿宋_GB2312" w:hAnsi="仿宋_GB2312" w:eastAsia="仿宋_GB2312" w:cs="仿宋_GB2312"/>
          <w:b/>
          <w:bCs/>
        </w:rPr>
        <w:t>级</w:t>
      </w:r>
      <w:r>
        <w:rPr>
          <w:rFonts w:hint="eastAsia" w:ascii="仿宋_GB2312" w:hAnsi="仿宋_GB2312" w:eastAsia="仿宋_GB2312" w:cs="仿宋_GB2312"/>
          <w:b/>
          <w:bCs/>
          <w:lang w:eastAsia="zh-CN"/>
        </w:rPr>
        <w:t>“</w:t>
      </w:r>
      <w:r>
        <w:rPr>
          <w:rFonts w:hint="eastAsia" w:ascii="仿宋_GB2312" w:hAnsi="仿宋_GB2312" w:eastAsia="仿宋_GB2312" w:cs="仿宋_GB2312"/>
          <w:b/>
          <w:bCs/>
        </w:rPr>
        <w:t>零碳</w:t>
      </w:r>
      <w:r>
        <w:rPr>
          <w:rFonts w:hint="eastAsia" w:ascii="仿宋_GB2312" w:hAnsi="仿宋_GB2312" w:eastAsia="仿宋_GB2312" w:cs="仿宋_GB2312"/>
          <w:b/>
          <w:bCs/>
          <w:lang w:val="en-US" w:eastAsia="zh-CN"/>
        </w:rPr>
        <w:t>示范</w:t>
      </w:r>
      <w:r>
        <w:rPr>
          <w:rFonts w:hint="eastAsia" w:ascii="仿宋_GB2312" w:hAnsi="仿宋_GB2312" w:eastAsia="仿宋_GB2312" w:cs="仿宋_GB2312"/>
          <w:b/>
          <w:bCs/>
        </w:rPr>
        <w:t>园区</w:t>
      </w:r>
      <w:r>
        <w:rPr>
          <w:rFonts w:hint="eastAsia" w:ascii="仿宋_GB2312" w:hAnsi="仿宋_GB2312" w:eastAsia="仿宋_GB2312" w:cs="仿宋_GB2312"/>
          <w:b/>
          <w:bCs/>
          <w:lang w:eastAsia="zh-CN"/>
        </w:rPr>
        <w:t>”</w:t>
      </w:r>
      <w:r>
        <w:rPr>
          <w:rFonts w:hint="eastAsia" w:ascii="仿宋_GB2312" w:hAnsi="仿宋_GB2312" w:eastAsia="仿宋_GB2312" w:cs="仿宋_GB2312"/>
          <w:b/>
          <w:bCs/>
        </w:rPr>
        <w:t>。</w:t>
      </w:r>
      <w:r>
        <w:rPr>
          <w:rFonts w:hint="eastAsia" w:ascii="仿宋_GB2312" w:hAnsi="仿宋_GB2312" w:eastAsia="仿宋_GB2312" w:cs="仿宋_GB2312"/>
        </w:rPr>
        <w:t>对标国家零碳园区创建的基本</w:t>
      </w:r>
      <w:r>
        <w:rPr>
          <w:rFonts w:hint="eastAsia" w:ascii="仿宋_GB2312" w:hAnsi="仿宋_GB2312" w:eastAsia="仿宋_GB2312" w:cs="仿宋_GB2312"/>
          <w:lang w:val="en-US" w:eastAsia="zh-CN"/>
        </w:rPr>
        <w:t>要求</w:t>
      </w:r>
      <w:r>
        <w:rPr>
          <w:rFonts w:hint="eastAsia" w:ascii="仿宋_GB2312" w:hAnsi="仿宋_GB2312" w:eastAsia="仿宋_GB2312" w:cs="仿宋_GB2312"/>
        </w:rPr>
        <w:t>，争取国家增量配电网改革试点，在经开区划定独立供电区域，由风电企业、电网公司和</w:t>
      </w:r>
      <w:r>
        <w:rPr>
          <w:rFonts w:hint="eastAsia" w:ascii="仿宋_GB2312" w:hAnsi="仿宋_GB2312" w:eastAsia="仿宋_GB2312" w:cs="仿宋_GB2312"/>
          <w:lang w:val="en-US" w:eastAsia="zh-CN"/>
        </w:rPr>
        <w:t>万达公司</w:t>
      </w:r>
      <w:r>
        <w:rPr>
          <w:rFonts w:hint="eastAsia" w:ascii="仿宋_GB2312" w:hAnsi="仿宋_GB2312" w:eastAsia="仿宋_GB2312" w:cs="仿宋_GB2312"/>
        </w:rPr>
        <w:t>合资成立配售电公司，实现风电“隔墙售电”，建立“发</w:t>
      </w:r>
      <w:r>
        <w:rPr>
          <w:rFonts w:hint="eastAsia" w:ascii="仿宋_GB2312" w:hAnsi="仿宋_GB2312" w:cs="仿宋_GB2312"/>
          <w:lang w:eastAsia="zh-CN"/>
        </w:rPr>
        <w:t>－</w:t>
      </w:r>
      <w:r>
        <w:rPr>
          <w:rFonts w:hint="eastAsia" w:ascii="仿宋_GB2312" w:hAnsi="仿宋_GB2312" w:eastAsia="仿宋_GB2312" w:cs="仿宋_GB2312"/>
        </w:rPr>
        <w:t>配</w:t>
      </w:r>
      <w:r>
        <w:rPr>
          <w:rFonts w:hint="eastAsia" w:ascii="仿宋_GB2312" w:hAnsi="仿宋_GB2312" w:cs="仿宋_GB2312"/>
          <w:lang w:eastAsia="zh-CN"/>
        </w:rPr>
        <w:t>－</w:t>
      </w:r>
      <w:r>
        <w:rPr>
          <w:rFonts w:hint="eastAsia" w:ascii="仿宋_GB2312" w:hAnsi="仿宋_GB2312" w:eastAsia="仿宋_GB2312" w:cs="仿宋_GB2312"/>
        </w:rPr>
        <w:t>用”一体化运营主体</w:t>
      </w:r>
      <w:r>
        <w:rPr>
          <w:rFonts w:hint="eastAsia" w:ascii="仿宋_GB2312" w:hAnsi="仿宋_GB2312" w:eastAsia="仿宋_GB2312" w:cs="仿宋_GB2312"/>
          <w:lang w:eastAsia="zh-CN"/>
        </w:rPr>
        <w:t>。</w:t>
      </w:r>
      <w:r>
        <w:rPr>
          <w:rFonts w:hint="eastAsia" w:ascii="仿宋_GB2312" w:hAnsi="仿宋_GB2312" w:eastAsia="仿宋_GB2312" w:cs="仿宋_GB2312"/>
        </w:rPr>
        <w:t>围绕经开区开展源网荷储一体化绿色供电园区建设，整合绿色新能源，搭建园区微电网，构建“开放共享式”虚拟电厂，整合分布式电源，优化能源分配，推动经开区以及各园区间能源的互联互通。部署经开区“虚拟电厂”平台，整合企业可中断负荷、生物质热电实现多能互补</w:t>
      </w:r>
      <w:r>
        <w:rPr>
          <w:rFonts w:hint="eastAsia" w:ascii="仿宋_GB2312" w:hAnsi="仿宋_GB2312" w:eastAsia="仿宋_GB2312" w:cs="仿宋_GB2312"/>
          <w:lang w:eastAsia="zh-CN"/>
        </w:rPr>
        <w:t>，</w:t>
      </w:r>
      <w:r>
        <w:rPr>
          <w:rFonts w:hint="eastAsia" w:ascii="仿宋_GB2312" w:hAnsi="仿宋_GB2312" w:eastAsia="仿宋_GB2312" w:cs="仿宋_GB2312"/>
        </w:rPr>
        <w:t>打造园区综合能碳平台，实现能碳监测、能碳管理、能碳资产交易，赋能零碳园区全场景数字能碳运营。加快企业节能与循环技术</w:t>
      </w:r>
      <w:r>
        <w:rPr>
          <w:rFonts w:hint="eastAsia" w:ascii="仿宋_GB2312" w:hAnsi="仿宋_GB2312" w:eastAsia="仿宋_GB2312" w:cs="仿宋_GB2312"/>
          <w:lang w:eastAsia="zh-CN"/>
        </w:rPr>
        <w:t>、</w:t>
      </w:r>
      <w:r>
        <w:rPr>
          <w:rFonts w:hint="eastAsia" w:ascii="仿宋_GB2312" w:hAnsi="仿宋_GB2312" w:eastAsia="仿宋_GB2312" w:cs="仿宋_GB2312"/>
        </w:rPr>
        <w:t>装备</w:t>
      </w:r>
      <w:r>
        <w:rPr>
          <w:rFonts w:hint="eastAsia" w:ascii="仿宋_GB2312" w:hAnsi="仿宋_GB2312" w:eastAsia="仿宋_GB2312" w:cs="仿宋_GB2312"/>
          <w:lang w:eastAsia="zh-CN"/>
        </w:rPr>
        <w:t>的</w:t>
      </w:r>
      <w:r>
        <w:rPr>
          <w:rFonts w:hint="eastAsia" w:ascii="仿宋_GB2312" w:hAnsi="仿宋_GB2312" w:eastAsia="仿宋_GB2312" w:cs="仿宋_GB2312"/>
        </w:rPr>
        <w:t>创新应用，优化生产工艺流程，培育绿色产品、绿色工厂、绿色园区、绿色供应链。构建园区绿色交通体系，加快推进铁路货场、物流园区内部作业车辆和机械</w:t>
      </w:r>
      <w:r>
        <w:rPr>
          <w:rFonts w:hint="eastAsia" w:ascii="仿宋_GB2312" w:hAnsi="仿宋_GB2312" w:eastAsia="仿宋_GB2312" w:cs="仿宋_GB2312"/>
          <w:lang w:eastAsia="zh-CN"/>
        </w:rPr>
        <w:t>的</w:t>
      </w:r>
      <w:r>
        <w:rPr>
          <w:rFonts w:hint="eastAsia" w:ascii="仿宋_GB2312" w:hAnsi="仿宋_GB2312" w:eastAsia="仿宋_GB2312" w:cs="仿宋_GB2312"/>
        </w:rPr>
        <w:t>新能源</w:t>
      </w:r>
      <w:r>
        <w:rPr>
          <w:rFonts w:hint="eastAsia" w:ascii="仿宋_GB2312" w:hAnsi="仿宋_GB2312" w:eastAsia="仿宋_GB2312" w:cs="仿宋_GB2312"/>
          <w:lang w:val="en-US" w:eastAsia="zh-CN"/>
        </w:rPr>
        <w:t>化</w:t>
      </w:r>
      <w:r>
        <w:rPr>
          <w:rFonts w:hint="eastAsia" w:ascii="仿宋_GB2312" w:hAnsi="仿宋_GB2312" w:eastAsia="仿宋_GB2312" w:cs="仿宋_GB2312"/>
        </w:rPr>
        <w:t>更新改造，在园区停车场、公共区域建设光储充一体化充电桩。</w:t>
      </w:r>
    </w:p>
    <w:tbl>
      <w:tblPr>
        <w:tblStyle w:val="20"/>
        <w:tblW w:w="8335"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335"/>
      </w:tblGrid>
      <w:tr w14:paraId="0AD5E4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470" w:hRule="atLeast"/>
          <w:jc w:val="center"/>
        </w:trPr>
        <w:tc>
          <w:tcPr>
            <w:tcW w:w="8335" w:type="dxa"/>
            <w:tcBorders>
              <w:top w:val="single" w:color="auto" w:sz="4" w:space="0"/>
              <w:bottom w:val="single" w:color="auto" w:sz="4" w:space="0"/>
            </w:tcBorders>
            <w:vAlign w:val="center"/>
          </w:tcPr>
          <w:p w14:paraId="78D67FD7">
            <w:pPr>
              <w:spacing w:line="340" w:lineRule="exact"/>
              <w:jc w:val="center"/>
              <w:rPr>
                <w:rFonts w:hint="default" w:ascii="仿宋" w:hAnsi="仿宋" w:eastAsia="黑体"/>
                <w:color w:val="000000" w:themeColor="text1"/>
                <w:sz w:val="28"/>
                <w:szCs w:val="28"/>
                <w:lang w:val="en-US" w:eastAsia="zh-CN"/>
                <w14:textFill>
                  <w14:solidFill>
                    <w14:schemeClr w14:val="tx1"/>
                  </w14:solidFill>
                </w14:textFill>
              </w:rPr>
            </w:pPr>
            <w:r>
              <w:rPr>
                <w:rFonts w:hint="eastAsia" w:ascii="黑体" w:hAnsi="黑体" w:eastAsia="黑体" w:cs="黑体"/>
                <w:sz w:val="24"/>
                <w:szCs w:val="24"/>
              </w:rPr>
              <w:t>专栏</w:t>
            </w:r>
            <w:r>
              <w:rPr>
                <w:rFonts w:hint="eastAsia" w:ascii="黑体" w:hAnsi="黑体" w:eastAsia="黑体" w:cs="黑体"/>
                <w:sz w:val="24"/>
                <w:szCs w:val="24"/>
                <w:lang w:val="en-US" w:eastAsia="zh-CN"/>
              </w:rPr>
              <w:t>4</w:t>
            </w:r>
            <w:r>
              <w:rPr>
                <w:rFonts w:hint="eastAsia" w:ascii="黑体" w:hAnsi="黑体" w:eastAsia="黑体" w:cs="黑体"/>
                <w:sz w:val="24"/>
                <w:szCs w:val="24"/>
              </w:rPr>
              <w:t>-</w:t>
            </w:r>
            <w:r>
              <w:rPr>
                <w:rFonts w:hint="eastAsia" w:ascii="黑体" w:hAnsi="黑体" w:eastAsia="黑体" w:cs="黑体"/>
                <w:sz w:val="24"/>
                <w:szCs w:val="24"/>
                <w:lang w:val="en-US" w:eastAsia="zh-CN"/>
              </w:rPr>
              <w:t>4</w:t>
            </w:r>
            <w:r>
              <w:rPr>
                <w:rFonts w:hint="eastAsia" w:ascii="黑体" w:hAnsi="黑体" w:eastAsia="黑体" w:cs="黑体"/>
                <w:sz w:val="24"/>
                <w:szCs w:val="24"/>
              </w:rPr>
              <w:t xml:space="preserve">  园区</w:t>
            </w:r>
            <w:r>
              <w:rPr>
                <w:rFonts w:hint="eastAsia" w:ascii="黑体" w:hAnsi="黑体" w:eastAsia="黑体" w:cs="黑体"/>
                <w:sz w:val="24"/>
                <w:szCs w:val="24"/>
                <w:lang w:val="en-US" w:eastAsia="zh-CN"/>
              </w:rPr>
              <w:t>提档</w:t>
            </w:r>
            <w:r>
              <w:rPr>
                <w:rFonts w:hint="eastAsia" w:ascii="黑体" w:hAnsi="黑体" w:eastAsia="黑体" w:cs="黑体"/>
                <w:sz w:val="24"/>
                <w:szCs w:val="24"/>
              </w:rPr>
              <w:t>升级</w:t>
            </w:r>
            <w:r>
              <w:rPr>
                <w:rFonts w:hint="eastAsia" w:ascii="黑体" w:hAnsi="黑体" w:eastAsia="黑体" w:cs="黑体"/>
                <w:sz w:val="24"/>
                <w:szCs w:val="24"/>
                <w:lang w:val="en-US" w:eastAsia="zh-CN"/>
              </w:rPr>
              <w:t>重点工程</w:t>
            </w:r>
          </w:p>
        </w:tc>
      </w:tr>
      <w:tr w14:paraId="57278F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1" w:hRule="atLeast"/>
          <w:jc w:val="center"/>
        </w:trPr>
        <w:tc>
          <w:tcPr>
            <w:tcW w:w="8335" w:type="dxa"/>
            <w:tcBorders>
              <w:top w:val="single" w:color="auto" w:sz="4" w:space="0"/>
            </w:tcBorders>
          </w:tcPr>
          <w:p w14:paraId="508C8165">
            <w:pPr>
              <w:pStyle w:val="8"/>
              <w:bidi w:val="0"/>
              <w:rPr>
                <w:rFonts w:hint="eastAsia" w:ascii="楷体_GB2312" w:hAnsi="楷体_GB2312" w:eastAsia="楷体_GB2312" w:cs="楷体_GB2312"/>
              </w:rPr>
            </w:pPr>
            <w:r>
              <w:rPr>
                <w:rFonts w:hint="eastAsia" w:ascii="楷体_GB2312" w:hAnsi="楷体_GB2312" w:eastAsia="楷体_GB2312" w:cs="楷体_GB2312"/>
                <w:b/>
                <w:bCs/>
              </w:rPr>
              <w:t>1.园区综合能碳</w:t>
            </w:r>
            <w:r>
              <w:rPr>
                <w:rFonts w:hint="eastAsia" w:ascii="楷体_GB2312" w:hAnsi="楷体_GB2312" w:eastAsia="楷体_GB2312" w:cs="楷体_GB2312"/>
                <w:b/>
                <w:bCs/>
                <w:lang w:val="en-US" w:eastAsia="zh-CN"/>
              </w:rPr>
              <w:t>管理平台建设工程</w:t>
            </w:r>
            <w:r>
              <w:rPr>
                <w:rFonts w:hint="eastAsia" w:ascii="楷体_GB2312" w:hAnsi="楷体_GB2312" w:eastAsia="楷体_GB2312" w:cs="楷体_GB2312"/>
                <w:b/>
                <w:bCs/>
              </w:rPr>
              <w:t>。</w:t>
            </w:r>
            <w:r>
              <w:rPr>
                <w:rFonts w:hint="eastAsia" w:ascii="楷体_GB2312" w:hAnsi="楷体_GB2312" w:eastAsia="楷体_GB2312" w:cs="楷体_GB2312"/>
              </w:rPr>
              <w:t>围绕经开区开展源网荷储一体化绿色供电园区建设，整合绿色新能源，搭建园区微电网，构建“开放共享式”虚拟电厂，打造园区综合能碳平台，实现能碳监测、能碳管理、能碳资产交易，赋能零碳园区全场景数字能碳运营。</w:t>
            </w:r>
          </w:p>
          <w:p w14:paraId="7F7AFCD8">
            <w:pPr>
              <w:pStyle w:val="8"/>
              <w:bidi w:val="0"/>
              <w:rPr>
                <w:rFonts w:hint="eastAsia" w:ascii="楷体_GB2312" w:hAnsi="楷体_GB2312" w:eastAsia="楷体_GB2312" w:cs="楷体_GB2312"/>
              </w:rPr>
            </w:pPr>
            <w:r>
              <w:rPr>
                <w:rFonts w:hint="eastAsia" w:ascii="楷体_GB2312" w:hAnsi="楷体_GB2312" w:eastAsia="楷体_GB2312" w:cs="楷体_GB2312"/>
                <w:b/>
                <w:bCs/>
              </w:rPr>
              <w:t>2.</w:t>
            </w:r>
            <w:r>
              <w:rPr>
                <w:rFonts w:hint="eastAsia" w:ascii="楷体_GB2312" w:hAnsi="楷体_GB2312" w:eastAsia="楷体_GB2312" w:cs="楷体_GB2312"/>
                <w:b/>
                <w:bCs/>
                <w:lang w:val="en-US" w:eastAsia="zh-CN"/>
              </w:rPr>
              <w:t>富锦市</w:t>
            </w:r>
            <w:r>
              <w:rPr>
                <w:rFonts w:hint="eastAsia" w:ascii="楷体_GB2312" w:hAnsi="楷体_GB2312" w:eastAsia="楷体_GB2312" w:cs="楷体_GB2312"/>
                <w:b/>
                <w:bCs/>
              </w:rPr>
              <w:t>建筑垃圾资源化利用</w:t>
            </w:r>
            <w:r>
              <w:rPr>
                <w:rFonts w:hint="eastAsia" w:ascii="楷体_GB2312" w:hAnsi="楷体_GB2312" w:eastAsia="楷体_GB2312" w:cs="楷体_GB2312"/>
                <w:b/>
                <w:bCs/>
                <w:lang w:val="en-US" w:eastAsia="zh-CN"/>
              </w:rPr>
              <w:t>示范工程</w:t>
            </w:r>
            <w:r>
              <w:rPr>
                <w:rFonts w:hint="eastAsia" w:ascii="楷体_GB2312" w:hAnsi="楷体_GB2312" w:eastAsia="楷体_GB2312" w:cs="楷体_GB2312"/>
                <w:b/>
                <w:bCs/>
              </w:rPr>
              <w:t>。</w:t>
            </w:r>
            <w:r>
              <w:rPr>
                <w:rFonts w:hint="eastAsia" w:ascii="楷体_GB2312" w:hAnsi="楷体_GB2312" w:eastAsia="楷体_GB2312" w:cs="楷体_GB2312"/>
                <w:lang w:val="en-US" w:eastAsia="zh-CN"/>
              </w:rPr>
              <w:t>在二龙山镇区北侧，</w:t>
            </w:r>
            <w:r>
              <w:rPr>
                <w:rFonts w:hint="eastAsia" w:ascii="楷体_GB2312" w:hAnsi="楷体_GB2312" w:eastAsia="楷体_GB2312" w:cs="楷体_GB2312"/>
              </w:rPr>
              <w:t>依托伟明环保能源有限公司</w:t>
            </w:r>
            <w:r>
              <w:rPr>
                <w:rFonts w:hint="eastAsia" w:ascii="楷体_GB2312" w:hAnsi="楷体_GB2312" w:eastAsia="楷体_GB2312" w:cs="楷体_GB2312"/>
                <w:lang w:val="en-US" w:eastAsia="zh-CN"/>
              </w:rPr>
              <w:t>生活</w:t>
            </w:r>
            <w:r>
              <w:rPr>
                <w:rFonts w:hint="eastAsia" w:ascii="楷体_GB2312" w:hAnsi="楷体_GB2312" w:eastAsia="楷体_GB2312" w:cs="楷体_GB2312"/>
              </w:rPr>
              <w:t>垃圾收运</w:t>
            </w:r>
            <w:r>
              <w:rPr>
                <w:rFonts w:hint="eastAsia" w:ascii="楷体_GB2312" w:hAnsi="楷体_GB2312" w:eastAsia="楷体_GB2312" w:cs="楷体_GB2312"/>
                <w:lang w:val="en-US" w:eastAsia="zh-CN"/>
              </w:rPr>
              <w:t>技术基础</w:t>
            </w:r>
            <w:r>
              <w:rPr>
                <w:rFonts w:hint="eastAsia" w:ascii="楷体_GB2312" w:hAnsi="楷体_GB2312" w:eastAsia="楷体_GB2312" w:cs="楷体_GB2312"/>
              </w:rPr>
              <w:t>，规划建设建筑垃圾资源化利用处置中心等</w:t>
            </w:r>
            <w:r>
              <w:rPr>
                <w:rFonts w:hint="eastAsia" w:ascii="楷体_GB2312" w:hAnsi="楷体_GB2312" w:eastAsia="楷体_GB2312" w:cs="楷体_GB2312"/>
                <w:lang w:val="en-US" w:eastAsia="zh-CN"/>
              </w:rPr>
              <w:t>相关设施</w:t>
            </w:r>
            <w:r>
              <w:rPr>
                <w:rFonts w:hint="eastAsia" w:ascii="楷体_GB2312" w:hAnsi="楷体_GB2312" w:eastAsia="楷体_GB2312" w:cs="楷体_GB2312"/>
              </w:rPr>
              <w:t>，</w:t>
            </w:r>
            <w:r>
              <w:rPr>
                <w:rFonts w:hint="eastAsia" w:ascii="楷体_GB2312" w:hAnsi="楷体_GB2312" w:eastAsia="楷体_GB2312" w:cs="楷体_GB2312"/>
                <w:lang w:val="en-US" w:eastAsia="zh-CN"/>
              </w:rPr>
              <w:t>重点</w:t>
            </w:r>
            <w:r>
              <w:rPr>
                <w:rFonts w:hint="eastAsia" w:ascii="楷体_GB2312" w:hAnsi="楷体_GB2312" w:eastAsia="楷体_GB2312" w:cs="楷体_GB2312"/>
              </w:rPr>
              <w:t>推动</w:t>
            </w:r>
            <w:r>
              <w:rPr>
                <w:rFonts w:hint="eastAsia" w:ascii="楷体_GB2312" w:hAnsi="楷体_GB2312" w:eastAsia="楷体_GB2312" w:cs="楷体_GB2312"/>
                <w:lang w:val="en-US" w:eastAsia="zh-CN"/>
              </w:rPr>
              <w:t>建筑垃圾、飞灰、污泥</w:t>
            </w:r>
            <w:r>
              <w:rPr>
                <w:rFonts w:hint="eastAsia" w:ascii="楷体_GB2312" w:hAnsi="楷体_GB2312" w:eastAsia="楷体_GB2312" w:cs="楷体_GB2312"/>
              </w:rPr>
              <w:t>等固废</w:t>
            </w:r>
            <w:r>
              <w:rPr>
                <w:rFonts w:hint="eastAsia" w:ascii="楷体_GB2312" w:hAnsi="楷体_GB2312" w:eastAsia="楷体_GB2312" w:cs="楷体_GB2312"/>
                <w:lang w:val="en-US" w:eastAsia="zh-CN"/>
              </w:rPr>
              <w:t>废弃物资源化利用</w:t>
            </w:r>
            <w:r>
              <w:rPr>
                <w:rFonts w:hint="eastAsia" w:ascii="楷体_GB2312" w:hAnsi="楷体_GB2312" w:eastAsia="楷体_GB2312" w:cs="楷体_GB2312"/>
              </w:rPr>
              <w:t>。</w:t>
            </w:r>
          </w:p>
          <w:p w14:paraId="4AEBEBE4">
            <w:pPr>
              <w:pStyle w:val="8"/>
              <w:bidi w:val="0"/>
              <w:rPr>
                <w:rFonts w:hint="eastAsia" w:ascii="楷体_GB2312" w:hAnsi="楷体_GB2312" w:eastAsia="楷体_GB2312" w:cs="楷体_GB2312"/>
                <w:lang w:val="en-US" w:eastAsia="zh-CN"/>
              </w:rPr>
            </w:pPr>
            <w:r>
              <w:rPr>
                <w:rFonts w:hint="eastAsia" w:ascii="楷体_GB2312" w:hAnsi="楷体_GB2312" w:eastAsia="楷体_GB2312" w:cs="楷体_GB2312"/>
                <w:b/>
                <w:bCs/>
                <w:lang w:val="en-US" w:eastAsia="zh-CN"/>
              </w:rPr>
              <w:t>3.经开区基础设施建设工程。</w:t>
            </w:r>
            <w:r>
              <w:rPr>
                <w:rFonts w:hint="eastAsia" w:ascii="楷体_GB2312" w:hAnsi="楷体_GB2312" w:eastAsia="楷体_GB2312" w:cs="楷体_GB2312"/>
                <w:lang w:val="en-US" w:eastAsia="zh-CN"/>
              </w:rPr>
              <w:t>按照富锦市国土空间规划范围，对符合规划的约300公顷土地进行有序储备，同时进行相应的场地平整、道路、给排水、电力、通信等配套基础设施的建设。</w:t>
            </w:r>
          </w:p>
          <w:p w14:paraId="1499BAB1">
            <w:pPr>
              <w:pStyle w:val="8"/>
              <w:bidi w:val="0"/>
              <w:rPr>
                <w:rFonts w:hint="eastAsia" w:ascii="楷体_GB2312" w:hAnsi="楷体_GB2312" w:cs="楷体_GB2312"/>
                <w:lang w:val="en-US" w:eastAsia="zh-CN"/>
              </w:rPr>
            </w:pPr>
            <w:r>
              <w:rPr>
                <w:rFonts w:hint="eastAsia" w:ascii="楷体_GB2312" w:hAnsi="楷体_GB2312" w:cs="楷体_GB2312"/>
                <w:lang w:val="en-US" w:eastAsia="zh-CN"/>
              </w:rPr>
              <w:t>（1）富锦市经开区基础设施项目（能源供给中心）。项目占地面积24600平方米，建筑面积11267.57平方米。建设以280t/h循环流化床锅炉为核心的能源供给中心工程，主辅生产工程主要包括：热力系统、燃料供应系统、除灰渣系统、水处理系统、供水系统、 电气系统、热工控制系统、脱硝系统和附属生产工程等。</w:t>
            </w:r>
          </w:p>
          <w:p w14:paraId="6137BB0F">
            <w:pPr>
              <w:pStyle w:val="8"/>
              <w:bidi w:val="0"/>
              <w:rPr>
                <w:rFonts w:hint="eastAsia" w:ascii="楷体_GB2312" w:hAnsi="楷体_GB2312" w:cs="楷体_GB2312"/>
                <w:lang w:val="en-US" w:eastAsia="zh-CN"/>
              </w:rPr>
            </w:pPr>
            <w:r>
              <w:rPr>
                <w:rFonts w:hint="eastAsia" w:ascii="楷体_GB2312" w:hAnsi="楷体_GB2312" w:cs="楷体_GB2312"/>
                <w:lang w:val="en-US" w:eastAsia="zh-CN"/>
              </w:rPr>
              <w:t>（2）黑龙江富锦经济开发区工业净水厂建设工程。新建工业净水厂一座，设计供水规模4.8万立方米/日，配套建设DN700输配水管网长度约1公里。</w:t>
            </w:r>
          </w:p>
          <w:p w14:paraId="55C3C984">
            <w:pPr>
              <w:pStyle w:val="8"/>
              <w:bidi w:val="0"/>
              <w:rPr>
                <w:rFonts w:hint="eastAsia" w:ascii="楷体_GB2312" w:hAnsi="楷体_GB2312" w:cs="楷体_GB2312"/>
                <w:lang w:val="en-US" w:eastAsia="zh-CN"/>
              </w:rPr>
            </w:pPr>
            <w:r>
              <w:rPr>
                <w:rFonts w:hint="eastAsia" w:ascii="楷体_GB2312" w:hAnsi="楷体_GB2312" w:cs="楷体_GB2312"/>
                <w:lang w:val="en-US" w:eastAsia="zh-CN"/>
              </w:rPr>
              <w:t>（3）黑龙江富锦经济开发区土地储备及配套基础设施项目。储备土地约300公顷，征拆村屯一处，进行场地平整、道路、给排水工程、电力、通信等配套基础设施建设。</w:t>
            </w:r>
          </w:p>
          <w:p w14:paraId="0F0186D5">
            <w:pPr>
              <w:pStyle w:val="8"/>
              <w:bidi w:val="0"/>
              <w:rPr>
                <w:rFonts w:hint="eastAsia" w:ascii="楷体_GB2312" w:hAnsi="楷体_GB2312" w:cs="楷体_GB2312"/>
                <w:lang w:val="en-US" w:eastAsia="zh-CN"/>
              </w:rPr>
            </w:pPr>
            <w:r>
              <w:rPr>
                <w:rFonts w:hint="eastAsia" w:ascii="楷体_GB2312" w:hAnsi="楷体_GB2312" w:cs="楷体_GB2312"/>
                <w:lang w:val="en-US" w:eastAsia="zh-CN"/>
              </w:rPr>
              <w:t>（4）富锦市土地储备项目（工业用地）。富锦市土地储备，总占地面积2.50公顷，对国有土地房屋征收，华豆食品科技有限公司地块面积12.99公顷，对工业厂房进行收购；富锦市泰乐啤酒有限公司地块面积4.7公顷，对工业厂房进行收购；黑龙江东大农产品科技开发有限公司地块面积9.97公顷，对工业厂房进行收购；黑龙江省纯中纯饮品有限公司地块面积7.02公顷，对工业厂房进行收购；黑龙江粮都酒业有限责任公司地块面积8.03公顷，对工业厂房进行收购；黑龙江金珠满江啤酒饮品有限公司地块面积5.28公顷，对工业厂房进行收购；根据富锦市国土空间总体规划，拟规划用途为工业用地。</w:t>
            </w:r>
          </w:p>
          <w:p w14:paraId="566C123A">
            <w:pPr>
              <w:pStyle w:val="8"/>
              <w:bidi w:val="0"/>
              <w:rPr>
                <w:rFonts w:hint="eastAsia" w:ascii="楷体_GB2312" w:hAnsi="楷体_GB2312" w:cs="楷体_GB2312"/>
                <w:lang w:val="en-US" w:eastAsia="zh-CN"/>
              </w:rPr>
            </w:pPr>
            <w:r>
              <w:rPr>
                <w:rFonts w:hint="eastAsia" w:ascii="楷体_GB2312" w:hAnsi="楷体_GB2312" w:cs="楷体_GB2312"/>
                <w:lang w:val="en-US" w:eastAsia="zh-CN"/>
              </w:rPr>
              <w:t>（5）富锦经开区雨水泵站及配套管线项目。本次污水管网截流改造及雨污分流改扩建两个目的一是将工业污水与城市生活污水进行分离，城市生活污水继续通过现有暗渠排入现有污水处理厂中净化，分离后的工业污水通过新管线排入正在建设中的新污水处理厂净化，二是重新设计雨水管线，将雨水管线连接汇流后通过新建泵站进行强排进入松花江中。污水管网截流改造管线长度为 460 米；雨污分流雨水管设计主管线约 10000米。新建富七街污水管线1800余米。新建雨水提升泵站一座，衬砌明渠3公里。</w:t>
            </w:r>
          </w:p>
          <w:p w14:paraId="0592DF43">
            <w:pPr>
              <w:pStyle w:val="8"/>
              <w:bidi w:val="0"/>
              <w:rPr>
                <w:rFonts w:hint="default" w:ascii="楷体_GB2312" w:hAnsi="楷体_GB2312" w:cs="楷体_GB2312"/>
                <w:lang w:val="en-US" w:eastAsia="zh-CN"/>
              </w:rPr>
            </w:pPr>
            <w:r>
              <w:rPr>
                <w:rFonts w:hint="eastAsia" w:ascii="楷体_GB2312" w:hAnsi="楷体_GB2312" w:cs="楷体_GB2312"/>
                <w:lang w:val="en-US" w:eastAsia="zh-CN"/>
              </w:rPr>
              <w:t>（6）富锦市对俄能源中转配套基础设施建设项目。建设能源储运设施，标准化储罐区（原油/天然气），输油管道及加压站，铁路专用线及装卸平台，智能化管理系统，能源计量与监控中心，自动化调度系统，安全预警装置，辅助配套设施，消防站及应急通道，园区绿化及围栏。</w:t>
            </w:r>
          </w:p>
          <w:p w14:paraId="4EFB7B13">
            <w:pPr>
              <w:pStyle w:val="8"/>
              <w:bidi w:val="0"/>
              <w:rPr>
                <w:rFonts w:hint="eastAsia" w:ascii="楷体_GB2312" w:hAnsi="楷体_GB2312" w:cs="楷体_GB2312"/>
                <w:lang w:val="en-US" w:eastAsia="zh-CN"/>
              </w:rPr>
            </w:pPr>
            <w:r>
              <w:rPr>
                <w:rFonts w:hint="eastAsia" w:ascii="楷体_GB2312" w:hAnsi="楷体_GB2312" w:cs="楷体_GB2312"/>
                <w:b/>
                <w:bCs/>
                <w:lang w:val="en-US" w:eastAsia="zh-CN"/>
              </w:rPr>
              <w:t>4.富锦市经济产业科技示范园建设项目。</w:t>
            </w:r>
            <w:r>
              <w:rPr>
                <w:rFonts w:hint="eastAsia" w:ascii="楷体_GB2312" w:hAnsi="楷体_GB2312" w:cs="楷体_GB2312"/>
                <w:lang w:val="en-US" w:eastAsia="zh-CN"/>
              </w:rPr>
              <w:t>科技研发楼10000平方米、科技成果转化中心3万平及配套科研设备等。在打造集农业科技创新、产业孵化、技术示范于一体的综合性示范园。</w:t>
            </w:r>
          </w:p>
          <w:p w14:paraId="4BFFE7D1">
            <w:pPr>
              <w:pStyle w:val="8"/>
              <w:bidi w:val="0"/>
              <w:rPr>
                <w:rFonts w:hint="default" w:ascii="楷体_GB2312" w:hAnsi="楷体_GB2312" w:cs="楷体_GB2312"/>
                <w:lang w:val="en-US" w:eastAsia="zh-CN"/>
              </w:rPr>
            </w:pPr>
            <w:r>
              <w:rPr>
                <w:rFonts w:hint="eastAsia" w:ascii="楷体_GB2312" w:hAnsi="楷体_GB2312" w:cs="楷体_GB2312"/>
                <w:b/>
                <w:bCs/>
                <w:lang w:val="en-US" w:eastAsia="zh-CN"/>
              </w:rPr>
              <w:t>5.富锦市生物制造产业园建设项目。</w:t>
            </w:r>
            <w:r>
              <w:rPr>
                <w:rFonts w:hint="eastAsia" w:ascii="楷体_GB2312" w:hAnsi="楷体_GB2312" w:cs="楷体_GB2312"/>
                <w:lang w:val="en-US" w:eastAsia="zh-CN"/>
              </w:rPr>
              <w:t>围绕“精深加工—秸秆综合利用—技术研发—配套服务”构建闭环生物制造产业链，促进农业与生物制造融合。规划建设3栋标准化厂房及1栋技术研发中心，重点发展生物制药、医药中间体、现代中药等产业。</w:t>
            </w:r>
          </w:p>
        </w:tc>
      </w:tr>
    </w:tbl>
    <w:p w14:paraId="0912325B">
      <w:pPr>
        <w:rPr>
          <w:rFonts w:hint="eastAsia"/>
        </w:rPr>
      </w:pPr>
      <w:r>
        <w:rPr>
          <w:rFonts w:hint="eastAsia"/>
        </w:rPr>
        <w:br w:type="page"/>
      </w:r>
    </w:p>
    <w:p w14:paraId="49957080">
      <w:pPr>
        <w:pStyle w:val="2"/>
        <w:bidi w:val="0"/>
        <w:ind w:left="0" w:leftChars="0" w:firstLine="0" w:firstLineChars="0"/>
        <w:jc w:val="center"/>
        <w:rPr>
          <w:rFonts w:hint="default" w:ascii="黑体" w:hAnsi="黑体" w:eastAsia="黑体" w:cs="黑体"/>
          <w:sz w:val="36"/>
          <w:szCs w:val="48"/>
          <w:lang w:val="en-US" w:eastAsia="zh-CN"/>
        </w:rPr>
      </w:pPr>
      <w:bookmarkStart w:id="34" w:name="_Toc14597"/>
      <w:r>
        <w:rPr>
          <w:rFonts w:hint="eastAsia" w:ascii="黑体" w:hAnsi="黑体" w:eastAsia="黑体" w:cs="黑体"/>
          <w:sz w:val="36"/>
          <w:szCs w:val="48"/>
          <w:lang w:val="en-US" w:eastAsia="zh-CN"/>
        </w:rPr>
        <w:t>第五章  深入实施创新驱动发展战略，培育富锦高质量发展新动能</w:t>
      </w:r>
      <w:bookmarkEnd w:id="34"/>
    </w:p>
    <w:p w14:paraId="7235CB54">
      <w:pPr>
        <w:keepNext w:val="0"/>
        <w:keepLines w:val="0"/>
        <w:pageBreakBefore w:val="0"/>
        <w:widowControl w:val="0"/>
        <w:kinsoku/>
        <w:wordWrap/>
        <w:overflowPunct/>
        <w:bidi w:val="0"/>
        <w:spacing w:line="600" w:lineRule="exact"/>
        <w:ind w:firstLine="640" w:firstLineChars="200"/>
        <w:textAlignment w:val="auto"/>
        <w:rPr>
          <w:rFonts w:hint="default" w:ascii="Times New Roman" w:hAnsi="Times New Roman" w:eastAsia="仿宋_GB2312" w:cs="Times New Roman"/>
          <w:color w:val="000000"/>
          <w:sz w:val="34"/>
          <w:szCs w:val="34"/>
          <w:u w:val="none"/>
          <w:lang w:val="en-US" w:eastAsia="zh-CN"/>
        </w:rPr>
      </w:pPr>
      <w:r>
        <w:rPr>
          <w:rFonts w:hint="eastAsia" w:ascii="仿宋_GB2312" w:hAnsi="仿宋_GB2312" w:cs="仿宋_GB2312"/>
          <w:lang w:val="en-US" w:eastAsia="zh-CN"/>
        </w:rPr>
        <w:t>深入开展</w:t>
      </w:r>
      <w:r>
        <w:rPr>
          <w:rFonts w:hint="eastAsia" w:ascii="仿宋_GB2312" w:hAnsi="仿宋_GB2312" w:eastAsia="仿宋_GB2312" w:cs="仿宋_GB2312"/>
        </w:rPr>
        <w:t>“科技成果产业化突破年”</w:t>
      </w:r>
      <w:r>
        <w:rPr>
          <w:rFonts w:hint="eastAsia" w:ascii="仿宋_GB2312" w:hAnsi="仿宋_GB2312" w:cs="仿宋_GB2312"/>
          <w:lang w:val="en-US" w:eastAsia="zh-CN"/>
        </w:rPr>
        <w:t>行动</w:t>
      </w:r>
      <w:r>
        <w:rPr>
          <w:rFonts w:hint="eastAsia" w:ascii="仿宋_GB2312" w:hAnsi="仿宋_GB2312" w:eastAsia="仿宋_GB2312" w:cs="仿宋_GB2312"/>
        </w:rPr>
        <w:t>，</w:t>
      </w:r>
      <w:r>
        <w:rPr>
          <w:rFonts w:hint="default" w:ascii="Times New Roman" w:hAnsi="Times New Roman" w:eastAsia="仿宋_GB2312" w:cs="Times New Roman"/>
          <w:color w:val="000000"/>
          <w:sz w:val="34"/>
          <w:szCs w:val="34"/>
          <w:u w:val="none"/>
          <w:lang w:val="en-US" w:eastAsia="zh-CN"/>
        </w:rPr>
        <w:t>坚持把振兴发展的基点放在创新上，抓住新一轮科技革命和产业变革机遇，推动创新资源对接联动，全面增强科技创新能力，提升创新体系整体效能，因地制宜发展新质生产力</w:t>
      </w:r>
      <w:r>
        <w:rPr>
          <w:rFonts w:hint="eastAsia" w:ascii="Times New Roman" w:hAnsi="Times New Roman" w:cs="Times New Roman"/>
          <w:color w:val="000000"/>
          <w:sz w:val="34"/>
          <w:szCs w:val="34"/>
          <w:u w:val="none"/>
          <w:lang w:val="en-US" w:eastAsia="zh-CN"/>
        </w:rPr>
        <w:t>，</w:t>
      </w:r>
      <w:r>
        <w:rPr>
          <w:rFonts w:hint="eastAsia" w:ascii="仿宋_GB2312" w:hAnsi="仿宋_GB2312" w:eastAsia="仿宋_GB2312" w:cs="仿宋_GB2312"/>
        </w:rPr>
        <w:t>构筑富锦快速实现全面振兴、全方位振兴第一动力。</w:t>
      </w:r>
    </w:p>
    <w:p w14:paraId="06171858">
      <w:pPr>
        <w:pStyle w:val="3"/>
        <w:bidi w:val="0"/>
        <w:rPr>
          <w:rFonts w:hint="default"/>
          <w:lang w:val="en-US" w:eastAsia="zh-CN"/>
        </w:rPr>
      </w:pPr>
      <w:bookmarkStart w:id="35" w:name="_Toc15274"/>
      <w:r>
        <w:rPr>
          <w:rFonts w:hint="eastAsia"/>
          <w:lang w:val="en-US" w:eastAsia="zh-CN"/>
        </w:rPr>
        <w:t>第一节  紧扣富锦产业需求推进关键领域核心技术攻关</w:t>
      </w:r>
      <w:bookmarkEnd w:id="35"/>
    </w:p>
    <w:p w14:paraId="342C50D1">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color w:val="000000"/>
          <w:sz w:val="32"/>
          <w:szCs w:val="32"/>
          <w:u w:val="none"/>
          <w:lang w:val="en-US" w:eastAsia="zh-CN"/>
        </w:rPr>
      </w:pPr>
      <w:r>
        <w:rPr>
          <w:rFonts w:hint="eastAsia" w:ascii="仿宋_GB2312" w:hAnsi="仿宋_GB2312" w:cs="仿宋_GB2312"/>
          <w:b/>
          <w:bCs/>
          <w:sz w:val="32"/>
          <w:szCs w:val="32"/>
          <w:lang w:val="en-US" w:eastAsia="zh-CN"/>
        </w:rPr>
        <w:t>加强科技创新攻关组织能力。</w:t>
      </w:r>
      <w:r>
        <w:rPr>
          <w:rFonts w:hint="eastAsia" w:ascii="仿宋_GB2312" w:hAnsi="仿宋_GB2312" w:eastAsia="仿宋_GB2312" w:cs="仿宋_GB2312"/>
          <w:sz w:val="32"/>
          <w:szCs w:val="32"/>
        </w:rPr>
        <w:t>实施科技赋能新质生产力行动，优化科技创新组织方式，积极承担国省重大科技任务，</w:t>
      </w:r>
      <w:r>
        <w:rPr>
          <w:rFonts w:hint="eastAsia" w:ascii="仿宋_GB2312" w:hAnsi="仿宋_GB2312" w:eastAsia="仿宋_GB2312" w:cs="仿宋_GB2312"/>
          <w:color w:val="000000"/>
          <w:sz w:val="32"/>
          <w:szCs w:val="32"/>
          <w:u w:val="none"/>
          <w:lang w:val="en-US" w:eastAsia="zh-CN"/>
        </w:rPr>
        <w:t>聚焦现代农业、生物经济、绿色食品加工、新能源、智能农机等产业领域，</w:t>
      </w:r>
      <w:r>
        <w:rPr>
          <w:rFonts w:hint="eastAsia" w:ascii="仿宋_GB2312" w:hAnsi="仿宋_GB2312" w:eastAsia="仿宋_GB2312" w:cs="仿宋_GB2312"/>
          <w:sz w:val="32"/>
          <w:szCs w:val="32"/>
        </w:rPr>
        <w:t>全面对接</w:t>
      </w:r>
      <w:r>
        <w:rPr>
          <w:rFonts w:hint="eastAsia" w:ascii="仿宋_GB2312" w:hAnsi="仿宋_GB2312" w:eastAsia="仿宋_GB2312" w:cs="仿宋_GB2312"/>
          <w:sz w:val="32"/>
          <w:szCs w:val="32"/>
          <w:lang w:val="en-US" w:eastAsia="zh-CN"/>
        </w:rPr>
        <w:t>高校科研院所</w:t>
      </w:r>
      <w:r>
        <w:rPr>
          <w:rFonts w:hint="eastAsia" w:ascii="仿宋_GB2312" w:hAnsi="仿宋_GB2312" w:eastAsia="仿宋_GB2312" w:cs="仿宋_GB2312"/>
          <w:color w:val="000000"/>
          <w:sz w:val="32"/>
          <w:szCs w:val="32"/>
          <w:u w:val="none"/>
          <w:lang w:val="en-US" w:eastAsia="zh-CN"/>
        </w:rPr>
        <w:t>搭建“</w:t>
      </w:r>
      <w:r>
        <w:rPr>
          <w:rFonts w:hint="eastAsia" w:ascii="仿宋_GB2312" w:hAnsi="仿宋_GB2312" w:cs="仿宋_GB2312"/>
          <w:color w:val="000000"/>
          <w:sz w:val="32"/>
          <w:szCs w:val="32"/>
          <w:u w:val="none"/>
          <w:lang w:val="en-US" w:eastAsia="zh-CN"/>
        </w:rPr>
        <w:t>科技成果转化</w:t>
      </w:r>
      <w:r>
        <w:rPr>
          <w:rFonts w:hint="eastAsia" w:ascii="仿宋_GB2312" w:hAnsi="仿宋_GB2312" w:eastAsia="仿宋_GB2312" w:cs="仿宋_GB2312"/>
          <w:color w:val="000000"/>
          <w:sz w:val="32"/>
          <w:szCs w:val="32"/>
          <w:u w:val="none"/>
          <w:lang w:val="en-US" w:eastAsia="zh-CN"/>
        </w:rPr>
        <w:t>库”，深入开展产业共性技术和核心技术攻关。</w:t>
      </w:r>
    </w:p>
    <w:p w14:paraId="3DD875C9">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cs="仿宋_GB2312"/>
          <w:b/>
          <w:bCs/>
          <w:sz w:val="32"/>
          <w:szCs w:val="32"/>
          <w:lang w:val="en-US" w:eastAsia="zh-CN"/>
        </w:rPr>
        <w:t>聚焦产业关键核心技术开展攻关。</w:t>
      </w:r>
      <w:r>
        <w:rPr>
          <w:rFonts w:hint="eastAsia" w:ascii="仿宋_GB2312" w:hAnsi="仿宋_GB2312" w:eastAsia="仿宋_GB2312" w:cs="仿宋_GB2312"/>
          <w:sz w:val="32"/>
          <w:szCs w:val="32"/>
        </w:rPr>
        <w:t>针对水稻、大豆、畜禽乳等绿色有机食品，</w:t>
      </w:r>
      <w:r>
        <w:rPr>
          <w:rFonts w:hint="eastAsia" w:ascii="仿宋_GB2312" w:hAnsi="仿宋_GB2312" w:cs="仿宋_GB2312"/>
          <w:sz w:val="32"/>
          <w:szCs w:val="32"/>
          <w:lang w:val="en-US" w:eastAsia="zh-CN"/>
        </w:rPr>
        <w:t>支持</w:t>
      </w:r>
      <w:r>
        <w:rPr>
          <w:rFonts w:hint="eastAsia" w:ascii="仿宋_GB2312" w:hAnsi="仿宋_GB2312" w:eastAsia="仿宋_GB2312" w:cs="仿宋_GB2312"/>
          <w:sz w:val="32"/>
          <w:szCs w:val="32"/>
        </w:rPr>
        <w:t>重点突破低温加工、超高压处理、膜分离、冷链物流等关键技术瓶颈。围绕寒地智能农机研发，</w:t>
      </w:r>
      <w:r>
        <w:rPr>
          <w:rFonts w:hint="eastAsia" w:ascii="仿宋_GB2312" w:hAnsi="仿宋_GB2312" w:cs="仿宋_GB2312"/>
          <w:sz w:val="32"/>
          <w:szCs w:val="32"/>
          <w:lang w:val="en-US" w:eastAsia="zh-CN"/>
        </w:rPr>
        <w:t>支持</w:t>
      </w:r>
      <w:r>
        <w:rPr>
          <w:rFonts w:hint="eastAsia" w:ascii="仿宋_GB2312" w:hAnsi="仿宋_GB2312" w:eastAsia="仿宋_GB2312" w:cs="仿宋_GB2312"/>
          <w:sz w:val="32"/>
          <w:szCs w:val="32"/>
        </w:rPr>
        <w:t>重点聚焦智能控制系统、精准作业</w:t>
      </w:r>
      <w:r>
        <w:rPr>
          <w:rFonts w:hint="eastAsia" w:ascii="仿宋_GB2312" w:hAnsi="仿宋_GB2312" w:cs="仿宋_GB2312"/>
          <w:sz w:val="32"/>
          <w:szCs w:val="32"/>
          <w:lang w:val="en-US" w:eastAsia="zh-CN"/>
        </w:rPr>
        <w:t>装备</w:t>
      </w:r>
      <w:r>
        <w:rPr>
          <w:rFonts w:hint="eastAsia" w:ascii="仿宋_GB2312" w:hAnsi="仿宋_GB2312" w:eastAsia="仿宋_GB2312" w:cs="仿宋_GB2312"/>
          <w:sz w:val="32"/>
          <w:szCs w:val="32"/>
        </w:rPr>
        <w:t>、自主导航系统、新能源</w:t>
      </w:r>
      <w:r>
        <w:rPr>
          <w:rFonts w:hint="eastAsia" w:ascii="仿宋_GB2312" w:hAnsi="仿宋_GB2312" w:cs="仿宋_GB2312"/>
          <w:sz w:val="32"/>
          <w:szCs w:val="32"/>
          <w:lang w:val="en-US" w:eastAsia="zh-CN"/>
        </w:rPr>
        <w:t>动力</w:t>
      </w:r>
      <w:r>
        <w:rPr>
          <w:rFonts w:hint="eastAsia" w:ascii="仿宋_GB2312" w:hAnsi="仿宋_GB2312" w:eastAsia="仿宋_GB2312" w:cs="仿宋_GB2312"/>
          <w:sz w:val="32"/>
          <w:szCs w:val="32"/>
        </w:rPr>
        <w:t>等前沿领域开展系统性研发。</w:t>
      </w:r>
    </w:p>
    <w:p w14:paraId="6B95839F">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cs="仿宋_GB2312"/>
          <w:b/>
          <w:bCs/>
          <w:sz w:val="32"/>
          <w:szCs w:val="32"/>
          <w:lang w:val="en-US" w:eastAsia="zh-CN"/>
        </w:rPr>
        <w:t>构建高效协同创新体系。</w:t>
      </w:r>
      <w:r>
        <w:rPr>
          <w:rFonts w:hint="eastAsia" w:ascii="仿宋_GB2312" w:hAnsi="仿宋_GB2312" w:eastAsia="仿宋_GB2312" w:cs="仿宋_GB2312"/>
          <w:sz w:val="32"/>
          <w:szCs w:val="32"/>
          <w:lang w:val="en-US" w:eastAsia="zh-CN"/>
        </w:rPr>
        <w:t>支持企业</w:t>
      </w:r>
      <w:r>
        <w:rPr>
          <w:rFonts w:hint="eastAsia" w:ascii="仿宋_GB2312" w:hAnsi="仿宋_GB2312" w:cs="仿宋_GB2312"/>
          <w:sz w:val="32"/>
          <w:szCs w:val="32"/>
          <w:lang w:val="en-US" w:eastAsia="zh-CN"/>
        </w:rPr>
        <w:t>牵头，联合</w:t>
      </w:r>
      <w:r>
        <w:rPr>
          <w:rFonts w:hint="eastAsia" w:ascii="仿宋_GB2312" w:hAnsi="仿宋_GB2312" w:eastAsia="仿宋_GB2312" w:cs="仿宋_GB2312"/>
          <w:sz w:val="32"/>
          <w:szCs w:val="32"/>
          <w:lang w:val="en-US" w:eastAsia="zh-CN"/>
        </w:rPr>
        <w:t>高校院所共建产业</w:t>
      </w:r>
      <w:r>
        <w:rPr>
          <w:rFonts w:hint="eastAsia" w:ascii="仿宋_GB2312" w:hAnsi="仿宋_GB2312" w:cs="仿宋_GB2312"/>
          <w:sz w:val="32"/>
          <w:szCs w:val="32"/>
          <w:lang w:val="en-US" w:eastAsia="zh-CN"/>
        </w:rPr>
        <w:t>技术创新</w:t>
      </w:r>
      <w:r>
        <w:rPr>
          <w:rFonts w:hint="eastAsia" w:ascii="仿宋_GB2312" w:hAnsi="仿宋_GB2312" w:eastAsia="仿宋_GB2312" w:cs="仿宋_GB2312"/>
          <w:sz w:val="32"/>
          <w:szCs w:val="32"/>
          <w:lang w:val="en-US" w:eastAsia="zh-CN"/>
        </w:rPr>
        <w:t>联盟</w:t>
      </w:r>
      <w:r>
        <w:rPr>
          <w:rFonts w:hint="eastAsia" w:ascii="仿宋_GB2312" w:hAnsi="仿宋_GB2312" w:cs="仿宋_GB2312"/>
          <w:sz w:val="32"/>
          <w:szCs w:val="32"/>
          <w:lang w:val="en-US" w:eastAsia="zh-CN"/>
        </w:rPr>
        <w:t>和</w:t>
      </w:r>
      <w:r>
        <w:rPr>
          <w:rFonts w:hint="eastAsia" w:ascii="仿宋_GB2312" w:hAnsi="仿宋_GB2312" w:eastAsia="仿宋_GB2312" w:cs="仿宋_GB2312"/>
          <w:sz w:val="32"/>
          <w:szCs w:val="32"/>
          <w:lang w:val="en-US" w:eastAsia="zh-CN"/>
        </w:rPr>
        <w:t>中试熟化平台</w:t>
      </w:r>
      <w:r>
        <w:rPr>
          <w:rFonts w:hint="eastAsia" w:ascii="仿宋_GB2312" w:hAnsi="仿宋_GB2312" w:cs="仿宋_GB2312"/>
          <w:sz w:val="32"/>
          <w:szCs w:val="32"/>
          <w:lang w:val="en-US" w:eastAsia="zh-CN"/>
        </w:rPr>
        <w:t>。</w:t>
      </w:r>
      <w:r>
        <w:rPr>
          <w:rFonts w:hint="eastAsia" w:ascii="仿宋_GB2312" w:hAnsi="仿宋_GB2312" w:eastAsia="仿宋_GB2312" w:cs="仿宋_GB2312"/>
          <w:sz w:val="32"/>
          <w:szCs w:val="32"/>
        </w:rPr>
        <w:t>依托龙粤合作平台，强化战略科技力量支撑，探索建立</w:t>
      </w:r>
      <w:r>
        <w:rPr>
          <w:rFonts w:hint="eastAsia" w:ascii="仿宋_GB2312" w:hAnsi="仿宋_GB2312" w:cs="仿宋_GB2312"/>
          <w:sz w:val="32"/>
          <w:szCs w:val="32"/>
          <w:lang w:eastAsia="zh-CN"/>
        </w:rPr>
        <w:t>科创飞地</w:t>
      </w:r>
      <w:r>
        <w:rPr>
          <w:rFonts w:hint="eastAsia" w:ascii="仿宋_GB2312" w:hAnsi="仿宋_GB2312" w:eastAsia="仿宋_GB2312" w:cs="仿宋_GB2312"/>
          <w:sz w:val="32"/>
          <w:szCs w:val="32"/>
        </w:rPr>
        <w:t>模式，创造更多有价值、能应用的创新成果。</w:t>
      </w:r>
    </w:p>
    <w:p w14:paraId="02D5BB50">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cs="仿宋_GB2312"/>
          <w:b/>
          <w:bCs/>
          <w:sz w:val="32"/>
          <w:szCs w:val="32"/>
          <w:lang w:val="en-US" w:eastAsia="zh-CN"/>
        </w:rPr>
        <w:t>厚植区域创新生态。</w:t>
      </w:r>
      <w:r>
        <w:rPr>
          <w:rFonts w:hint="eastAsia" w:ascii="仿宋_GB2312" w:hAnsi="仿宋_GB2312" w:eastAsia="仿宋_GB2312" w:cs="仿宋_GB2312"/>
          <w:sz w:val="32"/>
          <w:szCs w:val="32"/>
        </w:rPr>
        <w:t>服务国家基础研究战略布局，加大应用基础研究长期稳定支持，塑造有利于原创性、引领性创新的环境</w:t>
      </w:r>
      <w:r>
        <w:rPr>
          <w:rFonts w:hint="eastAsia" w:ascii="仿宋_GB2312" w:hAnsi="仿宋_GB2312" w:cs="仿宋_GB2312"/>
          <w:sz w:val="32"/>
          <w:szCs w:val="32"/>
          <w:lang w:eastAsia="zh-CN"/>
        </w:rPr>
        <w:t>。</w:t>
      </w:r>
      <w:r>
        <w:rPr>
          <w:rFonts w:hint="eastAsia" w:ascii="仿宋_GB2312" w:hAnsi="仿宋_GB2312" w:eastAsia="仿宋_GB2312" w:cs="仿宋_GB2312"/>
          <w:sz w:val="32"/>
          <w:szCs w:val="32"/>
        </w:rPr>
        <w:t>构建涵盖技术研发、成果转化、产业应用和支撑生态体系的创新链条，产出更多标志性原始创新成果。</w:t>
      </w:r>
    </w:p>
    <w:p w14:paraId="66DC8FBC">
      <w:pPr>
        <w:pStyle w:val="3"/>
        <w:bidi w:val="0"/>
        <w:rPr>
          <w:rFonts w:hint="default"/>
          <w:lang w:val="en-US" w:eastAsia="zh-CN"/>
        </w:rPr>
      </w:pPr>
      <w:bookmarkStart w:id="36" w:name="_Toc2713"/>
      <w:r>
        <w:rPr>
          <w:rFonts w:hint="eastAsia"/>
          <w:lang w:val="en-US" w:eastAsia="zh-CN"/>
        </w:rPr>
        <w:t>第二节  深化协同联动推进科创平台提质增效</w:t>
      </w:r>
      <w:bookmarkEnd w:id="36"/>
    </w:p>
    <w:p w14:paraId="4D426C7F">
      <w:pPr>
        <w:bidi w:val="0"/>
        <w:rPr>
          <w:rFonts w:hint="default"/>
          <w:lang w:val="en-US" w:eastAsia="zh-CN"/>
        </w:rPr>
      </w:pPr>
      <w:r>
        <w:rPr>
          <w:rFonts w:hint="eastAsia"/>
          <w:b/>
          <w:bCs/>
          <w:lang w:val="en-US" w:eastAsia="zh-CN"/>
        </w:rPr>
        <w:t>升级中试平台与产业联盟。</w:t>
      </w:r>
      <w:r>
        <w:rPr>
          <w:rFonts w:hint="default"/>
          <w:lang w:val="en-US" w:eastAsia="zh-CN"/>
        </w:rPr>
        <w:t>加大对现有创新平台支持力度</w:t>
      </w:r>
      <w:r>
        <w:rPr>
          <w:rFonts w:hint="eastAsia"/>
          <w:lang w:val="en-US" w:eastAsia="zh-CN"/>
        </w:rPr>
        <w:t>，</w:t>
      </w:r>
      <w:r>
        <w:rPr>
          <w:rFonts w:hint="default"/>
          <w:lang w:val="en-US" w:eastAsia="zh-CN"/>
        </w:rPr>
        <w:t>支持企业积极申报并建设省级中试熟化平台。鼓励奥谷生物、诺潽生物等企业联合江南大学、武汉大学、天津大学等知名高校共建生物经济技术创新联盟，围绕新型糖、氨基酸等生物发酵核心产品，开展菌种改造、发酵工艺优化、生物合成等关键技术协同创新攻关，</w:t>
      </w:r>
      <w:r>
        <w:rPr>
          <w:rFonts w:hint="eastAsia"/>
          <w:lang w:val="en-US" w:eastAsia="zh-CN"/>
        </w:rPr>
        <w:t>搭建线上线下结合的成果转化服务平台，</w:t>
      </w:r>
      <w:r>
        <w:rPr>
          <w:rFonts w:hint="default"/>
          <w:lang w:val="en-US" w:eastAsia="zh-CN"/>
        </w:rPr>
        <w:t>推动科技成果在富锦就地转化。</w:t>
      </w:r>
    </w:p>
    <w:p w14:paraId="06C193FA">
      <w:pPr>
        <w:bidi w:val="0"/>
        <w:rPr>
          <w:rFonts w:hint="eastAsia" w:ascii="仿宋_GB2312" w:hAnsi="仿宋_GB2312" w:eastAsia="仿宋_GB2312" w:cs="仿宋_GB2312"/>
          <w:lang w:val="en-US" w:eastAsia="zh-CN"/>
        </w:rPr>
      </w:pPr>
      <w:r>
        <w:rPr>
          <w:rFonts w:hint="eastAsia" w:ascii="仿宋_GB2312" w:hAnsi="仿宋_GB2312" w:eastAsia="仿宋_GB2312" w:cs="仿宋_GB2312"/>
          <w:b/>
          <w:bCs/>
          <w:lang w:val="en-US" w:eastAsia="zh-CN"/>
        </w:rPr>
        <w:t>建设多层次创新创业载体。</w:t>
      </w:r>
      <w:r>
        <w:rPr>
          <w:rFonts w:hint="eastAsia" w:ascii="仿宋_GB2312" w:hAnsi="仿宋_GB2312" w:eastAsia="仿宋_GB2312" w:cs="仿宋_GB2312"/>
          <w:lang w:val="en-US" w:eastAsia="zh-CN"/>
        </w:rPr>
        <w:t>依托绿色食品产业园、化工产业园等，梯次培育建设一批“双创”示范基地、特色众创空间、农民工返乡创业基地、大学生创业基地、科技企业孵化器、产业加速器等多层次创新创业载体集群，切实推动创客群体、企业与高等院校、科研院所构建“产学研用”深度融通的创新机制。</w:t>
      </w:r>
    </w:p>
    <w:p w14:paraId="26ADD75A">
      <w:pPr>
        <w:bidi w:val="0"/>
        <w:rPr>
          <w:rFonts w:hint="default"/>
          <w:lang w:val="en-US" w:eastAsia="zh-CN"/>
        </w:rPr>
      </w:pPr>
      <w:r>
        <w:rPr>
          <w:rFonts w:hint="eastAsia"/>
          <w:b/>
          <w:bCs/>
          <w:lang w:val="en-US" w:eastAsia="zh-CN"/>
        </w:rPr>
        <w:t>强化高端智力支撑体系建设。</w:t>
      </w:r>
      <w:r>
        <w:rPr>
          <w:rFonts w:hint="eastAsia"/>
        </w:rPr>
        <w:t>围绕“院士专家智力集聚”</w:t>
      </w:r>
      <w:r>
        <w:rPr>
          <w:rFonts w:hint="eastAsia"/>
          <w:lang w:val="en-US" w:eastAsia="zh-CN"/>
        </w:rPr>
        <w:t>这一</w:t>
      </w:r>
      <w:r>
        <w:rPr>
          <w:rFonts w:hint="eastAsia"/>
        </w:rPr>
        <w:t>主线，加快推进院士之家、院士工作站、专家工作站、博士创新</w:t>
      </w:r>
      <w:r>
        <w:rPr>
          <w:rFonts w:hint="eastAsia"/>
          <w:lang w:val="en-US" w:eastAsia="zh-CN"/>
        </w:rPr>
        <w:t>站</w:t>
      </w:r>
      <w:r>
        <w:rPr>
          <w:rFonts w:hint="eastAsia"/>
        </w:rPr>
        <w:t>等“一家三站”载体建设</w:t>
      </w:r>
      <w:r>
        <w:rPr>
          <w:rFonts w:hint="eastAsia"/>
          <w:lang w:eastAsia="zh-CN"/>
        </w:rPr>
        <w:t>，</w:t>
      </w:r>
      <w:r>
        <w:rPr>
          <w:rFonts w:hint="eastAsia"/>
        </w:rPr>
        <w:t>重点强化其在科研成果产业化、创新资源优化配置、战略性科技人才培养等方面的</w:t>
      </w:r>
      <w:r>
        <w:rPr>
          <w:rFonts w:hint="eastAsia"/>
          <w:lang w:val="en-US" w:eastAsia="zh-CN"/>
        </w:rPr>
        <w:t>关键赋能与引领作用。</w:t>
      </w:r>
    </w:p>
    <w:p w14:paraId="5552EAB1">
      <w:pPr>
        <w:pStyle w:val="3"/>
        <w:bidi w:val="0"/>
        <w:rPr>
          <w:rFonts w:hint="default"/>
          <w:lang w:val="en-US" w:eastAsia="zh-CN"/>
        </w:rPr>
      </w:pPr>
      <w:bookmarkStart w:id="37" w:name="_Toc14435"/>
      <w:r>
        <w:rPr>
          <w:rFonts w:hint="eastAsia"/>
          <w:lang w:val="en-US" w:eastAsia="zh-CN"/>
        </w:rPr>
        <w:t>第三节  推动科技创新和产业创新深度融合</w:t>
      </w:r>
      <w:bookmarkEnd w:id="37"/>
    </w:p>
    <w:p w14:paraId="156CFE7D">
      <w:pPr>
        <w:keepNext w:val="0"/>
        <w:keepLines w:val="0"/>
        <w:widowControl/>
        <w:suppressLineNumbers w:val="0"/>
        <w:jc w:val="left"/>
        <w:rPr>
          <w:rFonts w:hint="default" w:ascii="Times New Roman" w:hAnsi="Times New Roman" w:eastAsia="仿宋_GB2312" w:cs="Times New Roman"/>
          <w:sz w:val="34"/>
          <w:szCs w:val="34"/>
        </w:rPr>
      </w:pPr>
      <w:r>
        <w:rPr>
          <w:rFonts w:hint="eastAsia" w:ascii="Times New Roman" w:hAnsi="Times New Roman" w:cs="Times New Roman"/>
          <w:b/>
          <w:bCs/>
          <w:sz w:val="34"/>
          <w:szCs w:val="34"/>
          <w:lang w:val="en-US" w:eastAsia="zh-CN"/>
        </w:rPr>
        <w:t>健全科技成果产业化支撑体系。</w:t>
      </w:r>
      <w:r>
        <w:rPr>
          <w:rFonts w:hint="default" w:ascii="Times New Roman" w:hAnsi="Times New Roman" w:eastAsia="仿宋_GB2312" w:cs="Times New Roman"/>
          <w:sz w:val="34"/>
          <w:szCs w:val="34"/>
        </w:rPr>
        <w:t>实施科技成果产业化突破行动，拓展转化通道，畅通供需对接，推进高等院校、科研院所、重点企业科技成果产业化，加强创新链和产业链精准对接，促进科技资源就地利用和科技成果就地转化。</w:t>
      </w:r>
      <w:r>
        <w:rPr>
          <w:rFonts w:hint="default" w:ascii="Times New Roman" w:hAnsi="Times New Roman" w:eastAsia="仿宋_GB2312" w:cs="Times New Roman"/>
          <w:sz w:val="34"/>
          <w:szCs w:val="34"/>
          <w:lang w:val="en-US" w:eastAsia="zh-CN"/>
        </w:rPr>
        <w:t>加强科学技术普及，提升全民科学素质，培育创新文化，弘扬科学家精神，支持青年科技人才创新创业。加强知识产权保护和运用，推进科技法治、伦理、诚信、安全建设。</w:t>
      </w:r>
      <w:r>
        <w:rPr>
          <w:rFonts w:hint="default" w:ascii="Times New Roman" w:hAnsi="Times New Roman" w:eastAsia="仿宋_GB2312" w:cs="Times New Roman"/>
          <w:sz w:val="34"/>
          <w:szCs w:val="34"/>
        </w:rPr>
        <w:t>扩大科技领域开放合作，吸引先进优质资源。做好科技金融文章，引导金融资本投早、投小、投长期、投硬科技。深化产业工人队伍建设改革，扩大知识型、技能型、创新型产业工人规模。</w:t>
      </w:r>
    </w:p>
    <w:p w14:paraId="0DC49E33">
      <w:pPr>
        <w:bidi w:val="0"/>
        <w:rPr>
          <w:rFonts w:hint="eastAsia" w:ascii="仿宋_GB2312" w:hAnsi="仿宋_GB2312" w:eastAsia="仿宋_GB2312" w:cs="仿宋_GB2312"/>
        </w:rPr>
      </w:pPr>
      <w:r>
        <w:rPr>
          <w:rFonts w:hint="eastAsia" w:ascii="仿宋_GB2312" w:hAnsi="仿宋_GB2312" w:eastAsia="仿宋_GB2312" w:cs="仿宋_GB2312"/>
          <w:b/>
          <w:bCs/>
        </w:rPr>
        <w:t>强化企业创新主体地位。</w:t>
      </w:r>
      <w:r>
        <w:rPr>
          <w:rFonts w:hint="eastAsia" w:ascii="仿宋_GB2312" w:hAnsi="仿宋_GB2312" w:eastAsia="仿宋_GB2312" w:cs="仿宋_GB2312"/>
        </w:rPr>
        <w:t>聚焦产业链布局平台链，着力推动奥谷生物、诺潽生物等龙头企业与江南大学、武汉大学、省农科院等建立深度战略合作关系，通过共建重点实验室、工程技术中心等高水平创新平台，联合开展人才培养、技术攻关等产学研用协同创新项目。</w:t>
      </w:r>
      <w:r>
        <w:rPr>
          <w:rFonts w:hint="eastAsia" w:ascii="仿宋_GB2312" w:hAnsi="仿宋_GB2312" w:eastAsia="仿宋_GB2312" w:cs="仿宋_GB2312"/>
          <w:lang w:val="en-US" w:eastAsia="zh-CN"/>
        </w:rPr>
        <w:t>支持</w:t>
      </w:r>
      <w:r>
        <w:rPr>
          <w:rFonts w:hint="eastAsia" w:ascii="仿宋_GB2312" w:hAnsi="仿宋_GB2312" w:eastAsia="仿宋_GB2312" w:cs="仿宋_GB2312"/>
        </w:rPr>
        <w:t>企业加大科研投入，全面落实企业研发费用加计扣除、高新技术企业税收优惠等激励政策，设立专项企业研发投入引导资金，重点支持高新技术企业参与国省、市重大科技项目攻关和研发，建立健全研发投入持续增长机制。完善创新型企业梯度培育体系，构建“普通企业—科技型中小企业—高新技术企业”递进式发展路径，建立动态管理的创新型企业培育库，配套发展研发设计、检验检测、科技评估、技术转移、知识产权、科技咨询等专业化科技中介服务体系。充分发挥象屿生化、奥谷生物等龙头企业引领作用，推动其整合产业链上下游企业，组建跨领域、跨行业创新联合体开展协同创新攻关。引导中小企业聚焦细分市场，走“专精特新”发展道路，培育一批具有核心竞争力的单项冠军企业。引导企业制定实施知识产权战略，加强知识产权全链条管理，提升知识产权创造、运用、保护和管理水平。</w:t>
      </w:r>
    </w:p>
    <w:p w14:paraId="3CB63183">
      <w:pPr>
        <w:pStyle w:val="3"/>
        <w:bidi w:val="0"/>
        <w:rPr>
          <w:rFonts w:hint="default"/>
          <w:lang w:val="en-US" w:eastAsia="zh-CN"/>
        </w:rPr>
      </w:pPr>
      <w:bookmarkStart w:id="38" w:name="_Toc16819"/>
      <w:r>
        <w:rPr>
          <w:rFonts w:hint="eastAsia"/>
          <w:lang w:val="en-US" w:eastAsia="zh-CN"/>
        </w:rPr>
        <w:t>第四节  建立健全教育科技人才一体发展机制</w:t>
      </w:r>
      <w:bookmarkEnd w:id="38"/>
    </w:p>
    <w:p w14:paraId="40ABD840">
      <w:pPr>
        <w:rPr>
          <w:rFonts w:hint="default" w:ascii="Times New Roman" w:hAnsi="Times New Roman" w:eastAsia="仿宋_GB2312" w:cs="Times New Roman"/>
          <w:sz w:val="34"/>
          <w:szCs w:val="34"/>
          <w:lang w:val="en-US" w:eastAsia="zh-CN"/>
        </w:rPr>
      </w:pPr>
      <w:r>
        <w:rPr>
          <w:rFonts w:hint="default" w:ascii="Times New Roman" w:hAnsi="Times New Roman" w:eastAsia="仿宋_GB2312" w:cs="Times New Roman"/>
          <w:b/>
          <w:bCs/>
          <w:sz w:val="32"/>
          <w:szCs w:val="32"/>
          <w:lang w:val="en-US" w:eastAsia="zh-CN"/>
        </w:rPr>
        <w:t>建立健全一体推进的协调机制</w:t>
      </w:r>
      <w:r>
        <w:rPr>
          <w:rFonts w:hint="eastAsia" w:ascii="Times New Roman" w:hAnsi="Times New Roman" w:cs="Times New Roman"/>
          <w:b/>
          <w:bCs/>
          <w:sz w:val="32"/>
          <w:szCs w:val="32"/>
          <w:lang w:val="en-US" w:eastAsia="zh-CN"/>
        </w:rPr>
        <w:t>。</w:t>
      </w:r>
      <w:r>
        <w:rPr>
          <w:rFonts w:hint="default" w:ascii="Times New Roman" w:hAnsi="Times New Roman" w:eastAsia="仿宋_GB2312" w:cs="Times New Roman"/>
          <w:sz w:val="32"/>
          <w:szCs w:val="32"/>
          <w:lang w:val="en-US" w:eastAsia="zh-CN"/>
        </w:rPr>
        <w:t>强化规划衔接、政策协同、资源统筹、评价联动，促进科技自主创新和人才自主培养良性互动。围绕国家战略需求、科技创新和产业发展协同育人，强化创新平台、企业、科技计划人才集聚培养功能，培育拔尖创新人才。积极推进与省内外高校院所人才共育，拓展学生实习实训、定制化人才培养等方面合作</w:t>
      </w:r>
      <w:r>
        <w:rPr>
          <w:rFonts w:hint="eastAsia" w:ascii="Times New Roman" w:hAnsi="Times New Roman" w:cs="Times New Roman"/>
          <w:sz w:val="32"/>
          <w:szCs w:val="32"/>
          <w:lang w:val="en-US" w:eastAsia="zh-CN"/>
        </w:rPr>
        <w:t>。</w:t>
      </w:r>
      <w:r>
        <w:rPr>
          <w:rFonts w:hint="eastAsia" w:ascii="仿宋_GB2312" w:hAnsi="仿宋_GB2312" w:eastAsia="仿宋_GB2312" w:cs="仿宋_GB2312"/>
          <w:sz w:val="32"/>
          <w:szCs w:val="32"/>
        </w:rPr>
        <w:t>深化现代学徒制创新实施</w:t>
      </w:r>
      <w:r>
        <w:rPr>
          <w:rFonts w:hint="eastAsia" w:ascii="仿宋_GB2312" w:hAnsi="仿宋_GB2312" w:cs="仿宋_GB2312"/>
          <w:sz w:val="32"/>
          <w:szCs w:val="32"/>
          <w:lang w:eastAsia="zh-CN"/>
        </w:rPr>
        <w:t>，</w:t>
      </w:r>
      <w:r>
        <w:rPr>
          <w:rFonts w:hint="eastAsia" w:ascii="仿宋_GB2312" w:hAnsi="仿宋_GB2312" w:eastAsia="仿宋_GB2312" w:cs="仿宋_GB2312"/>
          <w:sz w:val="32"/>
          <w:szCs w:val="32"/>
        </w:rPr>
        <w:t>全面推行“招工即招生、入企即入校”的培养模式</w:t>
      </w:r>
      <w:r>
        <w:rPr>
          <w:rFonts w:hint="eastAsia" w:ascii="Times New Roman" w:hAnsi="Times New Roman" w:cs="Times New Roman"/>
          <w:sz w:val="32"/>
          <w:szCs w:val="32"/>
          <w:lang w:val="en-US" w:eastAsia="zh-CN"/>
        </w:rPr>
        <w:t>。</w:t>
      </w:r>
      <w:r>
        <w:rPr>
          <w:rFonts w:hint="eastAsia" w:ascii="仿宋_GB2312" w:hAnsi="仿宋_GB2312" w:eastAsia="仿宋_GB2312" w:cs="仿宋_GB2312"/>
          <w:sz w:val="32"/>
          <w:szCs w:val="32"/>
        </w:rPr>
        <w:t>深化职业技术学校与普高联合办学，探索建立“定制班”“委培班”，构建职业教育和普通教育双向互通</w:t>
      </w:r>
      <w:r>
        <w:rPr>
          <w:rFonts w:hint="eastAsia" w:ascii="仿宋_GB2312" w:hAnsi="仿宋_GB2312" w:cs="仿宋_GB2312"/>
          <w:sz w:val="32"/>
          <w:szCs w:val="32"/>
          <w:lang w:eastAsia="zh-CN"/>
        </w:rPr>
        <w:t>。</w:t>
      </w:r>
      <w:r>
        <w:rPr>
          <w:rFonts w:hint="default" w:ascii="Times New Roman" w:hAnsi="Times New Roman" w:eastAsia="仿宋_GB2312" w:cs="Times New Roman"/>
          <w:sz w:val="32"/>
          <w:szCs w:val="32"/>
          <w:lang w:val="en-US" w:eastAsia="zh-CN"/>
        </w:rPr>
        <w:t>完善职业</w:t>
      </w:r>
      <w:r>
        <w:rPr>
          <w:rFonts w:hint="default" w:ascii="Times New Roman" w:hAnsi="Times New Roman" w:cs="Times New Roman"/>
          <w:sz w:val="32"/>
          <w:szCs w:val="32"/>
          <w:lang w:val="en-US" w:eastAsia="zh-CN"/>
        </w:rPr>
        <w:t>技术学校</w:t>
      </w:r>
      <w:r>
        <w:rPr>
          <w:rFonts w:hint="default" w:ascii="Times New Roman" w:hAnsi="Times New Roman" w:eastAsia="仿宋_GB2312" w:cs="Times New Roman"/>
          <w:sz w:val="32"/>
          <w:szCs w:val="32"/>
          <w:lang w:val="en-US" w:eastAsia="zh-CN"/>
        </w:rPr>
        <w:t>和企业人才双向交流机制，培育储备更多产业急需人才。</w:t>
      </w:r>
    </w:p>
    <w:p w14:paraId="47DB1914">
      <w:pPr>
        <w:bidi w:val="0"/>
        <w:rPr>
          <w:rFonts w:hint="eastAsia" w:ascii="仿宋_GB2312" w:hAnsi="仿宋_GB2312" w:eastAsia="仿宋_GB2312" w:cs="仿宋_GB2312"/>
          <w:lang w:val="en-US" w:eastAsia="zh-CN"/>
        </w:rPr>
      </w:pPr>
      <w:r>
        <w:rPr>
          <w:rFonts w:hint="eastAsia" w:ascii="仿宋_GB2312" w:hAnsi="仿宋_GB2312" w:eastAsia="仿宋_GB2312" w:cs="仿宋_GB2312"/>
          <w:b/>
          <w:bCs/>
          <w:lang w:val="en-US" w:eastAsia="zh-CN"/>
        </w:rPr>
        <w:t>创新人才引进方式。</w:t>
      </w:r>
      <w:r>
        <w:rPr>
          <w:rFonts w:hint="eastAsia" w:ascii="仿宋_GB2312" w:hAnsi="仿宋_GB2312" w:eastAsia="仿宋_GB2312" w:cs="仿宋_GB2312"/>
          <w:lang w:val="en-US" w:eastAsia="zh-CN"/>
        </w:rPr>
        <w:t>加强人才协作，推行“候鸟型”柔性引才，吸引关键技术领域高层次人才智力服务。</w:t>
      </w:r>
      <w:r>
        <w:rPr>
          <w:rFonts w:hint="eastAsia" w:ascii="仿宋_GB2312" w:hAnsi="仿宋_GB2312" w:cs="仿宋_GB2312"/>
          <w:lang w:val="en-US" w:eastAsia="zh-CN"/>
        </w:rPr>
        <w:t>构建动态</w:t>
      </w:r>
      <w:r>
        <w:rPr>
          <w:rFonts w:hint="eastAsia" w:ascii="仿宋_GB2312" w:hAnsi="仿宋_GB2312" w:eastAsia="仿宋_GB2312" w:cs="仿宋_GB2312"/>
        </w:rPr>
        <w:t>精准的人才需求研判机制，</w:t>
      </w:r>
      <w:r>
        <w:rPr>
          <w:rFonts w:hint="eastAsia" w:ascii="仿宋_GB2312" w:hAnsi="仿宋_GB2312" w:cs="仿宋_GB2312"/>
          <w:lang w:val="en-US" w:eastAsia="zh-CN"/>
        </w:rPr>
        <w:t>瞄准</w:t>
      </w:r>
      <w:r>
        <w:rPr>
          <w:rFonts w:hint="eastAsia" w:ascii="仿宋_GB2312" w:hAnsi="仿宋_GB2312" w:eastAsia="仿宋_GB2312" w:cs="仿宋_GB2312"/>
        </w:rPr>
        <w:t>重点</w:t>
      </w:r>
      <w:r>
        <w:rPr>
          <w:rFonts w:hint="eastAsia" w:ascii="仿宋_GB2312" w:hAnsi="仿宋_GB2312" w:cs="仿宋_GB2312"/>
          <w:lang w:val="en-US" w:eastAsia="zh-CN"/>
        </w:rPr>
        <w:t>产业发展需求</w:t>
      </w:r>
      <w:r>
        <w:rPr>
          <w:rFonts w:hint="eastAsia" w:ascii="仿宋_GB2312" w:hAnsi="仿宋_GB2312" w:eastAsia="仿宋_GB2312" w:cs="仿宋_GB2312"/>
        </w:rPr>
        <w:t>，</w:t>
      </w:r>
      <w:r>
        <w:rPr>
          <w:rFonts w:hint="eastAsia" w:ascii="仿宋_GB2312" w:hAnsi="仿宋_GB2312" w:cs="仿宋_GB2312"/>
          <w:lang w:val="en-US" w:eastAsia="zh-CN"/>
        </w:rPr>
        <w:t>推动</w:t>
      </w:r>
      <w:r>
        <w:rPr>
          <w:rFonts w:hint="eastAsia" w:ascii="仿宋_GB2312" w:hAnsi="仿宋_GB2312" w:eastAsia="仿宋_GB2312" w:cs="仿宋_GB2312"/>
        </w:rPr>
        <w:t>“人才需求清单”与“产业项目清单”</w:t>
      </w:r>
      <w:r>
        <w:rPr>
          <w:rFonts w:hint="eastAsia" w:ascii="仿宋_GB2312" w:hAnsi="仿宋_GB2312" w:cs="仿宋_GB2312"/>
          <w:lang w:val="en-US" w:eastAsia="zh-CN"/>
        </w:rPr>
        <w:t>联动匹配</w:t>
      </w:r>
      <w:r>
        <w:rPr>
          <w:rFonts w:hint="eastAsia" w:ascii="仿宋_GB2312" w:hAnsi="仿宋_GB2312" w:eastAsia="仿宋_GB2312" w:cs="仿宋_GB2312"/>
          <w:lang w:eastAsia="zh-CN"/>
        </w:rPr>
        <w:t>。</w:t>
      </w:r>
      <w:r>
        <w:rPr>
          <w:rFonts w:hint="eastAsia" w:ascii="仿宋_GB2312" w:hAnsi="仿宋_GB2312" w:eastAsia="仿宋_GB2312" w:cs="仿宋_GB2312"/>
        </w:rPr>
        <w:t>持续开展“市委书记进校园”</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黑龙江人才周</w:t>
      </w:r>
      <w:r>
        <w:rPr>
          <w:rFonts w:hint="eastAsia" w:ascii="仿宋_GB2312" w:hAnsi="仿宋_GB2312" w:eastAsia="仿宋_GB2312" w:cs="仿宋_GB2312"/>
          <w:lang w:eastAsia="zh-CN"/>
        </w:rPr>
        <w:t>”</w:t>
      </w:r>
      <w:r>
        <w:rPr>
          <w:rFonts w:hint="eastAsia" w:ascii="仿宋_GB2312" w:hAnsi="仿宋_GB2312" w:eastAsia="仿宋_GB2312" w:cs="仿宋_GB2312"/>
        </w:rPr>
        <w:t>“直播带岗</w:t>
      </w:r>
      <w:r>
        <w:rPr>
          <w:rFonts w:hint="eastAsia" w:ascii="仿宋_GB2312" w:hAnsi="仿宋_GB2312" w:cs="仿宋_GB2312"/>
          <w:lang w:eastAsia="zh-CN"/>
        </w:rPr>
        <w:t>”等</w:t>
      </w:r>
      <w:r>
        <w:rPr>
          <w:rFonts w:hint="eastAsia" w:ascii="仿宋_GB2312" w:hAnsi="仿宋_GB2312" w:eastAsia="仿宋_GB2312" w:cs="仿宋_GB2312"/>
        </w:rPr>
        <w:t>特色引才方式，健全完善线上线下相结合的人才招聘服务体系</w:t>
      </w:r>
      <w:r>
        <w:rPr>
          <w:rFonts w:hint="eastAsia" w:ascii="仿宋_GB2312" w:hAnsi="仿宋_GB2312" w:eastAsia="仿宋_GB2312" w:cs="仿宋_GB2312"/>
          <w:lang w:eastAsia="zh-CN"/>
        </w:rPr>
        <w:t>。</w:t>
      </w:r>
    </w:p>
    <w:p w14:paraId="16E5FDD3">
      <w:pPr>
        <w:bidi w:val="0"/>
        <w:rPr>
          <w:rFonts w:hint="eastAsia" w:ascii="Times New Roman" w:hAnsi="Times New Roman" w:eastAsia="仿宋_GB2312" w:cs="Times New Roman"/>
          <w:sz w:val="34"/>
          <w:szCs w:val="34"/>
          <w:lang w:eastAsia="zh-CN"/>
        </w:rPr>
      </w:pPr>
      <w:r>
        <w:rPr>
          <w:rFonts w:hint="eastAsia"/>
          <w:b/>
          <w:bCs/>
          <w:lang w:val="en-US" w:eastAsia="zh-CN"/>
        </w:rPr>
        <w:t>优化人才体制机制。</w:t>
      </w:r>
      <w:r>
        <w:rPr>
          <w:rFonts w:hint="default"/>
          <w:lang w:val="en-US" w:eastAsia="zh-CN"/>
        </w:rPr>
        <w:t>深化人才管理和使用制度改革，促进人才交流、产教融合、科教融汇。</w:t>
      </w:r>
      <w:r>
        <w:rPr>
          <w:rFonts w:hint="eastAsia"/>
        </w:rPr>
        <w:t>出台更加宽松、更加优惠的人才培养、引进、使用、评价、激励等政策措施</w:t>
      </w:r>
      <w:r>
        <w:rPr>
          <w:rFonts w:hint="eastAsia"/>
          <w:lang w:eastAsia="zh-CN"/>
        </w:rPr>
        <w:t>，</w:t>
      </w:r>
      <w:r>
        <w:rPr>
          <w:rFonts w:hint="eastAsia"/>
        </w:rPr>
        <w:t>积极落实人才落户、住房、配偶就业、子女就学等保障性政策</w:t>
      </w:r>
      <w:r>
        <w:rPr>
          <w:rFonts w:hint="eastAsia"/>
          <w:lang w:eastAsia="zh-CN"/>
        </w:rPr>
        <w:t>。</w:t>
      </w:r>
      <w:r>
        <w:rPr>
          <w:rFonts w:hint="eastAsia"/>
        </w:rPr>
        <w:t>加强对人才的政治引领和政治吸纳，弘扬科学精神和工匠精神，营造崇尚创新的社会氛围。</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1823D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22" w:type="dxa"/>
            <w:tcBorders>
              <w:top w:val="single" w:color="auto" w:sz="4" w:space="0"/>
              <w:left w:val="single" w:color="auto" w:sz="4" w:space="0"/>
              <w:bottom w:val="single" w:color="auto" w:sz="4" w:space="0"/>
              <w:right w:val="single" w:color="auto" w:sz="4" w:space="0"/>
            </w:tcBorders>
          </w:tcPr>
          <w:p w14:paraId="5459E7F0">
            <w:pPr>
              <w:pStyle w:val="8"/>
              <w:ind w:firstLine="0" w:firstLineChars="0"/>
              <w:jc w:val="center"/>
              <w:rPr>
                <w:rFonts w:ascii="Times New Roman" w:hAnsi="Times New Roman" w:cs="仿宋_GB2312"/>
                <w:b/>
                <w:bCs/>
                <w:sz w:val="32"/>
                <w:szCs w:val="32"/>
                <w:u w:val="none"/>
                <w:shd w:val="clear" w:fill="auto"/>
              </w:rPr>
            </w:pPr>
            <w:r>
              <w:rPr>
                <w:rFonts w:hint="eastAsia" w:ascii="黑体" w:hAnsi="黑体" w:eastAsia="黑体" w:cs="黑体"/>
                <w:b w:val="0"/>
                <w:bCs w:val="0"/>
                <w:sz w:val="24"/>
                <w:szCs w:val="24"/>
                <w:u w:val="none"/>
                <w:shd w:val="clear" w:fill="auto"/>
              </w:rPr>
              <w:t>专栏</w:t>
            </w:r>
            <w:r>
              <w:rPr>
                <w:rFonts w:hint="eastAsia" w:ascii="黑体" w:hAnsi="黑体" w:eastAsia="黑体" w:cs="黑体"/>
                <w:b w:val="0"/>
                <w:bCs w:val="0"/>
                <w:sz w:val="24"/>
                <w:szCs w:val="24"/>
                <w:u w:val="none"/>
                <w:shd w:val="clear" w:fill="auto"/>
                <w:lang w:val="en-US" w:eastAsia="zh-CN"/>
              </w:rPr>
              <w:t xml:space="preserve">5-1  </w:t>
            </w:r>
            <w:r>
              <w:rPr>
                <w:rFonts w:hint="eastAsia" w:ascii="黑体" w:hAnsi="黑体" w:eastAsia="黑体" w:cs="黑体"/>
                <w:b w:val="0"/>
                <w:bCs w:val="0"/>
                <w:sz w:val="24"/>
                <w:szCs w:val="24"/>
                <w:u w:val="none"/>
                <w:shd w:val="clear" w:fill="auto"/>
              </w:rPr>
              <w:t>创新驱动</w:t>
            </w:r>
            <w:r>
              <w:rPr>
                <w:rFonts w:hint="eastAsia" w:ascii="黑体" w:hAnsi="黑体" w:eastAsia="黑体" w:cs="黑体"/>
                <w:b w:val="0"/>
                <w:bCs w:val="0"/>
                <w:sz w:val="24"/>
                <w:szCs w:val="24"/>
                <w:u w:val="none"/>
                <w:shd w:val="clear" w:fill="auto"/>
                <w:lang w:val="en-US" w:eastAsia="zh-CN"/>
              </w:rPr>
              <w:t>引领</w:t>
            </w:r>
            <w:r>
              <w:rPr>
                <w:rFonts w:hint="eastAsia" w:ascii="黑体" w:hAnsi="黑体" w:eastAsia="黑体" w:cs="黑体"/>
                <w:b w:val="0"/>
                <w:bCs w:val="0"/>
                <w:sz w:val="24"/>
                <w:szCs w:val="24"/>
                <w:u w:val="none"/>
                <w:shd w:val="clear" w:fill="auto"/>
              </w:rPr>
              <w:t>重点工程</w:t>
            </w:r>
          </w:p>
        </w:tc>
      </w:tr>
      <w:tr w14:paraId="32790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single" w:color="auto" w:sz="4" w:space="0"/>
              <w:left w:val="single" w:color="auto" w:sz="4" w:space="0"/>
              <w:bottom w:val="single" w:color="auto" w:sz="4" w:space="0"/>
              <w:right w:val="single" w:color="auto" w:sz="4" w:space="0"/>
            </w:tcBorders>
          </w:tcPr>
          <w:p w14:paraId="313B6453">
            <w:pPr>
              <w:pStyle w:val="8"/>
              <w:bidi w:val="0"/>
              <w:rPr>
                <w:rFonts w:hint="eastAsia" w:ascii="楷体_GB2312" w:hAnsi="楷体_GB2312" w:eastAsia="楷体_GB2312" w:cs="楷体_GB2312"/>
                <w:lang w:eastAsia="zh-CN"/>
              </w:rPr>
            </w:pPr>
            <w:r>
              <w:rPr>
                <w:rFonts w:hint="eastAsia" w:ascii="楷体_GB2312" w:hAnsi="楷体_GB2312" w:eastAsia="楷体_GB2312" w:cs="楷体_GB2312"/>
                <w:b/>
                <w:bCs/>
              </w:rPr>
              <w:t>1</w:t>
            </w:r>
            <w:r>
              <w:rPr>
                <w:rFonts w:hint="eastAsia" w:ascii="楷体_GB2312" w:hAnsi="楷体_GB2312" w:eastAsia="楷体_GB2312" w:cs="楷体_GB2312"/>
                <w:b/>
                <w:bCs/>
                <w:lang w:eastAsia="zh-CN"/>
              </w:rPr>
              <w:t>.</w:t>
            </w:r>
            <w:r>
              <w:rPr>
                <w:rFonts w:hint="eastAsia" w:ascii="楷体_GB2312" w:hAnsi="楷体_GB2312" w:eastAsia="楷体_GB2312" w:cs="楷体_GB2312"/>
                <w:b/>
                <w:bCs/>
              </w:rPr>
              <w:t>产业创新联盟</w:t>
            </w:r>
            <w:r>
              <w:rPr>
                <w:rFonts w:hint="eastAsia" w:ascii="楷体_GB2312" w:hAnsi="楷体_GB2312" w:eastAsia="楷体_GB2312" w:cs="楷体_GB2312"/>
                <w:b/>
                <w:bCs/>
                <w:lang w:val="en-US" w:eastAsia="zh-CN"/>
              </w:rPr>
              <w:t>协同</w:t>
            </w:r>
            <w:r>
              <w:rPr>
                <w:rFonts w:hint="eastAsia" w:ascii="楷体_GB2312" w:hAnsi="楷体_GB2312" w:eastAsia="楷体_GB2312" w:cs="楷体_GB2312"/>
                <w:b/>
                <w:bCs/>
              </w:rPr>
              <w:t>组建</w:t>
            </w:r>
            <w:r>
              <w:rPr>
                <w:rFonts w:hint="eastAsia" w:ascii="楷体_GB2312" w:hAnsi="楷体_GB2312" w:eastAsia="楷体_GB2312" w:cs="楷体_GB2312"/>
                <w:b/>
                <w:bCs/>
                <w:lang w:val="en-US" w:eastAsia="zh-CN"/>
              </w:rPr>
              <w:t>工程</w:t>
            </w:r>
            <w:r>
              <w:rPr>
                <w:rFonts w:hint="eastAsia" w:ascii="楷体_GB2312" w:hAnsi="楷体_GB2312" w:eastAsia="楷体_GB2312" w:cs="楷体_GB2312"/>
                <w:b/>
                <w:bCs/>
              </w:rPr>
              <w:t>。</w:t>
            </w:r>
            <w:r>
              <w:rPr>
                <w:rFonts w:hint="eastAsia" w:ascii="楷体_GB2312" w:hAnsi="楷体_GB2312" w:eastAsia="楷体_GB2312" w:cs="楷体_GB2312"/>
                <w:lang w:eastAsia="zh-CN"/>
              </w:rPr>
              <w:t>以</w:t>
            </w:r>
            <w:r>
              <w:rPr>
                <w:rFonts w:hint="eastAsia" w:ascii="楷体_GB2312" w:hAnsi="楷体_GB2312" w:eastAsia="楷体_GB2312" w:cs="楷体_GB2312"/>
              </w:rPr>
              <w:t>奥谷生物、诺潽生物等龙头企业</w:t>
            </w:r>
            <w:r>
              <w:rPr>
                <w:rFonts w:hint="eastAsia" w:ascii="楷体_GB2312" w:hAnsi="楷体_GB2312" w:eastAsia="楷体_GB2312" w:cs="楷体_GB2312"/>
                <w:lang w:eastAsia="zh-CN"/>
              </w:rPr>
              <w:t>为主体，推动</w:t>
            </w:r>
            <w:r>
              <w:rPr>
                <w:rFonts w:hint="eastAsia" w:ascii="楷体_GB2312" w:hAnsi="楷体_GB2312" w:eastAsia="楷体_GB2312" w:cs="楷体_GB2312"/>
              </w:rPr>
              <w:t>与江南大学、武汉大学、省农科院等建立深度战略合作关系，通过共建重点实验室、工程技术中心等高水平创新平台</w:t>
            </w:r>
            <w:r>
              <w:rPr>
                <w:rFonts w:hint="eastAsia" w:ascii="楷体_GB2312" w:hAnsi="楷体_GB2312" w:eastAsia="楷体_GB2312" w:cs="楷体_GB2312"/>
                <w:lang w:eastAsia="zh-CN"/>
              </w:rPr>
              <w:t>，实现富锦产业链集成创新。</w:t>
            </w:r>
            <w:r>
              <w:rPr>
                <w:rFonts w:hint="eastAsia" w:ascii="楷体_GB2312" w:hAnsi="楷体_GB2312" w:eastAsia="楷体_GB2312" w:cs="楷体_GB2312"/>
              </w:rPr>
              <w:t>全面对接</w:t>
            </w:r>
            <w:r>
              <w:rPr>
                <w:rFonts w:hint="eastAsia" w:ascii="楷体_GB2312" w:hAnsi="楷体_GB2312" w:eastAsia="楷体_GB2312" w:cs="楷体_GB2312"/>
                <w:lang w:val="en-US" w:eastAsia="zh-CN"/>
              </w:rPr>
              <w:t>天津大学、江南大学、中国科学院天津工业生物技术研究所、松山湖实验室等高校科研院所</w:t>
            </w:r>
            <w:r>
              <w:rPr>
                <w:rFonts w:hint="eastAsia" w:ascii="楷体_GB2312" w:hAnsi="楷体_GB2312" w:eastAsia="楷体_GB2312" w:cs="楷体_GB2312"/>
              </w:rPr>
              <w:t>搭建“</w:t>
            </w:r>
            <w:r>
              <w:rPr>
                <w:rFonts w:hint="eastAsia" w:ascii="楷体_GB2312" w:hAnsi="楷体_GB2312" w:cs="楷体_GB2312"/>
                <w:lang w:eastAsia="zh-CN"/>
              </w:rPr>
              <w:t>科技成果转化</w:t>
            </w:r>
            <w:r>
              <w:rPr>
                <w:rFonts w:hint="eastAsia" w:ascii="楷体_GB2312" w:hAnsi="楷体_GB2312" w:eastAsia="楷体_GB2312" w:cs="楷体_GB2312"/>
              </w:rPr>
              <w:t>库”</w:t>
            </w:r>
            <w:r>
              <w:rPr>
                <w:rFonts w:hint="eastAsia" w:ascii="楷体_GB2312" w:hAnsi="楷体_GB2312" w:eastAsia="楷体_GB2312" w:cs="楷体_GB2312"/>
                <w:lang w:eastAsia="zh-CN"/>
              </w:rPr>
              <w:t>。</w:t>
            </w:r>
          </w:p>
          <w:p w14:paraId="4E848B55">
            <w:pPr>
              <w:pStyle w:val="8"/>
              <w:bidi w:val="0"/>
              <w:rPr>
                <w:rFonts w:hint="eastAsia" w:ascii="楷体_GB2312" w:hAnsi="楷体_GB2312" w:eastAsia="楷体_GB2312" w:cs="楷体_GB2312"/>
              </w:rPr>
            </w:pPr>
            <w:r>
              <w:rPr>
                <w:rFonts w:hint="eastAsia" w:ascii="楷体_GB2312" w:hAnsi="楷体_GB2312" w:eastAsia="楷体_GB2312" w:cs="楷体_GB2312"/>
                <w:b/>
                <w:bCs/>
              </w:rPr>
              <w:t>2</w:t>
            </w:r>
            <w:r>
              <w:rPr>
                <w:rFonts w:hint="eastAsia" w:ascii="楷体_GB2312" w:hAnsi="楷体_GB2312" w:eastAsia="楷体_GB2312" w:cs="楷体_GB2312"/>
                <w:b/>
                <w:bCs/>
                <w:lang w:eastAsia="zh-CN"/>
              </w:rPr>
              <w:t>.</w:t>
            </w:r>
            <w:r>
              <w:rPr>
                <w:rFonts w:hint="eastAsia" w:ascii="楷体_GB2312" w:hAnsi="楷体_GB2312" w:eastAsia="楷体_GB2312" w:cs="楷体_GB2312"/>
                <w:b/>
                <w:bCs/>
              </w:rPr>
              <w:t>科技创新综合</w:t>
            </w:r>
            <w:r>
              <w:rPr>
                <w:rFonts w:hint="eastAsia" w:ascii="楷体_GB2312" w:hAnsi="楷体_GB2312" w:eastAsia="楷体_GB2312" w:cs="楷体_GB2312"/>
                <w:b/>
                <w:bCs/>
                <w:lang w:eastAsia="zh-CN"/>
              </w:rPr>
              <w:t>信息</w:t>
            </w:r>
            <w:r>
              <w:rPr>
                <w:rFonts w:hint="eastAsia" w:ascii="楷体_GB2312" w:hAnsi="楷体_GB2312" w:eastAsia="楷体_GB2312" w:cs="楷体_GB2312"/>
                <w:b/>
                <w:bCs/>
                <w:lang w:val="en-US" w:eastAsia="zh-CN"/>
              </w:rPr>
              <w:t>服务平台</w:t>
            </w:r>
            <w:r>
              <w:rPr>
                <w:rFonts w:hint="eastAsia" w:ascii="楷体_GB2312" w:hAnsi="楷体_GB2312" w:eastAsia="楷体_GB2312" w:cs="楷体_GB2312"/>
                <w:b/>
                <w:bCs/>
                <w:lang w:eastAsia="zh-CN"/>
              </w:rPr>
              <w:t>配套工程</w:t>
            </w:r>
            <w:r>
              <w:rPr>
                <w:rFonts w:hint="eastAsia" w:ascii="楷体_GB2312" w:hAnsi="楷体_GB2312" w:eastAsia="楷体_GB2312" w:cs="楷体_GB2312"/>
                <w:b/>
                <w:bCs/>
              </w:rPr>
              <w:t>。</w:t>
            </w:r>
            <w:r>
              <w:rPr>
                <w:rFonts w:hint="eastAsia" w:ascii="楷体_GB2312" w:hAnsi="楷体_GB2312" w:eastAsia="楷体_GB2312" w:cs="楷体_GB2312"/>
              </w:rPr>
              <w:t>整合科技政策、科技成果、科技人才、科技金融等要素资源，着力构建集信息发布展示、科技成果评估评价、技术交易撮合、投融资对接等全链条功能于一体的科技创新综合服务平台。</w:t>
            </w:r>
          </w:p>
          <w:p w14:paraId="4DE22B26">
            <w:pPr>
              <w:pStyle w:val="8"/>
              <w:bidi w:val="0"/>
              <w:rPr>
                <w:rFonts w:hint="eastAsia" w:ascii="楷体_GB2312" w:hAnsi="楷体_GB2312" w:eastAsia="楷体_GB2312" w:cs="楷体_GB2312"/>
                <w:lang w:eastAsia="zh-CN"/>
              </w:rPr>
            </w:pPr>
            <w:r>
              <w:rPr>
                <w:rFonts w:hint="eastAsia" w:ascii="楷体_GB2312" w:hAnsi="楷体_GB2312" w:eastAsia="楷体_GB2312" w:cs="楷体_GB2312"/>
                <w:b/>
                <w:bCs/>
              </w:rPr>
              <w:t>3</w:t>
            </w:r>
            <w:r>
              <w:rPr>
                <w:rFonts w:hint="eastAsia" w:ascii="楷体_GB2312" w:hAnsi="楷体_GB2312" w:eastAsia="楷体_GB2312" w:cs="楷体_GB2312"/>
                <w:b/>
                <w:bCs/>
                <w:lang w:eastAsia="zh-CN"/>
              </w:rPr>
              <w:t>.</w:t>
            </w:r>
            <w:r>
              <w:rPr>
                <w:rFonts w:hint="eastAsia" w:ascii="楷体_GB2312" w:hAnsi="楷体_GB2312" w:eastAsia="楷体_GB2312" w:cs="楷体_GB2312"/>
                <w:b/>
                <w:bCs/>
              </w:rPr>
              <w:t>科技创新载体</w:t>
            </w:r>
            <w:r>
              <w:rPr>
                <w:rFonts w:hint="eastAsia" w:ascii="楷体_GB2312" w:hAnsi="楷体_GB2312" w:eastAsia="楷体_GB2312" w:cs="楷体_GB2312"/>
                <w:b/>
                <w:bCs/>
                <w:lang w:eastAsia="zh-CN"/>
              </w:rPr>
              <w:t>建设工程</w:t>
            </w:r>
            <w:r>
              <w:rPr>
                <w:rFonts w:hint="eastAsia" w:ascii="楷体_GB2312" w:hAnsi="楷体_GB2312" w:eastAsia="楷体_GB2312" w:cs="楷体_GB2312"/>
                <w:b/>
                <w:bCs/>
              </w:rPr>
              <w:t>。</w:t>
            </w:r>
            <w:r>
              <w:rPr>
                <w:rFonts w:hint="eastAsia" w:ascii="楷体_GB2312" w:hAnsi="楷体_GB2312" w:eastAsia="楷体_GB2312" w:cs="楷体_GB2312"/>
              </w:rPr>
              <w:t>依托绿色食品产业园、化工产业园等，梯次培育建设一批“双创”示范基地、特色众创空间、农民工返乡创业基地、科技企业孵化器、</w:t>
            </w:r>
            <w:r>
              <w:rPr>
                <w:rFonts w:hint="eastAsia" w:ascii="楷体_GB2312" w:hAnsi="楷体_GB2312" w:eastAsia="楷体_GB2312" w:cs="楷体_GB2312"/>
                <w:lang w:val="en-US" w:eastAsia="zh-CN"/>
              </w:rPr>
              <w:t>中试平台、</w:t>
            </w:r>
            <w:r>
              <w:rPr>
                <w:rFonts w:hint="eastAsia" w:ascii="楷体_GB2312" w:hAnsi="楷体_GB2312" w:eastAsia="楷体_GB2312" w:cs="楷体_GB2312"/>
              </w:rPr>
              <w:t>产业加速器等。</w:t>
            </w:r>
            <w:r>
              <w:rPr>
                <w:rFonts w:hint="eastAsia" w:ascii="楷体_GB2312" w:hAnsi="楷体_GB2312" w:eastAsia="楷体_GB2312" w:cs="楷体_GB2312"/>
                <w:lang w:eastAsia="zh-CN"/>
              </w:rPr>
              <w:t>同步加快“一家三站”载体、新型智库体及中小企业公共服务平台建设。</w:t>
            </w:r>
          </w:p>
          <w:p w14:paraId="6552BF12">
            <w:pPr>
              <w:pStyle w:val="8"/>
              <w:bidi w:val="0"/>
              <w:rPr>
                <w:rFonts w:ascii="Times New Roman" w:hAnsi="Times New Roman" w:cs="仿宋_GB2312"/>
                <w:szCs w:val="32"/>
                <w:u w:val="none"/>
                <w:shd w:val="clear" w:fill="auto"/>
              </w:rPr>
            </w:pPr>
            <w:r>
              <w:rPr>
                <w:rFonts w:hint="eastAsia" w:ascii="楷体_GB2312" w:hAnsi="楷体_GB2312" w:eastAsia="楷体_GB2312" w:cs="楷体_GB2312"/>
                <w:b/>
                <w:bCs/>
                <w:lang w:val="en-US" w:eastAsia="zh-CN"/>
              </w:rPr>
              <w:t>4</w:t>
            </w:r>
            <w:r>
              <w:rPr>
                <w:rFonts w:hint="eastAsia" w:ascii="楷体_GB2312" w:hAnsi="楷体_GB2312" w:eastAsia="楷体_GB2312" w:cs="楷体_GB2312"/>
                <w:b/>
                <w:bCs/>
                <w:lang w:eastAsia="zh-CN"/>
              </w:rPr>
              <w:t>.</w:t>
            </w:r>
            <w:r>
              <w:rPr>
                <w:rFonts w:hint="eastAsia" w:ascii="楷体_GB2312" w:hAnsi="楷体_GB2312" w:eastAsia="楷体_GB2312" w:cs="楷体_GB2312"/>
                <w:b/>
                <w:bCs/>
              </w:rPr>
              <w:t>综合性实训基地建设</w:t>
            </w:r>
            <w:r>
              <w:rPr>
                <w:rFonts w:hint="eastAsia" w:ascii="楷体_GB2312" w:hAnsi="楷体_GB2312" w:eastAsia="楷体_GB2312" w:cs="楷体_GB2312"/>
                <w:b/>
                <w:bCs/>
                <w:lang w:val="en-US" w:eastAsia="zh-CN"/>
              </w:rPr>
              <w:t>工程</w:t>
            </w:r>
            <w:r>
              <w:rPr>
                <w:rFonts w:hint="eastAsia" w:ascii="楷体_GB2312" w:hAnsi="楷体_GB2312" w:eastAsia="楷体_GB2312" w:cs="楷体_GB2312"/>
                <w:b/>
                <w:bCs/>
              </w:rPr>
              <w:t>。</w:t>
            </w:r>
            <w:r>
              <w:rPr>
                <w:rFonts w:hint="eastAsia" w:ascii="楷体_GB2312" w:hAnsi="楷体_GB2312" w:eastAsia="楷体_GB2312" w:cs="楷体_GB2312"/>
              </w:rPr>
              <w:t>推进教学与培训结合、专业与职业结合、实习与就业结合的“三结合”培养模式，</w:t>
            </w:r>
            <w:r>
              <w:rPr>
                <w:rFonts w:hint="eastAsia" w:ascii="楷体_GB2312" w:hAnsi="楷体_GB2312" w:eastAsia="楷体_GB2312" w:cs="楷体_GB2312"/>
                <w:lang w:val="en-US" w:eastAsia="zh-CN"/>
              </w:rPr>
              <w:t>引导</w:t>
            </w:r>
            <w:r>
              <w:rPr>
                <w:rFonts w:hint="eastAsia" w:ascii="楷体_GB2312" w:hAnsi="楷体_GB2312" w:eastAsia="楷体_GB2312" w:cs="楷体_GB2312"/>
              </w:rPr>
              <w:t>象屿金谷、诺潽生物等区域龙头企业与佳木斯职教集团建立战略合作关系，共建集教学、实训、研发、服务于一体的综合性实训基地。</w:t>
            </w:r>
          </w:p>
        </w:tc>
      </w:tr>
    </w:tbl>
    <w:p w14:paraId="38EEAC1F">
      <w:pPr>
        <w:rPr>
          <w:rFonts w:hint="eastAsia"/>
        </w:rPr>
      </w:pPr>
      <w:r>
        <w:rPr>
          <w:rFonts w:hint="eastAsia"/>
        </w:rPr>
        <w:br w:type="page"/>
      </w:r>
    </w:p>
    <w:p w14:paraId="0C778552">
      <w:pPr>
        <w:pStyle w:val="2"/>
        <w:bidi w:val="0"/>
        <w:ind w:left="0" w:leftChars="0" w:firstLine="0" w:firstLineChars="0"/>
        <w:jc w:val="center"/>
        <w:rPr>
          <w:rFonts w:hint="default" w:ascii="黑体" w:hAnsi="黑体" w:eastAsia="黑体" w:cs="黑体"/>
          <w:sz w:val="36"/>
          <w:szCs w:val="48"/>
          <w:lang w:val="en-US" w:eastAsia="zh-CN"/>
        </w:rPr>
      </w:pPr>
      <w:bookmarkStart w:id="39" w:name="_Toc1640"/>
      <w:r>
        <w:rPr>
          <w:rFonts w:hint="eastAsia" w:ascii="黑体" w:hAnsi="黑体" w:eastAsia="黑体" w:cs="黑体"/>
          <w:sz w:val="36"/>
          <w:szCs w:val="48"/>
          <w:lang w:val="en-US" w:eastAsia="zh-CN"/>
        </w:rPr>
        <w:t>第六章  主动服务强大国内市场，全面融入区域振兴新发展格局</w:t>
      </w:r>
      <w:bookmarkEnd w:id="39"/>
    </w:p>
    <w:p w14:paraId="0D67CE50">
      <w:pPr>
        <w:bidi w:val="0"/>
        <w:rPr>
          <w:rFonts w:hint="eastAsia" w:ascii="仿宋_GB2312" w:hAnsi="仿宋_GB2312" w:eastAsia="仿宋_GB2312" w:cs="仿宋_GB2312"/>
        </w:rPr>
      </w:pPr>
      <w:r>
        <w:rPr>
          <w:rFonts w:hint="eastAsia" w:ascii="仿宋_GB2312" w:hAnsi="仿宋_GB2312" w:cs="仿宋_GB2312"/>
          <w:lang w:val="en-US" w:eastAsia="zh-CN"/>
        </w:rPr>
        <w:t>紧扣建设区域消费中心和向北开放重要节点城市目标，</w:t>
      </w:r>
      <w:r>
        <w:rPr>
          <w:rFonts w:hint="eastAsia" w:ascii="仿宋_GB2312" w:hAnsi="仿宋_GB2312" w:eastAsia="仿宋_GB2312" w:cs="仿宋_GB2312"/>
          <w:lang w:val="en-US" w:eastAsia="zh-CN"/>
        </w:rPr>
        <w:t>主动服务</w:t>
      </w:r>
      <w:r>
        <w:rPr>
          <w:rFonts w:hint="eastAsia" w:ascii="仿宋_GB2312" w:hAnsi="仿宋_GB2312" w:cs="仿宋_GB2312"/>
          <w:lang w:val="en-US" w:eastAsia="zh-CN"/>
        </w:rPr>
        <w:t>和融入</w:t>
      </w:r>
      <w:r>
        <w:rPr>
          <w:rFonts w:hint="eastAsia" w:ascii="仿宋_GB2312" w:hAnsi="仿宋_GB2312" w:eastAsia="仿宋_GB2312" w:cs="仿宋_GB2312"/>
          <w:lang w:val="en-US" w:eastAsia="zh-CN"/>
        </w:rPr>
        <w:t>新发展格局，坚持扩大内需这个战略基点，坚持惠民生和促消费、投资于物和投资于人紧密结合，以新需求引领新供给，以新供给创造新需求，促进消费和投资、供给和需求良性互动，纵深推进降低全社会物流成本“一号先导工程”，推动经济循环高效畅通。</w:t>
      </w:r>
    </w:p>
    <w:p w14:paraId="611B7DDC">
      <w:pPr>
        <w:pStyle w:val="3"/>
        <w:bidi w:val="0"/>
        <w:rPr>
          <w:rFonts w:hint="default"/>
          <w:lang w:val="en-US" w:eastAsia="zh-CN"/>
        </w:rPr>
      </w:pPr>
      <w:bookmarkStart w:id="40" w:name="_Toc3148"/>
      <w:r>
        <w:rPr>
          <w:rFonts w:hint="eastAsia"/>
          <w:lang w:val="en-US" w:eastAsia="zh-CN"/>
        </w:rPr>
        <w:t>第一节  打造三江平原消费中心城市</w:t>
      </w:r>
      <w:bookmarkEnd w:id="40"/>
    </w:p>
    <w:p w14:paraId="63DA60F3">
      <w:pPr>
        <w:bidi w:val="0"/>
        <w:rPr>
          <w:rFonts w:hint="eastAsia"/>
          <w:lang w:val="en-US" w:eastAsia="zh-CN"/>
        </w:rPr>
      </w:pPr>
      <w:r>
        <w:rPr>
          <w:rFonts w:hint="default"/>
          <w:lang w:val="en-US" w:eastAsia="zh-CN"/>
        </w:rPr>
        <w:t>深入实施提振消费专项行动，</w:t>
      </w:r>
      <w:r>
        <w:rPr>
          <w:rFonts w:hint="eastAsia" w:ascii="仿宋_GB2312" w:hAnsi="仿宋_GB2312" w:eastAsia="仿宋_GB2312" w:cs="仿宋_GB2312"/>
          <w:lang w:val="en-US" w:eastAsia="zh-CN"/>
        </w:rPr>
        <w:t>以争创</w:t>
      </w:r>
      <w:r>
        <w:rPr>
          <w:rFonts w:hint="eastAsia" w:ascii="仿宋_GB2312" w:hAnsi="仿宋_GB2312" w:eastAsia="仿宋_GB2312" w:cs="仿宋_GB2312"/>
        </w:rPr>
        <w:t>县域商业建设行动示范县</w:t>
      </w:r>
      <w:r>
        <w:rPr>
          <w:rFonts w:hint="eastAsia" w:ascii="仿宋_GB2312" w:hAnsi="仿宋_GB2312" w:eastAsia="仿宋_GB2312" w:cs="仿宋_GB2312"/>
          <w:lang w:val="en-US" w:eastAsia="zh-CN"/>
        </w:rPr>
        <w:t>为契机</w:t>
      </w:r>
      <w:r>
        <w:rPr>
          <w:rFonts w:hint="eastAsia" w:ascii="仿宋_GB2312" w:hAnsi="仿宋_GB2312" w:eastAsia="仿宋_GB2312" w:cs="仿宋_GB2312"/>
        </w:rPr>
        <w:t>，</w:t>
      </w:r>
      <w:r>
        <w:rPr>
          <w:rFonts w:hint="default"/>
          <w:lang w:val="en-US" w:eastAsia="zh-CN"/>
        </w:rPr>
        <w:t>扩大优质消费品和服务供给，提高公共服务支出，增强居民消费能力，打造</w:t>
      </w:r>
      <w:r>
        <w:rPr>
          <w:rFonts w:hint="eastAsia"/>
          <w:lang w:val="en-US" w:eastAsia="zh-CN"/>
        </w:rPr>
        <w:t>区域</w:t>
      </w:r>
      <w:r>
        <w:rPr>
          <w:rFonts w:hint="default"/>
          <w:lang w:val="en-US" w:eastAsia="zh-CN"/>
        </w:rPr>
        <w:t>消费中心。</w:t>
      </w:r>
    </w:p>
    <w:p w14:paraId="126217E9">
      <w:pPr>
        <w:bidi w:val="0"/>
        <w:rPr>
          <w:rFonts w:hint="eastAsia"/>
        </w:rPr>
      </w:pPr>
      <w:r>
        <w:rPr>
          <w:rFonts w:hint="eastAsia"/>
          <w:b/>
          <w:bCs/>
        </w:rPr>
        <w:t>培育壮大消费新业态新模式。</w:t>
      </w:r>
      <w:r>
        <w:rPr>
          <w:rFonts w:hint="default"/>
          <w:lang w:val="en-US" w:eastAsia="zh-CN"/>
        </w:rPr>
        <w:t>以放宽准入、业态融合为重点扩大服务消费，做优特色消费品牌，发展直播电商、即时零售等消费新业态，打造消费新模式新场景</w:t>
      </w:r>
      <w:r>
        <w:rPr>
          <w:rFonts w:hint="eastAsia"/>
          <w:lang w:val="en-US" w:eastAsia="zh-CN"/>
        </w:rPr>
        <w:t>，拓展入境消费</w:t>
      </w:r>
      <w:r>
        <w:rPr>
          <w:rFonts w:hint="default"/>
          <w:lang w:val="en-US" w:eastAsia="zh-CN"/>
        </w:rPr>
        <w:t>。</w:t>
      </w:r>
      <w:r>
        <w:rPr>
          <w:rFonts w:hint="eastAsia"/>
        </w:rPr>
        <w:t>发展无接触交易服务，</w:t>
      </w:r>
      <w:r>
        <w:rPr>
          <w:rFonts w:hint="eastAsia"/>
          <w:lang w:val="en-US" w:eastAsia="zh-CN"/>
        </w:rPr>
        <w:t>推动</w:t>
      </w:r>
      <w:r>
        <w:rPr>
          <w:rFonts w:hint="eastAsia"/>
        </w:rPr>
        <w:t>在线教育、互联网医疗等消费新模式发展。扩大绿色消费、健康消费、安全消费、节假日消费，加快</w:t>
      </w:r>
      <w:r>
        <w:rPr>
          <w:rFonts w:hint="eastAsia"/>
          <w:lang w:val="en-US" w:eastAsia="zh-CN"/>
        </w:rPr>
        <w:t>培育</w:t>
      </w:r>
      <w:r>
        <w:rPr>
          <w:rFonts w:hint="eastAsia"/>
        </w:rPr>
        <w:t>夜经济、网红经济、共享经济</w:t>
      </w:r>
      <w:r>
        <w:rPr>
          <w:rFonts w:hint="eastAsia"/>
          <w:lang w:val="en-US" w:eastAsia="zh-CN"/>
        </w:rPr>
        <w:t>等消费新业态</w:t>
      </w:r>
      <w:r>
        <w:rPr>
          <w:rFonts w:hint="eastAsia"/>
        </w:rPr>
        <w:t>，创新多元化消费场景。构建夜间复合型消费业态，推动夜间购物、特色餐饮、文体娱乐、演艺体验、观光旅游多业态融合，打造文创零售街、风情美食街等夜间消费地标，为消费者提供一站式消费服务。</w:t>
      </w:r>
    </w:p>
    <w:p w14:paraId="25BF6CCD">
      <w:pPr>
        <w:bidi w:val="0"/>
        <w:rPr>
          <w:rFonts w:hint="eastAsia"/>
        </w:rPr>
      </w:pPr>
      <w:r>
        <w:rPr>
          <w:rFonts w:hint="eastAsia"/>
          <w:b/>
          <w:bCs/>
        </w:rPr>
        <w:t>激发核心商圈消费新活力。</w:t>
      </w:r>
      <w:bookmarkStart w:id="41" w:name="OLE_LINK2"/>
      <w:r>
        <w:rPr>
          <w:rFonts w:hint="default"/>
          <w:lang w:val="en-US" w:eastAsia="zh-CN"/>
        </w:rPr>
        <w:t>提升核心商圈、特色街区综合服务和辐射带动力，推动公共服务设施与商业配套融合发展。</w:t>
      </w:r>
      <w:r>
        <w:rPr>
          <w:rFonts w:hint="eastAsia"/>
        </w:rPr>
        <w:t>充分发挥佳木斯东部商贸中心、佳木斯陆港型国家物流枢纽辅助功能区、国家级“避暑旅游目的地”、</w:t>
      </w:r>
      <w:bookmarkEnd w:id="41"/>
      <w:r>
        <w:rPr>
          <w:rFonts w:hint="eastAsia"/>
        </w:rPr>
        <w:t>区域内经济总量最大、服务功能最全的县级市的政策利好，有序推进富锦重点商圈提升改造，提升富锦新玛特商场、新天地购物广场、家世界家居建材商场、温州轻纺边贸商城、百货大楼、步行街、地下商业街等商贸服务功能，提质改造一批核心商圈。以新天地购物广场为核心，开展线上线下融合的首发经济新模式，</w:t>
      </w:r>
      <w:r>
        <w:rPr>
          <w:rFonts w:hint="eastAsia"/>
          <w:lang w:val="en-US" w:eastAsia="zh-CN"/>
        </w:rPr>
        <w:t>推动</w:t>
      </w:r>
      <w:r>
        <w:rPr>
          <w:rFonts w:hint="eastAsia"/>
        </w:rPr>
        <w:t>新天地购物商圈打造成为佳木斯以东地区区域新品首发地</w:t>
      </w:r>
      <w:r>
        <w:rPr>
          <w:rFonts w:hint="eastAsia"/>
          <w:lang w:eastAsia="zh-CN"/>
        </w:rPr>
        <w:t>，</w:t>
      </w:r>
      <w:r>
        <w:rPr>
          <w:rFonts w:hint="eastAsia"/>
          <w:lang w:val="en-US" w:eastAsia="zh-CN"/>
        </w:rPr>
        <w:t>依托</w:t>
      </w:r>
      <w:r>
        <w:rPr>
          <w:rFonts w:hint="eastAsia"/>
        </w:rPr>
        <w:t>名特优农产品等资源禀赋，通过开设首店、产品首展、服务首发等方式，大力培育富锦特色产品首发经济。围绕城东、城西等区域，谋划建设便民商业服务设施、商贸广场等综合性商贸设施，补齐设施短板，丰富商贸服务业态。</w:t>
      </w:r>
    </w:p>
    <w:p w14:paraId="388C822D">
      <w:pPr>
        <w:bidi w:val="0"/>
        <w:rPr>
          <w:rFonts w:hint="eastAsia" w:ascii="仿宋_GB2312" w:hAnsi="仿宋_GB2312" w:eastAsia="仿宋_GB2312" w:cs="仿宋_GB2312"/>
        </w:rPr>
      </w:pPr>
      <w:r>
        <w:rPr>
          <w:rFonts w:hint="eastAsia" w:ascii="仿宋_GB2312" w:hAnsi="仿宋_GB2312" w:cs="仿宋_GB2312"/>
          <w:b/>
          <w:bCs/>
          <w:lang w:val="en-US" w:eastAsia="zh-CN"/>
        </w:rPr>
        <w:t>加大直达消费者的普惠消费政策力度</w:t>
      </w:r>
      <w:r>
        <w:rPr>
          <w:rFonts w:hint="eastAsia" w:ascii="仿宋_GB2312" w:hAnsi="仿宋_GB2312" w:eastAsia="仿宋_GB2312" w:cs="仿宋_GB2312"/>
          <w:b/>
          <w:bCs/>
        </w:rPr>
        <w:t>。</w:t>
      </w:r>
      <w:r>
        <w:rPr>
          <w:rFonts w:hint="eastAsia" w:ascii="仿宋_GB2312" w:hAnsi="仿宋_GB2312" w:eastAsia="仿宋_GB2312" w:cs="仿宋_GB2312"/>
        </w:rPr>
        <w:t>进一步深化重点领域补贴支持，通过优化补贴结构、扩大覆盖范围、强化政策协同，充分发挥大宗消费对县域经济的引擎作用。立足富锦农业资源优势，创新本地特色产品消费补贴机制，实现</w:t>
      </w:r>
      <w:r>
        <w:rPr>
          <w:rFonts w:hint="eastAsia" w:ascii="仿宋_GB2312" w:hAnsi="仿宋_GB2312" w:eastAsia="仿宋_GB2312" w:cs="仿宋_GB2312"/>
          <w:lang w:eastAsia="zh-CN"/>
        </w:rPr>
        <w:t>“</w:t>
      </w:r>
      <w:r>
        <w:rPr>
          <w:rFonts w:hint="eastAsia" w:ascii="仿宋_GB2312" w:hAnsi="仿宋_GB2312" w:eastAsia="仿宋_GB2312" w:cs="仿宋_GB2312"/>
        </w:rPr>
        <w:t>促消费</w:t>
      </w:r>
      <w:r>
        <w:rPr>
          <w:rFonts w:hint="eastAsia" w:ascii="仿宋_GB2312" w:hAnsi="仿宋_GB2312" w:eastAsia="仿宋_GB2312" w:cs="仿宋_GB2312"/>
          <w:lang w:eastAsia="zh-CN"/>
        </w:rPr>
        <w:t>”</w:t>
      </w:r>
      <w:r>
        <w:rPr>
          <w:rFonts w:hint="eastAsia" w:ascii="仿宋_GB2312" w:hAnsi="仿宋_GB2312" w:eastAsia="仿宋_GB2312" w:cs="仿宋_GB2312"/>
        </w:rPr>
        <w:t>与</w:t>
      </w:r>
      <w:r>
        <w:rPr>
          <w:rFonts w:hint="eastAsia" w:ascii="仿宋_GB2312" w:hAnsi="仿宋_GB2312" w:eastAsia="仿宋_GB2312" w:cs="仿宋_GB2312"/>
          <w:lang w:eastAsia="zh-CN"/>
        </w:rPr>
        <w:t>“</w:t>
      </w:r>
      <w:r>
        <w:rPr>
          <w:rFonts w:hint="eastAsia" w:ascii="仿宋_GB2312" w:hAnsi="仿宋_GB2312" w:eastAsia="仿宋_GB2312" w:cs="仿宋_GB2312"/>
        </w:rPr>
        <w:t>兴产业</w:t>
      </w:r>
      <w:r>
        <w:rPr>
          <w:rFonts w:hint="eastAsia" w:ascii="仿宋_GB2312" w:hAnsi="仿宋_GB2312" w:eastAsia="仿宋_GB2312" w:cs="仿宋_GB2312"/>
          <w:lang w:eastAsia="zh-CN"/>
        </w:rPr>
        <w:t>”</w:t>
      </w:r>
      <w:r>
        <w:rPr>
          <w:rFonts w:hint="eastAsia" w:ascii="仿宋_GB2312" w:hAnsi="仿宋_GB2312" w:eastAsia="仿宋_GB2312" w:cs="仿宋_GB2312"/>
        </w:rPr>
        <w:t>的双重目标。强化新能源汽车支持，将补贴范围扩展至新能源商用车领域，对农村物流车辆、冷链运输车辆等生产性用车给予专项支持，深化“汽车下乡”政策，建立二手车流通补贴机制。优化家电消费补贴结构，突出绿色智能导向，建立“更新换代”补贴机制，设立“以旧换新”专项补贴资金，联合回收企业建立富锦市废旧家电回收网络，形成“消费</w:t>
      </w:r>
      <w:r>
        <w:rPr>
          <w:rFonts w:hint="eastAsia" w:ascii="仿宋_GB2312" w:hAnsi="仿宋_GB2312" w:cs="仿宋_GB2312"/>
          <w:lang w:eastAsia="zh-CN"/>
        </w:rPr>
        <w:t>－</w:t>
      </w:r>
      <w:r>
        <w:rPr>
          <w:rFonts w:hint="eastAsia" w:ascii="仿宋_GB2312" w:hAnsi="仿宋_GB2312" w:eastAsia="仿宋_GB2312" w:cs="仿宋_GB2312"/>
        </w:rPr>
        <w:t>回收</w:t>
      </w:r>
      <w:r>
        <w:rPr>
          <w:rFonts w:hint="eastAsia" w:ascii="仿宋_GB2312" w:hAnsi="仿宋_GB2312" w:cs="仿宋_GB2312"/>
          <w:lang w:eastAsia="zh-CN"/>
        </w:rPr>
        <w:t>－</w:t>
      </w:r>
      <w:r>
        <w:rPr>
          <w:rFonts w:hint="eastAsia" w:ascii="仿宋_GB2312" w:hAnsi="仿宋_GB2312" w:eastAsia="仿宋_GB2312" w:cs="仿宋_GB2312"/>
        </w:rPr>
        <w:t>再利用”的闭环体系。</w:t>
      </w:r>
    </w:p>
    <w:p w14:paraId="6E0BE6E4">
      <w:pPr>
        <w:bidi w:val="0"/>
        <w:rPr>
          <w:rFonts w:hint="eastAsia" w:ascii="仿宋_GB2312" w:hAnsi="仿宋_GB2312" w:eastAsia="仿宋_GB2312" w:cs="仿宋_GB2312"/>
        </w:rPr>
      </w:pPr>
      <w:r>
        <w:rPr>
          <w:rFonts w:hint="eastAsia" w:ascii="仿宋_GB2312" w:hAnsi="仿宋_GB2312" w:eastAsia="仿宋_GB2312" w:cs="仿宋_GB2312"/>
          <w:b/>
          <w:bCs/>
        </w:rPr>
        <w:t>强化赛事</w:t>
      </w:r>
      <w:r>
        <w:rPr>
          <w:rFonts w:hint="eastAsia" w:ascii="仿宋_GB2312" w:hAnsi="仿宋_GB2312" w:cs="仿宋_GB2312"/>
          <w:b/>
          <w:bCs/>
          <w:lang w:val="en-US" w:eastAsia="zh-CN"/>
        </w:rPr>
        <w:t>活动</w:t>
      </w:r>
      <w:r>
        <w:rPr>
          <w:rFonts w:hint="eastAsia" w:ascii="仿宋_GB2312" w:hAnsi="仿宋_GB2312" w:eastAsia="仿宋_GB2312" w:cs="仿宋_GB2312"/>
          <w:b/>
          <w:bCs/>
        </w:rPr>
        <w:t>消费新场景</w:t>
      </w:r>
      <w:r>
        <w:rPr>
          <w:rFonts w:hint="eastAsia" w:ascii="仿宋_GB2312" w:hAnsi="仿宋_GB2312" w:cs="仿宋_GB2312"/>
          <w:b/>
          <w:bCs/>
          <w:lang w:val="en-US" w:eastAsia="zh-CN"/>
        </w:rPr>
        <w:t>建设</w:t>
      </w:r>
      <w:r>
        <w:rPr>
          <w:rFonts w:hint="eastAsia" w:ascii="仿宋_GB2312" w:hAnsi="仿宋_GB2312" w:eastAsia="仿宋_GB2312" w:cs="仿宋_GB2312"/>
          <w:b/>
          <w:bCs/>
        </w:rPr>
        <w:t>。</w:t>
      </w:r>
      <w:bookmarkStart w:id="42" w:name="OLE_LINK26"/>
      <w:r>
        <w:rPr>
          <w:rFonts w:hint="eastAsia" w:ascii="仿宋_GB2312" w:hAnsi="仿宋_GB2312" w:eastAsia="仿宋_GB2312" w:cs="仿宋_GB2312"/>
        </w:rPr>
        <w:t>通过举办半程马拉松</w:t>
      </w:r>
      <w:r>
        <w:rPr>
          <w:rFonts w:hint="eastAsia" w:ascii="仿宋_GB2312" w:hAnsi="仿宋_GB2312" w:cs="仿宋_GB2312"/>
          <w:lang w:eastAsia="zh-CN"/>
        </w:rPr>
        <w:t>、</w:t>
      </w:r>
      <w:r>
        <w:rPr>
          <w:rFonts w:hint="eastAsia" w:ascii="仿宋_GB2312" w:hAnsi="仿宋_GB2312" w:eastAsia="仿宋_GB2312" w:cs="仿宋_GB2312"/>
        </w:rPr>
        <w:t>稻田音乐</w:t>
      </w:r>
      <w:r>
        <w:rPr>
          <w:rFonts w:hint="eastAsia" w:ascii="仿宋_GB2312" w:hAnsi="仿宋_GB2312" w:eastAsia="仿宋_GB2312" w:cs="仿宋_GB2312"/>
          <w:lang w:val="en-US" w:eastAsia="zh-CN"/>
        </w:rPr>
        <w:t>会</w:t>
      </w:r>
      <w:r>
        <w:rPr>
          <w:rFonts w:hint="eastAsia" w:ascii="仿宋_GB2312" w:hAnsi="仿宋_GB2312" w:eastAsia="仿宋_GB2312" w:cs="仿宋_GB2312"/>
        </w:rPr>
        <w:t>等活动引流，</w:t>
      </w:r>
      <w:bookmarkEnd w:id="42"/>
      <w:r>
        <w:rPr>
          <w:rFonts w:hint="eastAsia" w:ascii="仿宋_GB2312" w:hAnsi="仿宋_GB2312" w:eastAsia="仿宋_GB2312" w:cs="仿宋_GB2312"/>
        </w:rPr>
        <w:t>升级马拉松赛事IP，构建全域消费引擎。以马拉松为基</w:t>
      </w:r>
      <w:r>
        <w:rPr>
          <w:rFonts w:hint="eastAsia" w:ascii="仿宋_GB2312" w:hAnsi="仿宋_GB2312" w:eastAsia="仿宋_GB2312" w:cs="仿宋_GB2312"/>
          <w:lang w:val="en-US" w:eastAsia="zh-CN"/>
        </w:rPr>
        <w:t>础</w:t>
      </w:r>
      <w:r>
        <w:rPr>
          <w:rFonts w:hint="eastAsia" w:ascii="仿宋_GB2312" w:hAnsi="仿宋_GB2312" w:eastAsia="仿宋_GB2312" w:cs="仿宋_GB2312"/>
        </w:rPr>
        <w:t>，扩容赛道场景与消费链，打造“一日比赛、多日停留、全域消费”模型。拓展四季全时赛事体系，激活淡季消费。依托三江平原冰雪资源，开发冰雪主题赛事，加强农业主题节赛融合。积极举办专场推介会，展示大米、大豆地理标志产品及非遗美食。</w:t>
      </w:r>
    </w:p>
    <w:p w14:paraId="76AA808C">
      <w:pPr>
        <w:bidi w:val="0"/>
        <w:rPr>
          <w:rFonts w:hint="eastAsia" w:ascii="仿宋_GB2312" w:hAnsi="仿宋_GB2312" w:eastAsia="仿宋_GB2312" w:cs="仿宋_GB2312"/>
          <w:lang w:val="en-US" w:eastAsia="zh-CN"/>
        </w:rPr>
      </w:pPr>
      <w:r>
        <w:rPr>
          <w:rFonts w:hint="eastAsia" w:ascii="仿宋_GB2312" w:hAnsi="仿宋_GB2312" w:eastAsia="仿宋_GB2312" w:cs="仿宋_GB2312"/>
          <w:b/>
          <w:bCs/>
          <w:lang w:val="en-US" w:eastAsia="zh-CN"/>
        </w:rPr>
        <w:t>拓宽商贸文旅体育等跨界融合消费渠道。</w:t>
      </w:r>
      <w:r>
        <w:rPr>
          <w:rFonts w:hint="eastAsia" w:ascii="仿宋_GB2312" w:hAnsi="仿宋_GB2312" w:eastAsia="仿宋_GB2312" w:cs="仿宋_GB2312"/>
        </w:rPr>
        <w:t>整合稻海田园综合体、国家湿地公园等生态农业资源与冰雪主题乐园等特色载体，联动新天地购物中心等商圈打造</w:t>
      </w:r>
      <w:r>
        <w:rPr>
          <w:rFonts w:hint="eastAsia" w:ascii="仿宋_GB2312" w:hAnsi="仿宋_GB2312" w:eastAsia="仿宋_GB2312" w:cs="仿宋_GB2312"/>
          <w:lang w:eastAsia="zh-CN"/>
        </w:rPr>
        <w:t>“</w:t>
      </w:r>
      <w:r>
        <w:rPr>
          <w:rFonts w:hint="eastAsia" w:ascii="仿宋_GB2312" w:hAnsi="仿宋_GB2312" w:eastAsia="仿宋_GB2312" w:cs="仿宋_GB2312"/>
        </w:rPr>
        <w:t>消费场景</w:t>
      </w:r>
      <w:r>
        <w:rPr>
          <w:rFonts w:hint="eastAsia" w:ascii="仿宋_GB2312" w:hAnsi="仿宋_GB2312" w:eastAsia="仿宋_GB2312" w:cs="仿宋_GB2312"/>
          <w:lang w:val="en-US" w:eastAsia="zh-CN"/>
        </w:rPr>
        <w:t>+</w:t>
      </w:r>
      <w:r>
        <w:rPr>
          <w:rFonts w:hint="eastAsia" w:ascii="仿宋_GB2312" w:hAnsi="仿宋_GB2312" w:eastAsia="仿宋_GB2312" w:cs="仿宋_GB2312"/>
        </w:rPr>
        <w:t>体验场景</w:t>
      </w:r>
      <w:r>
        <w:rPr>
          <w:rFonts w:hint="eastAsia" w:ascii="仿宋_GB2312" w:hAnsi="仿宋_GB2312" w:eastAsia="仿宋_GB2312" w:cs="仿宋_GB2312"/>
          <w:lang w:eastAsia="zh-CN"/>
        </w:rPr>
        <w:t>”</w:t>
      </w:r>
      <w:r>
        <w:rPr>
          <w:rFonts w:hint="eastAsia" w:ascii="仿宋_GB2312" w:hAnsi="仿宋_GB2312" w:eastAsia="仿宋_GB2312" w:cs="仿宋_GB2312"/>
        </w:rPr>
        <w:t>复合空间，推动购物、餐饮与田园观光、湿地研学、冰雪运动等业态深度叠加</w:t>
      </w:r>
      <w:r>
        <w:rPr>
          <w:rFonts w:hint="eastAsia" w:ascii="仿宋_GB2312" w:hAnsi="仿宋_GB2312" w:eastAsia="仿宋_GB2312" w:cs="仿宋_GB2312"/>
          <w:lang w:eastAsia="zh-CN"/>
        </w:rPr>
        <w:t>，</w:t>
      </w:r>
      <w:r>
        <w:rPr>
          <w:rFonts w:hint="eastAsia" w:ascii="仿宋_GB2312" w:hAnsi="仿宋_GB2312" w:eastAsia="仿宋_GB2312" w:cs="仿宋_GB2312"/>
        </w:rPr>
        <w:t>构建“商旅文体”联动发展的新生态</w:t>
      </w:r>
      <w:r>
        <w:rPr>
          <w:rFonts w:hint="eastAsia" w:ascii="仿宋_GB2312" w:hAnsi="仿宋_GB2312" w:eastAsia="仿宋_GB2312" w:cs="仿宋_GB2312"/>
          <w:lang w:eastAsia="zh-CN"/>
        </w:rPr>
        <w:t>。</w:t>
      </w:r>
      <w:r>
        <w:rPr>
          <w:rFonts w:hint="eastAsia" w:ascii="仿宋_GB2312" w:hAnsi="仿宋_GB2312" w:eastAsia="仿宋_GB2312" w:cs="仿宋_GB2312"/>
        </w:rPr>
        <w:t>培育</w:t>
      </w:r>
      <w:r>
        <w:rPr>
          <w:rFonts w:hint="eastAsia" w:ascii="仿宋_GB2312" w:hAnsi="仿宋_GB2312" w:eastAsia="仿宋_GB2312" w:cs="仿宋_GB2312"/>
          <w:lang w:eastAsia="zh-CN"/>
        </w:rPr>
        <w:t>“</w:t>
      </w:r>
      <w:r>
        <w:rPr>
          <w:rFonts w:hint="eastAsia" w:ascii="仿宋_GB2312" w:hAnsi="仿宋_GB2312" w:eastAsia="仿宋_GB2312" w:cs="仿宋_GB2312"/>
        </w:rPr>
        <w:t>跟着赛事去旅行</w:t>
      </w:r>
      <w:r>
        <w:rPr>
          <w:rFonts w:hint="eastAsia" w:ascii="仿宋_GB2312" w:hAnsi="仿宋_GB2312" w:eastAsia="仿宋_GB2312" w:cs="仿宋_GB2312"/>
          <w:lang w:eastAsia="zh-CN"/>
        </w:rPr>
        <w:t>”“</w:t>
      </w:r>
      <w:r>
        <w:rPr>
          <w:rFonts w:hint="eastAsia" w:ascii="仿宋_GB2312" w:hAnsi="仿宋_GB2312" w:eastAsia="仿宋_GB2312" w:cs="仿宋_GB2312"/>
        </w:rPr>
        <w:t>冰雪嘉年华</w:t>
      </w:r>
      <w:r>
        <w:rPr>
          <w:rFonts w:hint="eastAsia" w:ascii="仿宋_GB2312" w:hAnsi="仿宋_GB2312" w:eastAsia="仿宋_GB2312" w:cs="仿宋_GB2312"/>
          <w:lang w:val="en-US" w:eastAsia="zh-CN"/>
        </w:rPr>
        <w:t>+</w:t>
      </w:r>
      <w:r>
        <w:rPr>
          <w:rFonts w:hint="eastAsia" w:ascii="仿宋_GB2312" w:hAnsi="仿宋_GB2312" w:eastAsia="仿宋_GB2312" w:cs="仿宋_GB2312"/>
        </w:rPr>
        <w:t>商贸促销</w:t>
      </w:r>
      <w:r>
        <w:rPr>
          <w:rFonts w:hint="eastAsia" w:ascii="仿宋_GB2312" w:hAnsi="仿宋_GB2312" w:eastAsia="仿宋_GB2312" w:cs="仿宋_GB2312"/>
          <w:lang w:eastAsia="zh-CN"/>
        </w:rPr>
        <w:t>”</w:t>
      </w:r>
      <w:r>
        <w:rPr>
          <w:rFonts w:hint="eastAsia" w:ascii="仿宋_GB2312" w:hAnsi="仿宋_GB2312" w:eastAsia="仿宋_GB2312" w:cs="仿宋_GB2312"/>
        </w:rPr>
        <w:t>等融合IP，借助数智技术建设智慧文旅平台，完善“快进慢游”交通与乡镇商贸中心服务配套，联动农产品上行与工业品下乡双向流通体系，发展银发经济、研学经济等新增长点</w:t>
      </w:r>
      <w:r>
        <w:rPr>
          <w:rFonts w:hint="eastAsia" w:ascii="仿宋_GB2312" w:hAnsi="仿宋_GB2312" w:eastAsia="仿宋_GB2312" w:cs="仿宋_GB2312"/>
          <w:lang w:eastAsia="zh-CN"/>
        </w:rPr>
        <w:t>。</w:t>
      </w:r>
    </w:p>
    <w:p w14:paraId="468EC4D4">
      <w:pPr>
        <w:bidi w:val="0"/>
        <w:ind w:left="0" w:leftChars="0" w:firstLine="0" w:firstLineChars="0"/>
        <w:rPr>
          <w:rFonts w:hint="default"/>
          <w:lang w:val="en-US" w:eastAsia="zh-CN"/>
        </w:rPr>
      </w:pPr>
      <w:r>
        <w:rPr>
          <w:rFonts w:hint="eastAsia"/>
          <w:lang w:val="en-US" w:eastAsia="zh-CN"/>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b/>
          <w:bCs/>
          <w:sz w:val="32"/>
          <w:szCs w:val="32"/>
          <w:lang w:val="en-US" w:eastAsia="zh-CN"/>
        </w:rPr>
        <w:t>优化提升消费环境。</w:t>
      </w:r>
      <w:r>
        <w:rPr>
          <w:rFonts w:hint="eastAsia" w:ascii="仿宋_GB2312" w:hAnsi="仿宋_GB2312" w:eastAsia="仿宋_GB2312" w:cs="仿宋_GB2312"/>
          <w:color w:val="000000"/>
          <w:sz w:val="32"/>
          <w:szCs w:val="32"/>
          <w:u w:val="none"/>
          <w:lang w:val="en-US" w:eastAsia="zh-CN"/>
        </w:rPr>
        <w:t>落实带薪错峰休假，鼓励企事业单位灵活安排休假，促进假日消费与文旅、商贸、体育等活动深度融合，引导形成“错峰消费+特色体验”的消费新潮流。强化消费者权益保护，建立健全投诉快速响应与多元化解机制，加强重点领域市场监管，推行诚信经营评价体系，营造安全放心、透明规范的消费市场环境。</w:t>
      </w:r>
    </w:p>
    <w:p w14:paraId="13D7380B">
      <w:pPr>
        <w:pStyle w:val="3"/>
        <w:bidi w:val="0"/>
        <w:rPr>
          <w:rFonts w:hint="default"/>
          <w:lang w:val="en-US" w:eastAsia="zh-CN"/>
        </w:rPr>
      </w:pPr>
      <w:bookmarkStart w:id="43" w:name="_Toc23755"/>
      <w:r>
        <w:rPr>
          <w:rFonts w:hint="eastAsia"/>
          <w:lang w:val="en-US" w:eastAsia="zh-CN"/>
        </w:rPr>
        <w:t>第二节  精准发力提升全市投资规模和效益</w:t>
      </w:r>
      <w:bookmarkEnd w:id="43"/>
    </w:p>
    <w:p w14:paraId="3DEFD573">
      <w:pPr>
        <w:bidi w:val="0"/>
        <w:rPr>
          <w:rFonts w:hint="eastAsia" w:ascii="仿宋_GB2312" w:hAnsi="仿宋_GB2312" w:eastAsia="仿宋_GB2312" w:cs="仿宋_GB2312"/>
          <w:lang w:val="en-US" w:eastAsia="zh-CN"/>
        </w:rPr>
      </w:pPr>
      <w:r>
        <w:rPr>
          <w:rFonts w:hint="eastAsia" w:ascii="仿宋_GB2312" w:hAnsi="仿宋_GB2312" w:eastAsia="仿宋_GB2312" w:cs="仿宋_GB2312"/>
          <w:b/>
          <w:bCs/>
          <w:lang w:val="en-US" w:eastAsia="zh-CN"/>
        </w:rPr>
        <w:t>优化政府投资结构与方向。</w:t>
      </w:r>
      <w:r>
        <w:rPr>
          <w:rFonts w:hint="eastAsia" w:ascii="仿宋_GB2312" w:hAnsi="仿宋_GB2312" w:eastAsia="仿宋_GB2312" w:cs="仿宋_GB2312"/>
          <w:lang w:val="en-US" w:eastAsia="zh-CN"/>
        </w:rPr>
        <w:t>以保障国家粮食安全、建强“三基地一屏障一高地”及发展新质生产力为总指引，优化政府投资结构，提高民生类政府投资比重，将新增政府投资重点向与“大农业”“大园区”配套的农田水利、乡村道路、安居工程、</w:t>
      </w:r>
      <w:r>
        <w:rPr>
          <w:rFonts w:hint="eastAsia" w:ascii="仿宋_GB2312" w:hAnsi="仿宋_GB2312" w:cs="仿宋_GB2312"/>
          <w:lang w:val="en-US" w:eastAsia="zh-CN"/>
        </w:rPr>
        <w:t>城乡基本公共服务均等化</w:t>
      </w:r>
      <w:r>
        <w:rPr>
          <w:rFonts w:hint="eastAsia" w:ascii="仿宋_GB2312" w:hAnsi="仿宋_GB2312" w:eastAsia="仿宋_GB2312" w:cs="仿宋_GB2312"/>
          <w:lang w:val="en-US" w:eastAsia="zh-CN"/>
        </w:rPr>
        <w:t>等民生短板领域倾斜。围绕国省政策导向、资金投向，建立动态对接国省重大战略与资金投向的常态化项目谋划机制，精准谋划推进“两重”“两新”项目，将政策导向转化为支撑富锦“站稳第一方阵”的具体项目抓手和高质量发展实效。</w:t>
      </w:r>
    </w:p>
    <w:p w14:paraId="538C7E87">
      <w:pPr>
        <w:bidi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lang w:val="en-US" w:eastAsia="zh-CN"/>
        </w:rPr>
        <w:t>提升投资与人口需求、公共服务的适配性。</w:t>
      </w:r>
      <w:r>
        <w:rPr>
          <w:rFonts w:hint="eastAsia" w:ascii="仿宋_GB2312" w:hAnsi="仿宋_GB2312" w:eastAsia="仿宋_GB2312" w:cs="仿宋_GB2312"/>
          <w:sz w:val="32"/>
          <w:szCs w:val="32"/>
          <w:lang w:val="en-US" w:eastAsia="zh-CN"/>
        </w:rPr>
        <w:t>适应人口结构变化和流动趋势，完善基础设施和公共服务设施布局，</w:t>
      </w:r>
      <w:r>
        <w:rPr>
          <w:rFonts w:hint="eastAsia" w:ascii="仿宋_GB2312" w:hAnsi="仿宋_GB2312" w:eastAsia="仿宋_GB2312" w:cs="仿宋_GB2312"/>
          <w:i w:val="0"/>
          <w:iCs w:val="0"/>
          <w:caps w:val="0"/>
          <w:color w:val="0F1115"/>
          <w:spacing w:val="0"/>
          <w:sz w:val="32"/>
          <w:szCs w:val="32"/>
          <w:shd w:val="clear" w:fill="FFFFFF"/>
        </w:rPr>
        <w:t>构建与人口分布相匹配的韧性服务网络</w:t>
      </w:r>
      <w:r>
        <w:rPr>
          <w:rFonts w:hint="eastAsia" w:ascii="仿宋_GB2312" w:hAnsi="仿宋_GB2312" w:eastAsia="仿宋_GB2312" w:cs="仿宋_GB2312"/>
          <w:i w:val="0"/>
          <w:iCs w:val="0"/>
          <w:caps w:val="0"/>
          <w:color w:val="0F1115"/>
          <w:spacing w:val="0"/>
          <w:sz w:val="32"/>
          <w:szCs w:val="32"/>
          <w:shd w:val="clear" w:fill="FFFFFF"/>
          <w:lang w:eastAsia="zh-CN"/>
        </w:rPr>
        <w:t>，</w:t>
      </w:r>
      <w:r>
        <w:rPr>
          <w:rFonts w:hint="eastAsia" w:ascii="仿宋_GB2312" w:hAnsi="仿宋_GB2312" w:eastAsia="仿宋_GB2312" w:cs="仿宋_GB2312"/>
          <w:i w:val="0"/>
          <w:iCs w:val="0"/>
          <w:caps w:val="0"/>
          <w:color w:val="0F1115"/>
          <w:spacing w:val="0"/>
          <w:sz w:val="32"/>
          <w:szCs w:val="32"/>
          <w:shd w:val="clear" w:fill="FFFFFF"/>
        </w:rPr>
        <w:t>增强城乡服务供给的均衡性与可及性</w:t>
      </w:r>
      <w:r>
        <w:rPr>
          <w:rFonts w:hint="eastAsia" w:ascii="仿宋_GB2312" w:hAnsi="仿宋_GB2312" w:eastAsia="仿宋_GB2312" w:cs="仿宋_GB2312"/>
          <w:sz w:val="32"/>
          <w:szCs w:val="32"/>
          <w:lang w:val="en-US" w:eastAsia="zh-CN"/>
        </w:rPr>
        <w:t>。加强人力资源开发和人的全面发展投资，</w:t>
      </w:r>
      <w:r>
        <w:rPr>
          <w:rFonts w:hint="eastAsia" w:ascii="仿宋_GB2312" w:hAnsi="仿宋_GB2312" w:eastAsia="仿宋_GB2312" w:cs="仿宋_GB2312"/>
          <w:i w:val="0"/>
          <w:iCs w:val="0"/>
          <w:caps w:val="0"/>
          <w:color w:val="0F1115"/>
          <w:spacing w:val="0"/>
          <w:sz w:val="32"/>
          <w:szCs w:val="32"/>
          <w:shd w:val="clear" w:fill="FFFFFF"/>
        </w:rPr>
        <w:t>完善技能培训与终身学习体系，</w:t>
      </w:r>
      <w:r>
        <w:rPr>
          <w:rFonts w:hint="eastAsia" w:ascii="仿宋_GB2312" w:hAnsi="仿宋_GB2312" w:eastAsia="仿宋_GB2312" w:cs="仿宋_GB2312"/>
          <w:sz w:val="32"/>
          <w:szCs w:val="32"/>
          <w:lang w:val="en-US" w:eastAsia="zh-CN"/>
        </w:rPr>
        <w:t>将投资从“物的建设”向“人的培育”延伸，夯实发展内生动力。</w:t>
      </w:r>
    </w:p>
    <w:p w14:paraId="6190B455">
      <w:pPr>
        <w:bidi w:val="0"/>
        <w:ind w:left="0" w:leftChars="0" w:firstLine="640" w:firstLineChars="0"/>
        <w:rPr>
          <w:rFonts w:hint="default" w:ascii="Times New Roman" w:hAnsi="Times New Roman" w:eastAsia="仿宋_GB2312" w:cs="Times New Roman"/>
          <w:color w:val="000000"/>
          <w:sz w:val="32"/>
          <w:szCs w:val="32"/>
          <w:u w:val="none"/>
          <w:lang w:val="en-US" w:eastAsia="zh-CN"/>
        </w:rPr>
      </w:pPr>
      <w:r>
        <w:rPr>
          <w:rFonts w:hint="eastAsia"/>
          <w:b/>
          <w:bCs/>
          <w:sz w:val="32"/>
          <w:szCs w:val="32"/>
          <w:lang w:val="en-US" w:eastAsia="zh-CN"/>
        </w:rPr>
        <w:t>深化政府投资管理机制与审批改革。</w:t>
      </w:r>
      <w:r>
        <w:rPr>
          <w:rFonts w:hint="default" w:ascii="Times New Roman" w:hAnsi="Times New Roman" w:eastAsia="仿宋_GB2312" w:cs="Times New Roman"/>
          <w:color w:val="000000"/>
          <w:sz w:val="32"/>
          <w:szCs w:val="32"/>
          <w:u w:val="none"/>
          <w:lang w:val="en-US" w:eastAsia="zh-CN"/>
        </w:rPr>
        <w:t>统筹用好各类政府投资，探索编制全口径政府投资计划，加强政府投资全过程管理。深化投资审批制度改革，明确投资方向和重点。谋划实施一批具有全局性、基础性、引领性的重大项目，提高项目前期工作质量和全周期管理水平。</w:t>
      </w:r>
    </w:p>
    <w:p w14:paraId="02604942">
      <w:pPr>
        <w:bidi w:val="0"/>
        <w:rPr>
          <w:rFonts w:hint="eastAsia" w:ascii="仿宋_GB2312" w:hAnsi="仿宋_GB2312" w:eastAsia="仿宋_GB2312" w:cs="仿宋_GB2312"/>
          <w:lang w:val="en-US" w:eastAsia="zh-CN"/>
        </w:rPr>
      </w:pPr>
      <w:r>
        <w:rPr>
          <w:rFonts w:hint="eastAsia" w:ascii="仿宋_GB2312" w:hAnsi="仿宋_GB2312" w:eastAsia="仿宋_GB2312" w:cs="仿宋_GB2312"/>
          <w:b/>
          <w:bCs/>
          <w:lang w:val="en-US" w:eastAsia="zh-CN"/>
        </w:rPr>
        <w:t>全面推动多元投资主体与精准招商新突破。</w:t>
      </w:r>
      <w:r>
        <w:rPr>
          <w:rFonts w:hint="eastAsia" w:ascii="仿宋_GB2312" w:hAnsi="仿宋_GB2312" w:eastAsia="仿宋_GB2312" w:cs="仿宋_GB2312"/>
          <w:lang w:val="en-US" w:eastAsia="zh-CN"/>
        </w:rPr>
        <w:t>完善民营企业参与重大项目长效机制，</w:t>
      </w:r>
      <w:r>
        <w:rPr>
          <w:rFonts w:hint="eastAsia" w:ascii="仿宋_GB2312" w:hAnsi="仿宋_GB2312" w:eastAsia="仿宋_GB2312" w:cs="仿宋_GB2312"/>
        </w:rPr>
        <w:t>破除准入壁垒，健全竞争性引入、权益保障与绩效评估制度</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促进国有企业扩大有效投资，</w:t>
      </w:r>
      <w:r>
        <w:rPr>
          <w:rFonts w:hint="eastAsia" w:ascii="仿宋_GB2312" w:hAnsi="仿宋_GB2312" w:eastAsia="仿宋_GB2312" w:cs="仿宋_GB2312"/>
        </w:rPr>
        <w:t>优化资本布局，增强对关键基础设施与产业升级的引领支撑</w:t>
      </w:r>
      <w:r>
        <w:rPr>
          <w:rFonts w:hint="eastAsia" w:ascii="仿宋_GB2312" w:hAnsi="仿宋_GB2312" w:eastAsia="仿宋_GB2312" w:cs="仿宋_GB2312"/>
          <w:lang w:val="en-US" w:eastAsia="zh-CN"/>
        </w:rPr>
        <w:t>。落实“投资佳木斯”行动，突出“招大引强”“招新引优”“招才引智”，</w:t>
      </w:r>
      <w:r>
        <w:rPr>
          <w:rFonts w:hint="eastAsia" w:ascii="仿宋_GB2312" w:hAnsi="仿宋_GB2312" w:eastAsia="仿宋_GB2312" w:cs="仿宋_GB2312"/>
        </w:rPr>
        <w:t>健全项目全周期服务与要素保障体系</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推动招商引资项目数量和质量“双提升”</w:t>
      </w:r>
      <w:r>
        <w:rPr>
          <w:rFonts w:hint="eastAsia" w:ascii="仿宋_GB2312" w:hAnsi="仿宋_GB2312" w:eastAsia="仿宋_GB2312" w:cs="仿宋_GB2312"/>
        </w:rPr>
        <w:t>构建政府引导、市场主导、多元协同的可持续投资发展新格局</w:t>
      </w:r>
      <w:r>
        <w:rPr>
          <w:rFonts w:hint="eastAsia" w:ascii="仿宋_GB2312" w:hAnsi="仿宋_GB2312" w:eastAsia="仿宋_GB2312" w:cs="仿宋_GB2312"/>
          <w:lang w:val="en-US" w:eastAsia="zh-CN"/>
        </w:rPr>
        <w:t>。</w:t>
      </w:r>
    </w:p>
    <w:p w14:paraId="2E5C6F35">
      <w:pPr>
        <w:pStyle w:val="3"/>
        <w:bidi w:val="0"/>
        <w:rPr>
          <w:rFonts w:hint="default"/>
          <w:lang w:val="en-US" w:eastAsia="zh-CN"/>
        </w:rPr>
      </w:pPr>
      <w:bookmarkStart w:id="44" w:name="_Toc27198"/>
      <w:r>
        <w:rPr>
          <w:rFonts w:hint="eastAsia"/>
          <w:lang w:val="en-US" w:eastAsia="zh-CN"/>
        </w:rPr>
        <w:t>第三节  疏堵点破卡点深度融入全国统一大市场</w:t>
      </w:r>
      <w:bookmarkEnd w:id="44"/>
    </w:p>
    <w:p w14:paraId="59D04E6D">
      <w:pPr>
        <w:bidi w:val="0"/>
        <w:rPr>
          <w:rFonts w:hint="default" w:ascii="仿宋_GB2312" w:hAnsi="仿宋_GB2312" w:eastAsia="仿宋_GB2312" w:cs="仿宋_GB2312"/>
          <w:lang w:val="en-US" w:eastAsia="zh-CN"/>
        </w:rPr>
      </w:pPr>
      <w:r>
        <w:rPr>
          <w:rFonts w:hint="eastAsia" w:ascii="仿宋_GB2312" w:hAnsi="仿宋_GB2312" w:cs="仿宋_GB2312"/>
          <w:b/>
          <w:bCs/>
          <w:lang w:val="en-US" w:eastAsia="zh-CN"/>
        </w:rPr>
        <w:t>全面夯实统一市场的制度基础。</w:t>
      </w:r>
      <w:r>
        <w:rPr>
          <w:rFonts w:hint="eastAsia" w:ascii="仿宋_GB2312" w:hAnsi="仿宋_GB2312" w:eastAsia="仿宋_GB2312" w:cs="仿宋_GB2312"/>
          <w:lang w:val="en-US" w:eastAsia="zh-CN"/>
        </w:rPr>
        <w:t>落实统一市场基础制度规则，</w:t>
      </w:r>
      <w:r>
        <w:rPr>
          <w:rFonts w:hint="eastAsia" w:ascii="仿宋_GB2312" w:hAnsi="仿宋_GB2312" w:cs="仿宋_GB2312"/>
          <w:lang w:val="en-US" w:eastAsia="zh-CN"/>
        </w:rPr>
        <w:t>严格执行全国统一的市场准入负面清单，</w:t>
      </w:r>
      <w:r>
        <w:rPr>
          <w:rFonts w:hint="eastAsia" w:ascii="仿宋_GB2312" w:hAnsi="仿宋_GB2312" w:eastAsia="仿宋_GB2312" w:cs="仿宋_GB2312"/>
          <w:lang w:val="en-US" w:eastAsia="zh-CN"/>
        </w:rPr>
        <w:t>完善产权保护、市场准入、信息披露、社会信用、兼并重组、市场退出等制度，</w:t>
      </w:r>
      <w:r>
        <w:rPr>
          <w:rFonts w:hint="eastAsia" w:ascii="仿宋_GB2312" w:hAnsi="仿宋_GB2312" w:cs="仿宋_GB2312"/>
          <w:lang w:val="en-US" w:eastAsia="zh-CN"/>
        </w:rPr>
        <w:t>建立全市企业产权快速协同保护机制，健全覆盖各类市场主体的信用承诺与分级分类监管体系。</w:t>
      </w:r>
      <w:r>
        <w:rPr>
          <w:rFonts w:hint="eastAsia" w:ascii="仿宋_GB2312" w:hAnsi="仿宋_GB2312" w:eastAsia="仿宋_GB2312" w:cs="仿宋_GB2312"/>
          <w:lang w:val="en-US" w:eastAsia="zh-CN"/>
        </w:rPr>
        <w:t>消除要素获取、资质认定、招标投标、政府采购等方面壁垒，</w:t>
      </w:r>
      <w:r>
        <w:rPr>
          <w:rFonts w:hint="eastAsia" w:ascii="仿宋_GB2312" w:hAnsi="仿宋_GB2312" w:cs="仿宋_GB2312"/>
          <w:lang w:val="en-US" w:eastAsia="zh-CN"/>
        </w:rPr>
        <w:t>通过制定并公开标准化操作流程与公平竞争审查细则，从根本上破除隐形门槛。</w:t>
      </w:r>
      <w:r>
        <w:rPr>
          <w:rFonts w:hint="eastAsia" w:ascii="仿宋_GB2312" w:hAnsi="仿宋_GB2312" w:eastAsia="仿宋_GB2312" w:cs="仿宋_GB2312"/>
          <w:lang w:val="en-US" w:eastAsia="zh-CN"/>
        </w:rPr>
        <w:t>规范经济促进行为，破除地方保护和市场分割</w:t>
      </w:r>
      <w:r>
        <w:rPr>
          <w:rFonts w:hint="eastAsia" w:ascii="仿宋_GB2312" w:hAnsi="仿宋_GB2312" w:cs="仿宋_GB2312"/>
          <w:lang w:val="en-US" w:eastAsia="zh-CN"/>
        </w:rPr>
        <w:t>，禁止在招商引资、产业政策中实行歧视性待遇，保障所有市场主体权利平等、机会平等、规则平等。</w:t>
      </w:r>
    </w:p>
    <w:p w14:paraId="2CEF8BEA">
      <w:pPr>
        <w:bidi w:val="0"/>
        <w:rPr>
          <w:rFonts w:hint="eastAsia" w:ascii="仿宋_GB2312" w:hAnsi="仿宋_GB2312" w:eastAsia="仿宋_GB2312" w:cs="仿宋_GB2312"/>
          <w:lang w:val="en-US" w:eastAsia="zh-CN"/>
        </w:rPr>
      </w:pPr>
      <w:r>
        <w:rPr>
          <w:rFonts w:hint="eastAsia" w:ascii="仿宋_GB2312" w:hAnsi="仿宋_GB2312" w:cs="仿宋_GB2312"/>
          <w:b/>
          <w:bCs/>
          <w:lang w:val="en-US" w:eastAsia="zh-CN"/>
        </w:rPr>
        <w:t>构建公平统一的现代市场监管体系。</w:t>
      </w:r>
      <w:r>
        <w:rPr>
          <w:rFonts w:hint="eastAsia" w:ascii="仿宋_GB2312" w:hAnsi="仿宋_GB2312" w:eastAsia="仿宋_GB2312" w:cs="仿宋_GB2312"/>
          <w:lang w:val="en-US" w:eastAsia="zh-CN"/>
        </w:rPr>
        <w:t>综合整治“内卷式”竞争，统一市场监管执法，加强质量监管，执行行政裁量权基准制度，</w:t>
      </w:r>
      <w:r>
        <w:rPr>
          <w:rFonts w:hint="eastAsia" w:ascii="仿宋_GB2312" w:hAnsi="仿宋_GB2312" w:cs="仿宋_GB2312"/>
          <w:lang w:val="en-US" w:eastAsia="zh-CN"/>
        </w:rPr>
        <w:t>推动全市跨部门综合监管，在重点领域统一执法标准与程序，全面应用动态调整的行政处罚裁量基准。</w:t>
      </w:r>
      <w:r>
        <w:rPr>
          <w:rFonts w:hint="eastAsia" w:ascii="仿宋_GB2312" w:hAnsi="仿宋_GB2312" w:eastAsia="仿宋_GB2312" w:cs="仿宋_GB2312"/>
          <w:lang w:val="en-US" w:eastAsia="zh-CN"/>
        </w:rPr>
        <w:t>清理废除妨碍全国统一大市场和公平竞争的规定和做法，</w:t>
      </w:r>
      <w:r>
        <w:rPr>
          <w:rFonts w:hint="eastAsia" w:ascii="仿宋_GB2312" w:hAnsi="仿宋_GB2312" w:cs="仿宋_GB2312"/>
          <w:lang w:val="en-US" w:eastAsia="zh-CN"/>
        </w:rPr>
        <w:t>建立常态化清理与评估机制，定期对存量政策进行审查与清理。</w:t>
      </w:r>
      <w:r>
        <w:rPr>
          <w:rFonts w:hint="eastAsia" w:ascii="仿宋_GB2312" w:hAnsi="仿宋_GB2312" w:eastAsia="仿宋_GB2312" w:cs="仿宋_GB2312"/>
          <w:lang w:val="en-US" w:eastAsia="zh-CN"/>
        </w:rPr>
        <w:t>强化反垄断和反不正当竞争执法司法，坚决整治权力滥用、执法不公等行为，</w:t>
      </w:r>
      <w:r>
        <w:rPr>
          <w:rFonts w:hint="eastAsia" w:ascii="仿宋_GB2312" w:hAnsi="仿宋_GB2312" w:cs="仿宋_GB2312"/>
          <w:lang w:val="en-US" w:eastAsia="zh-CN"/>
        </w:rPr>
        <w:t>畅通举报渠道，加强执法公示与典型案例曝光，</w:t>
      </w:r>
      <w:r>
        <w:rPr>
          <w:rFonts w:hint="eastAsia" w:ascii="仿宋_GB2312" w:hAnsi="仿宋_GB2312" w:eastAsia="仿宋_GB2312" w:cs="仿宋_GB2312"/>
          <w:lang w:val="en-US" w:eastAsia="zh-CN"/>
        </w:rPr>
        <w:t>形成优质优价、良性竞争的市场秩序。</w:t>
      </w:r>
    </w:p>
    <w:p w14:paraId="077B7BBF">
      <w:pPr>
        <w:bidi w:val="0"/>
        <w:rPr>
          <w:rFonts w:hint="default" w:ascii="Times New Roman" w:hAnsi="Times New Roman" w:eastAsia="仿宋_GB2312" w:cs="Times New Roman"/>
          <w:color w:val="000000"/>
          <w:szCs w:val="34"/>
          <w:u w:val="none"/>
          <w:lang w:val="en-US" w:eastAsia="zh-CN"/>
        </w:rPr>
      </w:pPr>
      <w:r>
        <w:rPr>
          <w:rFonts w:hint="eastAsia" w:ascii="仿宋_GB2312" w:hAnsi="仿宋_GB2312" w:cs="仿宋_GB2312"/>
          <w:b/>
          <w:bCs/>
          <w:lang w:val="en-US" w:eastAsia="zh-CN"/>
        </w:rPr>
        <w:t>健全促进统一大市场建设的配套支撑机制。</w:t>
      </w:r>
      <w:r>
        <w:rPr>
          <w:rFonts w:hint="eastAsia" w:ascii="仿宋_GB2312" w:hAnsi="仿宋_GB2312" w:eastAsia="仿宋_GB2312" w:cs="仿宋_GB2312"/>
          <w:lang w:val="en-US" w:eastAsia="zh-CN"/>
        </w:rPr>
        <w:t>完善有利于统一大市场建设的统计、财税、考核制度，</w:t>
      </w:r>
      <w:r>
        <w:rPr>
          <w:rFonts w:hint="eastAsia" w:ascii="仿宋_GB2312" w:hAnsi="仿宋_GB2312" w:cs="仿宋_GB2312"/>
          <w:lang w:val="en-US" w:eastAsia="zh-CN"/>
        </w:rPr>
        <w:t>探索建立反映全市市场一体化程度和要素流动效率的本地化统计监测体系，研究制定适应统一市场要求的财政激励与考核办法。</w:t>
      </w:r>
      <w:r>
        <w:rPr>
          <w:rFonts w:hint="eastAsia" w:ascii="仿宋_GB2312" w:hAnsi="仿宋_GB2312" w:eastAsia="仿宋_GB2312" w:cs="仿宋_GB2312"/>
          <w:lang w:val="en-US" w:eastAsia="zh-CN"/>
        </w:rPr>
        <w:t>优化企业总部和分支机构、生产地和消费地利益分享</w:t>
      </w:r>
      <w:r>
        <w:rPr>
          <w:rFonts w:hint="eastAsia" w:ascii="仿宋_GB2312" w:hAnsi="仿宋_GB2312" w:cs="仿宋_GB2312"/>
          <w:lang w:val="en-US" w:eastAsia="zh-CN"/>
        </w:rPr>
        <w:t>，研究制定跨乡镇、跨园区的招商引资项目财税利益共享办法，从机制上防范和化解区域内无需竞争</w:t>
      </w:r>
      <w:r>
        <w:rPr>
          <w:rFonts w:hint="eastAsia" w:ascii="仿宋_GB2312" w:hAnsi="仿宋_GB2312" w:eastAsia="仿宋_GB2312" w:cs="仿宋_GB2312"/>
          <w:lang w:val="en-US" w:eastAsia="zh-CN"/>
        </w:rPr>
        <w:t>。</w:t>
      </w:r>
    </w:p>
    <w:p w14:paraId="2F281CF3">
      <w:pPr>
        <w:pStyle w:val="3"/>
        <w:bidi w:val="0"/>
        <w:rPr>
          <w:rFonts w:hint="default"/>
          <w:lang w:val="en-US" w:eastAsia="zh-CN"/>
        </w:rPr>
      </w:pPr>
      <w:bookmarkStart w:id="45" w:name="_Toc5314"/>
      <w:r>
        <w:rPr>
          <w:rFonts w:hint="eastAsia"/>
          <w:lang w:val="en-US" w:eastAsia="zh-CN"/>
        </w:rPr>
        <w:t xml:space="preserve">第四节  </w:t>
      </w:r>
      <w:r>
        <w:rPr>
          <w:rFonts w:hint="default"/>
          <w:lang w:val="en-US" w:eastAsia="zh-CN"/>
        </w:rPr>
        <w:t>增强陆港型国家物流枢纽辅助功能区功能</w:t>
      </w:r>
      <w:bookmarkEnd w:id="45"/>
    </w:p>
    <w:p w14:paraId="1432D163">
      <w:pPr>
        <w:bidi w:val="0"/>
        <w:rPr>
          <w:rFonts w:hint="eastAsia"/>
          <w:lang w:eastAsia="zh-CN"/>
        </w:rPr>
      </w:pPr>
      <w:r>
        <w:rPr>
          <w:rFonts w:hint="default"/>
          <w:lang w:val="en-US" w:eastAsia="zh-CN"/>
        </w:rPr>
        <w:t>把物流枢纽建设作为降低全社会物流成本、发展现代物流产业的关键抓手，完善枢纽设施、推动项目建设、提升服务功能，构建保障国家粮食安全的战略支点。</w:t>
      </w:r>
    </w:p>
    <w:p w14:paraId="7EE5062F">
      <w:pPr>
        <w:bidi w:val="0"/>
        <w:rPr>
          <w:rFonts w:hint="eastAsia" w:ascii="仿宋_GB2312" w:hAnsi="仿宋_GB2312" w:eastAsia="仿宋_GB2312" w:cs="仿宋_GB2312"/>
          <w:lang w:eastAsia="zh-CN"/>
        </w:rPr>
      </w:pPr>
      <w:r>
        <w:rPr>
          <w:rFonts w:hint="eastAsia" w:ascii="仿宋_GB2312" w:hAnsi="仿宋_GB2312" w:eastAsia="仿宋_GB2312" w:cs="仿宋_GB2312"/>
          <w:b/>
          <w:bCs/>
          <w:lang w:val="en-US" w:eastAsia="zh-CN"/>
        </w:rPr>
        <w:t>构建物流基础设施与组织网络。</w:t>
      </w:r>
      <w:r>
        <w:rPr>
          <w:rFonts w:hint="eastAsia" w:ascii="仿宋_GB2312" w:hAnsi="仿宋_GB2312" w:eastAsia="仿宋_GB2312" w:cs="仿宋_GB2312"/>
          <w:lang w:val="en-US" w:eastAsia="zh-CN"/>
        </w:rPr>
        <w:t>围绕打造区域性物流枢纽目标，</w:t>
      </w:r>
      <w:r>
        <w:rPr>
          <w:rFonts w:hint="eastAsia" w:ascii="仿宋_GB2312" w:hAnsi="仿宋_GB2312" w:eastAsia="仿宋_GB2312" w:cs="仿宋_GB2312"/>
        </w:rPr>
        <w:t>推进富锦市国际现代物流园区建设</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培育综合服务型物流园区，</w:t>
      </w:r>
      <w:r>
        <w:rPr>
          <w:rFonts w:hint="eastAsia" w:ascii="仿宋_GB2312" w:hAnsi="仿宋_GB2312" w:eastAsia="仿宋_GB2312" w:cs="仿宋_GB2312"/>
        </w:rPr>
        <w:t>强化其在农产品集散、冷链仓储、流通加工、智慧调度及供应链金融等方面的集成功能</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完备城乡商贸流通网络，</w:t>
      </w:r>
      <w:r>
        <w:rPr>
          <w:rFonts w:hint="eastAsia" w:ascii="仿宋_GB2312" w:hAnsi="仿宋_GB2312" w:eastAsia="仿宋_GB2312" w:cs="仿宋_GB2312"/>
        </w:rPr>
        <w:t>构建以园区为中枢、乡镇配送中心为支点、村级服务</w:t>
      </w:r>
      <w:r>
        <w:rPr>
          <w:rFonts w:hint="eastAsia" w:ascii="仿宋_GB2312" w:hAnsi="仿宋_GB2312" w:eastAsia="仿宋_GB2312" w:cs="仿宋_GB2312"/>
          <w:sz w:val="32"/>
          <w:szCs w:val="32"/>
        </w:rPr>
        <w:t>站点为末端的县</w:t>
      </w:r>
      <w:r>
        <w:rPr>
          <w:rFonts w:hint="eastAsia" w:ascii="仿宋_GB2312" w:hAnsi="仿宋_GB2312" w:eastAsia="仿宋_GB2312" w:cs="仿宋_GB2312"/>
          <w:sz w:val="32"/>
          <w:szCs w:val="32"/>
          <w:lang w:val="en-US" w:eastAsia="zh-CN"/>
        </w:rPr>
        <w:t>乡</w:t>
      </w:r>
      <w:r>
        <w:rPr>
          <w:rFonts w:hint="eastAsia" w:ascii="仿宋_GB2312" w:hAnsi="仿宋_GB2312" w:eastAsia="仿宋_GB2312" w:cs="仿宋_GB2312"/>
          <w:sz w:val="32"/>
          <w:szCs w:val="32"/>
        </w:rPr>
        <w:t>村三级物流配送体系</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提高流通组织效率，</w:t>
      </w:r>
      <w:r>
        <w:rPr>
          <w:rFonts w:hint="eastAsia" w:ascii="仿宋_GB2312" w:hAnsi="仿宋_GB2312" w:eastAsia="仿宋_GB2312" w:cs="仿宋_GB2312"/>
          <w:sz w:val="32"/>
          <w:szCs w:val="32"/>
        </w:rPr>
        <w:t>通过推广统仓共配、标准循环共用、数据互联互通等模式，推动物流、商流、信息流深度融合，系统性降低流通成本</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i w:val="0"/>
          <w:iCs w:val="0"/>
          <w:caps w:val="0"/>
          <w:color w:val="0F1115"/>
          <w:spacing w:val="0"/>
          <w:sz w:val="32"/>
          <w:szCs w:val="32"/>
          <w:shd w:val="clear" w:fill="FFFFFF"/>
        </w:rPr>
        <w:t>全面提升城乡商品流转效率与产业协同水平</w:t>
      </w:r>
      <w:r>
        <w:rPr>
          <w:rFonts w:hint="eastAsia" w:ascii="仿宋_GB2312" w:hAnsi="仿宋_GB2312" w:eastAsia="仿宋_GB2312" w:cs="仿宋_GB2312"/>
          <w:sz w:val="32"/>
          <w:szCs w:val="32"/>
          <w:lang w:eastAsia="zh-CN"/>
        </w:rPr>
        <w:t>。</w:t>
      </w:r>
    </w:p>
    <w:p w14:paraId="0368AA1F">
      <w:pPr>
        <w:bidi w:val="0"/>
        <w:rPr>
          <w:rFonts w:hint="default"/>
          <w:lang w:val="en-US" w:eastAsia="zh-CN"/>
        </w:rPr>
      </w:pPr>
      <w:r>
        <w:rPr>
          <w:rFonts w:hint="eastAsia"/>
          <w:b/>
          <w:bCs/>
          <w:lang w:val="en-US" w:eastAsia="zh-CN"/>
        </w:rPr>
        <w:t>打造物流企业梯队和服务体系。</w:t>
      </w:r>
      <w:r>
        <w:rPr>
          <w:rFonts w:hint="default"/>
          <w:lang w:val="en-US" w:eastAsia="zh-CN"/>
        </w:rPr>
        <w:t>实施现代化物流龙头企业培育行动，</w:t>
      </w:r>
      <w:r>
        <w:t>支持本地企业通过资源整合、技术升级和模式创新增强综合服务能力，积极引入外部战略投资者，打造区域物流标杆企业</w:t>
      </w:r>
      <w:r>
        <w:rPr>
          <w:rFonts w:hint="eastAsia"/>
          <w:lang w:eastAsia="zh-CN"/>
        </w:rPr>
        <w:t>。</w:t>
      </w:r>
      <w:r>
        <w:rPr>
          <w:rFonts w:hint="default"/>
          <w:lang w:val="en-US" w:eastAsia="zh-CN"/>
        </w:rPr>
        <w:t>构建高标准现代化快递物流体系，</w:t>
      </w:r>
      <w:r>
        <w:t>推动城乡末端配送网络高效衔接与智能升级</w:t>
      </w:r>
      <w:r>
        <w:rPr>
          <w:rFonts w:hint="eastAsia"/>
          <w:lang w:eastAsia="zh-CN"/>
        </w:rPr>
        <w:t>。</w:t>
      </w:r>
      <w:r>
        <w:rPr>
          <w:rFonts w:hint="default"/>
          <w:lang w:val="en-US" w:eastAsia="zh-CN"/>
        </w:rPr>
        <w:t>鼓励中小物流企业在智慧物流、冷链物流、商品车物流等领域培育特色竞争优势。</w:t>
      </w:r>
    </w:p>
    <w:p w14:paraId="558D0C5E">
      <w:pPr>
        <w:bidi w:val="0"/>
        <w:ind w:left="0" w:leftChars="0" w:firstLine="640" w:firstLineChars="0"/>
        <w:rPr>
          <w:rFonts w:hint="eastAsia" w:ascii="仿宋_GB2312" w:hAnsi="仿宋_GB2312" w:eastAsia="仿宋_GB2312" w:cs="仿宋_GB2312"/>
          <w:color w:val="000000"/>
          <w:sz w:val="32"/>
          <w:szCs w:val="32"/>
          <w:u w:val="none"/>
          <w:lang w:val="en-US" w:eastAsia="zh-CN"/>
        </w:rPr>
      </w:pPr>
      <w:r>
        <w:rPr>
          <w:rFonts w:hint="eastAsia" w:ascii="仿宋_GB2312" w:hAnsi="仿宋_GB2312" w:eastAsia="仿宋_GB2312" w:cs="仿宋_GB2312"/>
          <w:b/>
          <w:bCs/>
          <w:sz w:val="32"/>
          <w:szCs w:val="32"/>
          <w:lang w:val="en-US" w:eastAsia="zh-CN"/>
        </w:rPr>
        <w:t>推动物流与相关产业深度联动。</w:t>
      </w:r>
      <w:r>
        <w:rPr>
          <w:rFonts w:hint="eastAsia" w:ascii="仿宋_GB2312" w:hAnsi="仿宋_GB2312" w:eastAsia="仿宋_GB2312" w:cs="仿宋_GB2312"/>
          <w:color w:val="000000"/>
          <w:sz w:val="32"/>
          <w:szCs w:val="32"/>
          <w:u w:val="none"/>
          <w:lang w:val="en-US" w:eastAsia="zh-CN"/>
        </w:rPr>
        <w:t>引导物流、制造、商贸等产业集中布局，</w:t>
      </w:r>
      <w:r>
        <w:rPr>
          <w:rFonts w:hint="eastAsia" w:ascii="仿宋_GB2312" w:hAnsi="仿宋_GB2312" w:eastAsia="仿宋_GB2312" w:cs="仿宋_GB2312"/>
          <w:i w:val="0"/>
          <w:iCs w:val="0"/>
          <w:caps w:val="0"/>
          <w:color w:val="0F1115"/>
          <w:spacing w:val="0"/>
          <w:sz w:val="32"/>
          <w:szCs w:val="32"/>
          <w:shd w:val="clear" w:fill="FFFFFF"/>
        </w:rPr>
        <w:t>推动形成功能互补、链条衔接的产业集群</w:t>
      </w:r>
      <w:r>
        <w:rPr>
          <w:rFonts w:hint="eastAsia" w:ascii="仿宋_GB2312" w:hAnsi="仿宋_GB2312" w:eastAsia="仿宋_GB2312" w:cs="仿宋_GB2312"/>
          <w:i w:val="0"/>
          <w:iCs w:val="0"/>
          <w:caps w:val="0"/>
          <w:color w:val="0F1115"/>
          <w:spacing w:val="0"/>
          <w:sz w:val="32"/>
          <w:szCs w:val="32"/>
          <w:shd w:val="clear" w:fill="FFFFFF"/>
          <w:lang w:eastAsia="zh-CN"/>
        </w:rPr>
        <w:t>。</w:t>
      </w:r>
      <w:r>
        <w:rPr>
          <w:rFonts w:hint="eastAsia" w:ascii="仿宋_GB2312" w:hAnsi="仿宋_GB2312" w:eastAsia="仿宋_GB2312" w:cs="仿宋_GB2312"/>
          <w:i w:val="0"/>
          <w:iCs w:val="0"/>
          <w:caps w:val="0"/>
          <w:color w:val="0F1115"/>
          <w:spacing w:val="0"/>
          <w:sz w:val="32"/>
          <w:szCs w:val="32"/>
          <w:shd w:val="clear" w:fill="FFFFFF"/>
          <w:lang w:val="en-US" w:eastAsia="zh-CN"/>
        </w:rPr>
        <w:t>通过建立产业链协同信息平台、发展供应链金融服务、推广</w:t>
      </w:r>
      <w:r>
        <w:rPr>
          <w:rFonts w:hint="eastAsia" w:ascii="仿宋_GB2312" w:hAnsi="仿宋_GB2312" w:cs="仿宋_GB2312"/>
          <w:i w:val="0"/>
          <w:iCs w:val="0"/>
          <w:caps w:val="0"/>
          <w:color w:val="0F1115"/>
          <w:spacing w:val="0"/>
          <w:sz w:val="32"/>
          <w:szCs w:val="32"/>
          <w:shd w:val="clear" w:fill="FFFFFF"/>
          <w:lang w:val="en-US" w:eastAsia="zh-CN"/>
        </w:rPr>
        <w:t>循环共用</w:t>
      </w:r>
      <w:r>
        <w:rPr>
          <w:rFonts w:hint="eastAsia" w:ascii="仿宋_GB2312" w:hAnsi="仿宋_GB2312" w:eastAsia="仿宋_GB2312" w:cs="仿宋_GB2312"/>
          <w:i w:val="0"/>
          <w:iCs w:val="0"/>
          <w:caps w:val="0"/>
          <w:color w:val="0F1115"/>
          <w:spacing w:val="0"/>
          <w:sz w:val="32"/>
          <w:szCs w:val="32"/>
          <w:shd w:val="clear" w:fill="FFFFFF"/>
          <w:lang w:val="en-US" w:eastAsia="zh-CN"/>
        </w:rPr>
        <w:t>仓储与共同配送模式，</w:t>
      </w:r>
      <w:r>
        <w:rPr>
          <w:rFonts w:hint="eastAsia" w:ascii="仿宋_GB2312" w:hAnsi="仿宋_GB2312" w:eastAsia="仿宋_GB2312" w:cs="仿宋_GB2312"/>
          <w:color w:val="000000"/>
          <w:sz w:val="32"/>
          <w:szCs w:val="32"/>
          <w:u w:val="none"/>
          <w:lang w:val="en-US" w:eastAsia="zh-CN"/>
        </w:rPr>
        <w:t>优化上下游各环节资源配置，健全创新高效的供应链体系，培育产业融合发展新生态。</w:t>
      </w:r>
    </w:p>
    <w:p w14:paraId="3EEFA723">
      <w:pPr>
        <w:ind w:left="0" w:leftChars="0" w:firstLine="0" w:firstLineChars="0"/>
        <w:rPr>
          <w:rFonts w:hint="eastAsia"/>
        </w:rPr>
      </w:pPr>
      <w:r>
        <w:rPr>
          <w:rFonts w:hint="eastAsia"/>
        </w:rPr>
        <w:br w:type="page"/>
      </w:r>
    </w:p>
    <w:p w14:paraId="1441E200">
      <w:pPr>
        <w:pStyle w:val="2"/>
        <w:bidi w:val="0"/>
        <w:ind w:left="0" w:leftChars="0" w:firstLine="0" w:firstLineChars="0"/>
        <w:jc w:val="center"/>
        <w:rPr>
          <w:rFonts w:hint="default" w:ascii="黑体" w:hAnsi="黑体" w:eastAsia="黑体" w:cs="黑体"/>
          <w:sz w:val="36"/>
          <w:szCs w:val="48"/>
          <w:lang w:val="en-US" w:eastAsia="zh-CN"/>
        </w:rPr>
      </w:pPr>
      <w:bookmarkStart w:id="46" w:name="_Toc28040"/>
      <w:r>
        <w:rPr>
          <w:rFonts w:hint="eastAsia" w:ascii="黑体" w:hAnsi="黑体" w:eastAsia="黑体" w:cs="黑体"/>
          <w:sz w:val="36"/>
          <w:szCs w:val="48"/>
          <w:lang w:val="en-US" w:eastAsia="zh-CN"/>
        </w:rPr>
        <w:t>第七章  推进关键领域改革攻坚，筑牢富锦高质量发展内生基础</w:t>
      </w:r>
      <w:bookmarkEnd w:id="46"/>
    </w:p>
    <w:p w14:paraId="452D01E3">
      <w:pPr>
        <w:bidi w:val="0"/>
        <w:rPr>
          <w:rFonts w:hint="eastAsia" w:ascii="仿宋_GB2312" w:hAnsi="仿宋_GB2312" w:eastAsia="仿宋_GB2312" w:cs="仿宋_GB2312"/>
        </w:rPr>
      </w:pPr>
      <w:r>
        <w:rPr>
          <w:rFonts w:hint="eastAsia" w:ascii="仿宋_GB2312" w:hAnsi="仿宋_GB2312" w:eastAsia="仿宋_GB2312" w:cs="仿宋_GB2312"/>
          <w:lang w:eastAsia="zh-CN"/>
        </w:rPr>
        <w:t>坚持和完善社会主义基本经济制度，更好发挥经济体制改革牵引作用，纵深推进优化营商环境“一号改革工程”，推动重点领域、关键环节改革取得新突破，切实解决体制性障碍、机制性梗阻，激发各类经营主体活力，构筑区域竞争新优势，确保高质量发展行稳致远。</w:t>
      </w:r>
    </w:p>
    <w:p w14:paraId="55973807">
      <w:pPr>
        <w:pStyle w:val="3"/>
        <w:bidi w:val="0"/>
        <w:rPr>
          <w:rFonts w:hint="default"/>
          <w:lang w:val="en-US" w:eastAsia="zh-CN"/>
        </w:rPr>
      </w:pPr>
      <w:bookmarkStart w:id="47" w:name="_Toc10098"/>
      <w:r>
        <w:rPr>
          <w:rFonts w:hint="eastAsia"/>
          <w:lang w:val="en-US" w:eastAsia="zh-CN"/>
        </w:rPr>
        <w:t>第一节  打造“极简服务”营商环境新标杆</w:t>
      </w:r>
      <w:bookmarkEnd w:id="47"/>
    </w:p>
    <w:p w14:paraId="02CB0BA6">
      <w:pPr>
        <w:bidi w:val="0"/>
        <w:rPr>
          <w:rFonts w:hint="eastAsia"/>
          <w:lang w:eastAsia="zh-CN"/>
        </w:rPr>
      </w:pPr>
      <w:r>
        <w:rPr>
          <w:rFonts w:hint="eastAsia"/>
          <w:lang w:eastAsia="zh-CN"/>
        </w:rPr>
        <w:t>深入实施新一轮优化营商环境专项行动，</w:t>
      </w:r>
      <w:r>
        <w:t>以企业感受为第一标准，建立健全精准识别、快速响应、高效解决的企业诉求闭环管理机制</w:t>
      </w:r>
      <w:r>
        <w:rPr>
          <w:rFonts w:hint="eastAsia"/>
          <w:lang w:eastAsia="zh-CN"/>
        </w:rPr>
        <w:t>，精准高效回应企业诉求。</w:t>
      </w:r>
    </w:p>
    <w:p w14:paraId="3CFE7FE1">
      <w:pPr>
        <w:bidi w:val="0"/>
        <w:rPr>
          <w:rFonts w:hint="eastAsia" w:ascii="仿宋_GB2312" w:hAnsi="仿宋_GB2312" w:eastAsia="仿宋_GB2312" w:cs="仿宋_GB2312"/>
          <w:lang w:eastAsia="zh-CN"/>
        </w:rPr>
      </w:pPr>
      <w:r>
        <w:rPr>
          <w:rFonts w:hint="eastAsia" w:ascii="仿宋_GB2312" w:hAnsi="仿宋_GB2312" w:cs="仿宋_GB2312"/>
          <w:b/>
          <w:bCs/>
          <w:lang w:val="en-US" w:eastAsia="zh-CN"/>
        </w:rPr>
        <w:t>持续提升政务服务效能。</w:t>
      </w:r>
      <w:r>
        <w:rPr>
          <w:rFonts w:hint="eastAsia" w:ascii="仿宋_GB2312" w:hAnsi="仿宋_GB2312" w:eastAsia="仿宋_GB2312" w:cs="仿宋_GB2312"/>
          <w:lang w:eastAsia="zh-CN"/>
        </w:rPr>
        <w:t>持续推进政府职能转变，深化行政审批制度改革，健全行政备案规范化管理制度，深化电子证照等政务数据共享应用。全面提升数字政府应用水平，深化“高效办成一件事”改革，推进“一网通办、一窗受理、并联审批”。</w:t>
      </w:r>
      <w:r>
        <w:rPr>
          <w:rFonts w:hint="eastAsia" w:ascii="仿宋_GB2312" w:hAnsi="仿宋_GB2312" w:eastAsia="仿宋_GB2312" w:cs="仿宋_GB2312"/>
        </w:rPr>
        <w:t>基于“一网通办”拓展“省内通办”“市内通办”“远程导办”等服务模式</w:t>
      </w:r>
      <w:r>
        <w:rPr>
          <w:rFonts w:hint="eastAsia" w:ascii="仿宋_GB2312" w:hAnsi="仿宋_GB2312" w:cs="仿宋_GB2312"/>
          <w:lang w:eastAsia="zh-CN"/>
        </w:rPr>
        <w:t>。</w:t>
      </w:r>
      <w:r>
        <w:rPr>
          <w:rFonts w:hint="eastAsia" w:ascii="仿宋_GB2312" w:hAnsi="仿宋_GB2312" w:eastAsia="仿宋_GB2312" w:cs="仿宋_GB2312"/>
          <w:lang w:eastAsia="zh-CN"/>
        </w:rPr>
        <w:t>优化拓展“锦快办”平台功能，健全线上线下融合涉企服务体系，统筹协调涉企服务资源，创新推进增值化政务服务。更好发挥企业综合服务中心“一站式服务”作用。</w:t>
      </w:r>
    </w:p>
    <w:p w14:paraId="7EA2F4B1">
      <w:pPr>
        <w:bidi w:val="0"/>
        <w:rPr>
          <w:rFonts w:hint="eastAsia" w:ascii="仿宋_GB2312" w:hAnsi="仿宋_GB2312" w:eastAsia="仿宋_GB2312" w:cs="仿宋_GB2312"/>
          <w:lang w:eastAsia="zh-CN"/>
        </w:rPr>
      </w:pPr>
      <w:r>
        <w:rPr>
          <w:rFonts w:hint="eastAsia" w:ascii="仿宋_GB2312" w:hAnsi="仿宋_GB2312" w:cs="仿宋_GB2312"/>
          <w:b/>
          <w:bCs/>
          <w:lang w:val="en-US" w:eastAsia="zh-CN"/>
        </w:rPr>
        <w:t>提升富锦要素资源吸引力。</w:t>
      </w:r>
      <w:r>
        <w:rPr>
          <w:rFonts w:hint="eastAsia" w:ascii="仿宋_GB2312" w:hAnsi="仿宋_GB2312" w:eastAsia="仿宋_GB2312" w:cs="仿宋_GB2312"/>
        </w:rPr>
        <w:t>设立富锦市</w:t>
      </w:r>
      <w:r>
        <w:rPr>
          <w:rFonts w:hint="eastAsia" w:ascii="仿宋_GB2312" w:hAnsi="仿宋_GB2312" w:eastAsia="仿宋_GB2312" w:cs="仿宋_GB2312"/>
          <w:lang w:val="en-US" w:eastAsia="zh-CN"/>
        </w:rPr>
        <w:t>现代</w:t>
      </w:r>
      <w:r>
        <w:rPr>
          <w:rFonts w:hint="eastAsia" w:ascii="仿宋_GB2312" w:hAnsi="仿宋_GB2312" w:eastAsia="仿宋_GB2312" w:cs="仿宋_GB2312"/>
        </w:rPr>
        <w:t>产业发展基金，为企业提供覆盖种子期、成长期、成熟期的全周期资金支持</w:t>
      </w:r>
      <w:r>
        <w:rPr>
          <w:rFonts w:hint="eastAsia" w:ascii="仿宋_GB2312" w:hAnsi="仿宋_GB2312" w:cs="仿宋_GB2312"/>
          <w:lang w:eastAsia="zh-CN"/>
        </w:rPr>
        <w:t>。</w:t>
      </w:r>
      <w:r>
        <w:rPr>
          <w:rFonts w:hint="eastAsia" w:ascii="仿宋_GB2312" w:hAnsi="仿宋_GB2312" w:eastAsia="仿宋_GB2312" w:cs="仿宋_GB2312"/>
        </w:rPr>
        <w:t>以产业基金、产教融合为抓手，集聚人才、金融、科创等高端创新要素，为企业注入发展动能</w:t>
      </w:r>
      <w:r>
        <w:rPr>
          <w:rFonts w:hint="eastAsia" w:ascii="仿宋_GB2312" w:hAnsi="仿宋_GB2312" w:cs="仿宋_GB2312"/>
          <w:lang w:eastAsia="zh-CN"/>
        </w:rPr>
        <w:t>。</w:t>
      </w:r>
      <w:r>
        <w:rPr>
          <w:rFonts w:hint="eastAsia" w:ascii="仿宋_GB2312" w:hAnsi="仿宋_GB2312" w:cs="仿宋_GB2312"/>
          <w:lang w:val="en-US" w:eastAsia="zh-CN"/>
        </w:rPr>
        <w:t>探索</w:t>
      </w:r>
      <w:r>
        <w:rPr>
          <w:rFonts w:hint="eastAsia" w:ascii="仿宋_GB2312" w:hAnsi="仿宋_GB2312" w:eastAsia="仿宋_GB2312" w:cs="仿宋_GB2312"/>
        </w:rPr>
        <w:t>“政府搭台、企业出题、院校解题、人才唱戏”模式</w:t>
      </w:r>
      <w:r>
        <w:rPr>
          <w:rFonts w:hint="eastAsia" w:ascii="仿宋_GB2312" w:hAnsi="仿宋_GB2312" w:cs="仿宋_GB2312"/>
          <w:lang w:eastAsia="zh-CN"/>
        </w:rPr>
        <w:t>，</w:t>
      </w:r>
      <w:r>
        <w:rPr>
          <w:rFonts w:hint="eastAsia" w:ascii="仿宋_GB2312" w:hAnsi="仿宋_GB2312" w:cs="仿宋_GB2312"/>
          <w:lang w:val="en-US" w:eastAsia="zh-CN"/>
        </w:rPr>
        <w:t>构建产学研深度融合“强磁场”，推动</w:t>
      </w:r>
      <w:r>
        <w:rPr>
          <w:rFonts w:hint="eastAsia" w:ascii="仿宋_GB2312" w:hAnsi="仿宋_GB2312" w:eastAsia="仿宋_GB2312" w:cs="仿宋_GB2312"/>
        </w:rPr>
        <w:t>科技成果</w:t>
      </w:r>
      <w:r>
        <w:rPr>
          <w:rFonts w:hint="eastAsia" w:ascii="仿宋_GB2312" w:hAnsi="仿宋_GB2312" w:cs="仿宋_GB2312"/>
          <w:lang w:val="en-US" w:eastAsia="zh-CN"/>
        </w:rPr>
        <w:t>在富锦</w:t>
      </w:r>
      <w:r>
        <w:rPr>
          <w:rFonts w:hint="eastAsia" w:ascii="仿宋_GB2312" w:hAnsi="仿宋_GB2312" w:eastAsia="仿宋_GB2312" w:cs="仿宋_GB2312"/>
        </w:rPr>
        <w:t>转化落地。</w:t>
      </w:r>
    </w:p>
    <w:p w14:paraId="35E186B2">
      <w:pPr>
        <w:bidi w:val="0"/>
        <w:rPr>
          <w:rFonts w:hint="eastAsia" w:ascii="仿宋_GB2312" w:hAnsi="仿宋_GB2312" w:eastAsia="仿宋_GB2312" w:cs="仿宋_GB2312"/>
          <w:lang w:eastAsia="zh-CN"/>
        </w:rPr>
      </w:pPr>
      <w:r>
        <w:rPr>
          <w:rFonts w:hint="eastAsia" w:ascii="仿宋_GB2312" w:hAnsi="仿宋_GB2312" w:cs="仿宋_GB2312"/>
          <w:b/>
          <w:bCs/>
          <w:lang w:val="en-US" w:eastAsia="zh-CN"/>
        </w:rPr>
        <w:t>健全信用监督与社会信用体系。</w:t>
      </w:r>
      <w:r>
        <w:rPr>
          <w:rFonts w:hint="eastAsia" w:ascii="仿宋_GB2312" w:hAnsi="仿宋_GB2312" w:eastAsia="仿宋_GB2312" w:cs="仿宋_GB2312"/>
          <w:lang w:eastAsia="zh-CN"/>
        </w:rPr>
        <w:t>健全守信激励失信惩戒机制、以信用为基础的监管和治理机制，推动构建覆盖各类主体、制度规则统一、共建共享共用的社会信用体系。</w:t>
      </w:r>
      <w:r>
        <w:rPr>
          <w:rFonts w:hint="eastAsia" w:ascii="仿宋_GB2312" w:hAnsi="仿宋_GB2312" w:eastAsia="仿宋_GB2312" w:cs="仿宋_GB2312"/>
        </w:rPr>
        <w:t>深化“信易贷”平台应用推广，增强市场主体活力</w:t>
      </w:r>
      <w:r>
        <w:rPr>
          <w:rFonts w:hint="eastAsia" w:ascii="仿宋_GB2312" w:hAnsi="仿宋_GB2312" w:eastAsia="仿宋_GB2312" w:cs="仿宋_GB2312"/>
          <w:lang w:eastAsia="zh-CN"/>
        </w:rPr>
        <w:t>。</w:t>
      </w:r>
      <w:r>
        <w:rPr>
          <w:rFonts w:hint="eastAsia" w:ascii="仿宋_GB2312" w:hAnsi="仿宋_GB2312" w:eastAsia="仿宋_GB2312" w:cs="仿宋_GB2312"/>
        </w:rPr>
        <w:t>加强“信用代证”推广应用，进一步提升企业办事便利度</w:t>
      </w:r>
      <w:r>
        <w:rPr>
          <w:rFonts w:hint="eastAsia" w:ascii="仿宋_GB2312" w:hAnsi="仿宋_GB2312" w:eastAsia="仿宋_GB2312" w:cs="仿宋_GB2312"/>
          <w:lang w:eastAsia="zh-CN"/>
        </w:rPr>
        <w:t>。</w:t>
      </w:r>
      <w:r>
        <w:rPr>
          <w:rFonts w:hint="eastAsia" w:ascii="仿宋_GB2312" w:hAnsi="仿宋_GB2312" w:eastAsia="仿宋_GB2312" w:cs="仿宋_GB2312"/>
        </w:rPr>
        <w:t>完善“信用修复”机制，更好帮助失信主体高效便捷重塑信用</w:t>
      </w:r>
      <w:r>
        <w:rPr>
          <w:rFonts w:hint="eastAsia" w:ascii="仿宋_GB2312" w:hAnsi="仿宋_GB2312" w:cs="仿宋_GB2312"/>
          <w:lang w:eastAsia="zh-CN"/>
        </w:rPr>
        <w:t>。</w:t>
      </w:r>
    </w:p>
    <w:p w14:paraId="17984CDA">
      <w:pPr>
        <w:bidi w:val="0"/>
        <w:rPr>
          <w:rFonts w:hint="eastAsia" w:ascii="仿宋_GB2312" w:hAnsi="仿宋_GB2312" w:eastAsia="仿宋_GB2312" w:cs="仿宋_GB2312"/>
          <w:lang w:eastAsia="zh-CN"/>
        </w:rPr>
      </w:pPr>
      <w:r>
        <w:rPr>
          <w:rFonts w:hint="eastAsia" w:ascii="仿宋_GB2312" w:hAnsi="仿宋_GB2312" w:eastAsia="仿宋_GB2312" w:cs="仿宋_GB2312"/>
          <w:b/>
          <w:bCs/>
          <w:lang w:eastAsia="zh-CN"/>
        </w:rPr>
        <w:t>构建</w:t>
      </w:r>
      <w:r>
        <w:rPr>
          <w:rFonts w:hint="eastAsia" w:ascii="仿宋_GB2312" w:hAnsi="仿宋_GB2312" w:cs="仿宋_GB2312"/>
          <w:b/>
          <w:bCs/>
          <w:lang w:eastAsia="zh-CN"/>
        </w:rPr>
        <w:t>亲清统一的新型政商关系</w:t>
      </w:r>
      <w:r>
        <w:rPr>
          <w:rFonts w:hint="eastAsia" w:ascii="仿宋_GB2312" w:hAnsi="仿宋_GB2312" w:eastAsia="仿宋_GB2312" w:cs="仿宋_GB2312"/>
          <w:b/>
          <w:bCs/>
          <w:lang w:val="en-US" w:eastAsia="zh-CN"/>
        </w:rPr>
        <w:t>。</w:t>
      </w:r>
      <w:r>
        <w:rPr>
          <w:rFonts w:hint="eastAsia" w:ascii="仿宋_GB2312" w:hAnsi="仿宋_GB2312" w:eastAsia="仿宋_GB2312" w:cs="仿宋_GB2312"/>
          <w:lang w:eastAsia="zh-CN"/>
        </w:rPr>
        <w:t>建立健全政商交往正面清单和负面清单，</w:t>
      </w:r>
      <w:r>
        <w:rPr>
          <w:rFonts w:hint="eastAsia" w:ascii="仿宋_GB2312" w:hAnsi="仿宋_GB2312" w:eastAsia="仿宋_GB2312" w:cs="仿宋_GB2312"/>
        </w:rPr>
        <w:t>深化政务服务阳光运行，推动政策透明、执法规范，</w:t>
      </w:r>
      <w:r>
        <w:rPr>
          <w:rFonts w:hint="eastAsia" w:ascii="仿宋_GB2312" w:hAnsi="仿宋_GB2312" w:cs="仿宋_GB2312"/>
          <w:lang w:val="en-US" w:eastAsia="zh-CN"/>
        </w:rPr>
        <w:t>明确</w:t>
      </w:r>
      <w:r>
        <w:rPr>
          <w:rFonts w:hint="eastAsia" w:ascii="仿宋_GB2312" w:hAnsi="仿宋_GB2312" w:eastAsia="仿宋_GB2312" w:cs="仿宋_GB2312"/>
        </w:rPr>
        <w:t>公职人员“靠前服务”的履职边界与“清白交往</w:t>
      </w:r>
      <w:r>
        <w:rPr>
          <w:rFonts w:hint="eastAsia" w:ascii="仿宋_GB2312" w:hAnsi="仿宋_GB2312" w:cs="仿宋_GB2312"/>
          <w:lang w:eastAsia="zh-CN"/>
        </w:rPr>
        <w:t>”</w:t>
      </w:r>
      <w:r>
        <w:rPr>
          <w:rFonts w:hint="eastAsia" w:ascii="仿宋_GB2312" w:hAnsi="仿宋_GB2312" w:eastAsia="仿宋_GB2312" w:cs="仿宋_GB2312"/>
        </w:rPr>
        <w:t>的纪律红线</w:t>
      </w:r>
      <w:r>
        <w:rPr>
          <w:rFonts w:hint="eastAsia" w:ascii="仿宋_GB2312" w:hAnsi="仿宋_GB2312" w:eastAsia="仿宋_GB2312" w:cs="仿宋_GB2312"/>
          <w:lang w:eastAsia="zh-CN"/>
        </w:rPr>
        <w:t>，构建</w:t>
      </w:r>
      <w:r>
        <w:rPr>
          <w:rFonts w:hint="eastAsia" w:ascii="仿宋_GB2312" w:hAnsi="仿宋_GB2312" w:cs="仿宋_GB2312"/>
          <w:lang w:eastAsia="zh-CN"/>
        </w:rPr>
        <w:t>亲清统一的新型政商关系</w:t>
      </w:r>
      <w:r>
        <w:rPr>
          <w:rFonts w:hint="eastAsia" w:ascii="仿宋_GB2312" w:hAnsi="仿宋_GB2312" w:eastAsia="仿宋_GB2312" w:cs="仿宋_GB2312"/>
          <w:lang w:eastAsia="zh-CN"/>
        </w:rPr>
        <w:t>。</w:t>
      </w:r>
    </w:p>
    <w:p w14:paraId="03BC0B12">
      <w:pPr>
        <w:bidi w:val="0"/>
        <w:rPr>
          <w:rFonts w:hint="eastAsia" w:ascii="仿宋_GB2312" w:hAnsi="仿宋_GB2312" w:eastAsia="仿宋_GB2312" w:cs="仿宋_GB2312"/>
          <w:lang w:eastAsia="zh-CN"/>
        </w:rPr>
      </w:pPr>
      <w:r>
        <w:rPr>
          <w:rFonts w:hint="eastAsia" w:ascii="仿宋_GB2312" w:hAnsi="仿宋_GB2312" w:cs="仿宋_GB2312"/>
          <w:b/>
          <w:bCs/>
          <w:lang w:val="en-US" w:eastAsia="zh-CN"/>
        </w:rPr>
        <w:t>完善企业诉求响应与服务保障机制。</w:t>
      </w:r>
      <w:r>
        <w:rPr>
          <w:rFonts w:hint="eastAsia" w:ascii="仿宋_GB2312" w:hAnsi="仿宋_GB2312" w:eastAsia="仿宋_GB2312" w:cs="仿宋_GB2312"/>
          <w:lang w:eastAsia="zh-CN"/>
        </w:rPr>
        <w:t>完善领导干部包联服务企业制度，提升“12345热线+网格化”服务功能，强化政务服务效能监管，高效解决企业群众急难诉求。</w:t>
      </w:r>
    </w:p>
    <w:p w14:paraId="7855FB3B">
      <w:pPr>
        <w:pStyle w:val="3"/>
        <w:bidi w:val="0"/>
        <w:rPr>
          <w:rFonts w:hint="default"/>
          <w:lang w:val="en-US" w:eastAsia="zh-CN"/>
        </w:rPr>
      </w:pPr>
      <w:bookmarkStart w:id="48" w:name="_Toc1394"/>
      <w:r>
        <w:rPr>
          <w:rFonts w:hint="eastAsia"/>
          <w:lang w:val="en-US" w:eastAsia="zh-CN"/>
        </w:rPr>
        <w:t>第二节  深化国资国企改革重塑市场竞争力</w:t>
      </w:r>
      <w:bookmarkEnd w:id="48"/>
    </w:p>
    <w:p w14:paraId="4C17A682">
      <w:pPr>
        <w:bidi w:val="0"/>
        <w:rPr>
          <w:rFonts w:hint="default"/>
          <w:lang w:eastAsia="zh-CN"/>
        </w:rPr>
      </w:pPr>
      <w:r>
        <w:rPr>
          <w:rFonts w:hint="default"/>
          <w:lang w:eastAsia="zh-CN"/>
        </w:rPr>
        <w:t>深入实施新时代东北地区国有企业振兴专项行动，做强做优做大国有企业和国有资本。</w:t>
      </w:r>
    </w:p>
    <w:p w14:paraId="3078E905">
      <w:pPr>
        <w:bidi w:val="0"/>
        <w:rPr>
          <w:rFonts w:hint="default"/>
          <w:lang w:eastAsia="zh-CN"/>
        </w:rPr>
      </w:pPr>
      <w:r>
        <w:rPr>
          <w:rFonts w:hint="default"/>
          <w:b/>
          <w:bCs/>
          <w:lang w:eastAsia="zh-CN"/>
        </w:rPr>
        <w:t>推进国有经济布局优化和结构调整</w:t>
      </w:r>
      <w:r>
        <w:rPr>
          <w:rFonts w:hint="eastAsia"/>
          <w:b/>
          <w:bCs/>
          <w:lang w:eastAsia="zh-CN"/>
        </w:rPr>
        <w:t>。</w:t>
      </w:r>
      <w:r>
        <w:rPr>
          <w:rFonts w:hint="default"/>
          <w:lang w:eastAsia="zh-CN"/>
        </w:rPr>
        <w:t>推动战略性重组和专业化整合，促进存量资产盘活和低效无效资产处置，提升国有资本配置和运行效率。推动万达公司、城投公司、建投公司等国有企业在公共服务、战略性新兴产业等领域加大投资布局力度，明晰功能定位，完善主责主业管理，增强核心功能、提升核心竞争力。</w:t>
      </w:r>
    </w:p>
    <w:p w14:paraId="5B52132D">
      <w:pPr>
        <w:bidi w:val="0"/>
        <w:rPr>
          <w:rFonts w:hint="eastAsia" w:eastAsia="仿宋_GB2312"/>
          <w:lang w:eastAsia="zh-CN"/>
        </w:rPr>
      </w:pPr>
      <w:r>
        <w:rPr>
          <w:rFonts w:hint="default"/>
          <w:b/>
          <w:bCs/>
          <w:lang w:eastAsia="zh-CN"/>
        </w:rPr>
        <w:t>完善国有企业市场化经营机制</w:t>
      </w:r>
      <w:r>
        <w:rPr>
          <w:rFonts w:hint="eastAsia"/>
          <w:b/>
          <w:bCs/>
          <w:lang w:eastAsia="zh-CN"/>
        </w:rPr>
        <w:t>。</w:t>
      </w:r>
      <w:r>
        <w:rPr>
          <w:rFonts w:hint="default"/>
          <w:lang w:eastAsia="zh-CN"/>
        </w:rPr>
        <w:t>持续深化三项制度改革，</w:t>
      </w:r>
      <w:r>
        <w:rPr>
          <w:rFonts w:hint="eastAsia" w:ascii="仿宋_GB2312" w:hAnsi="仿宋_GB2312" w:eastAsia="仿宋_GB2312" w:cs="仿宋_GB2312"/>
        </w:rPr>
        <w:t>实施人才市场化选聘机制，推行面向社会的专业人才公开招聘。构建市场化薪酬分配机制，员工薪酬将与业绩考核结果直接挂钩。构建市场化劳动用工机制，引导优秀干部到重点项目、产业场景等墩苗历练</w:t>
      </w:r>
      <w:r>
        <w:rPr>
          <w:rFonts w:hint="eastAsia" w:ascii="仿宋_GB2312" w:hAnsi="仿宋_GB2312" w:cs="仿宋_GB2312"/>
          <w:lang w:eastAsia="zh-CN"/>
        </w:rPr>
        <w:t>。</w:t>
      </w:r>
      <w:r>
        <w:rPr>
          <w:rFonts w:hint="eastAsia" w:ascii="仿宋_GB2312" w:hAnsi="仿宋_GB2312" w:eastAsia="仿宋_GB2312" w:cs="仿宋_GB2312"/>
        </w:rPr>
        <w:t>推进混合所有制改革试点，探索“国有控股+民营机制”模式，推动国有企业决策机制、用工方式与市场接轨</w:t>
      </w:r>
      <w:r>
        <w:rPr>
          <w:rFonts w:hint="eastAsia" w:ascii="仿宋_GB2312" w:hAnsi="仿宋_GB2312" w:eastAsia="仿宋_GB2312" w:cs="仿宋_GB2312"/>
          <w:highlight w:val="none"/>
        </w:rPr>
        <w:t>。</w:t>
      </w:r>
    </w:p>
    <w:p w14:paraId="6DFA2F55">
      <w:pPr>
        <w:bidi w:val="0"/>
        <w:rPr>
          <w:rFonts w:hint="default"/>
          <w:lang w:eastAsia="zh-CN"/>
        </w:rPr>
      </w:pPr>
      <w:r>
        <w:rPr>
          <w:rFonts w:hint="default"/>
          <w:b/>
          <w:bCs/>
          <w:lang w:eastAsia="zh-CN"/>
        </w:rPr>
        <w:t>健全国有资产监管体制</w:t>
      </w:r>
      <w:r>
        <w:rPr>
          <w:rFonts w:hint="eastAsia"/>
          <w:b/>
          <w:bCs/>
          <w:lang w:eastAsia="zh-CN"/>
        </w:rPr>
        <w:t>。</w:t>
      </w:r>
      <w:r>
        <w:rPr>
          <w:rFonts w:hint="eastAsia" w:ascii="仿宋_GB2312" w:hAnsi="仿宋_GB2312" w:eastAsia="仿宋_GB2312" w:cs="仿宋_GB2312"/>
        </w:rPr>
        <w:t>建立“财政局（国资办）+审计局+纪委监委”联动机制，强化协同监督</w:t>
      </w:r>
      <w:r>
        <w:rPr>
          <w:rFonts w:hint="eastAsia" w:ascii="仿宋_GB2312" w:hAnsi="仿宋_GB2312" w:cs="仿宋_GB2312"/>
          <w:lang w:eastAsia="zh-CN"/>
        </w:rPr>
        <w:t>，</w:t>
      </w:r>
      <w:r>
        <w:rPr>
          <w:rFonts w:hint="eastAsia" w:ascii="仿宋_GB2312" w:hAnsi="仿宋_GB2312" w:eastAsia="仿宋_GB2312" w:cs="仿宋_GB2312"/>
        </w:rPr>
        <w:t>开展专项审计</w:t>
      </w:r>
      <w:r>
        <w:rPr>
          <w:rFonts w:hint="eastAsia" w:ascii="仿宋_GB2312" w:hAnsi="仿宋_GB2312" w:cs="仿宋_GB2312"/>
          <w:lang w:eastAsia="zh-CN"/>
        </w:rPr>
        <w:t>，</w:t>
      </w:r>
      <w:r>
        <w:rPr>
          <w:rFonts w:hint="default"/>
          <w:lang w:eastAsia="zh-CN"/>
        </w:rPr>
        <w:t>不断提升国有企业现代公司治理能力。</w:t>
      </w:r>
    </w:p>
    <w:p w14:paraId="6DEDC6BC">
      <w:pPr>
        <w:pStyle w:val="3"/>
        <w:bidi w:val="0"/>
        <w:rPr>
          <w:rFonts w:hint="default"/>
          <w:lang w:val="en-US" w:eastAsia="zh-CN"/>
        </w:rPr>
      </w:pPr>
      <w:bookmarkStart w:id="49" w:name="_Toc32489"/>
      <w:r>
        <w:rPr>
          <w:rFonts w:hint="eastAsia"/>
          <w:lang w:val="en-US" w:eastAsia="zh-CN"/>
        </w:rPr>
        <w:t>第三节  健全政策机制促进民营经济发展壮大</w:t>
      </w:r>
      <w:bookmarkEnd w:id="49"/>
    </w:p>
    <w:p w14:paraId="472FD079">
      <w:pPr>
        <w:bidi w:val="0"/>
        <w:rPr>
          <w:rFonts w:hint="default"/>
          <w:lang w:eastAsia="zh-CN"/>
        </w:rPr>
      </w:pPr>
      <w:r>
        <w:rPr>
          <w:rFonts w:hint="eastAsia"/>
          <w:b/>
          <w:bCs/>
          <w:lang w:val="en-US" w:eastAsia="zh-CN"/>
        </w:rPr>
        <w:t>夯实民营经济制度与法治保障。</w:t>
      </w:r>
      <w:r>
        <w:rPr>
          <w:rFonts w:hint="default"/>
          <w:lang w:eastAsia="zh-CN"/>
        </w:rPr>
        <w:t>落实民营经济促进法，从法律和制度上保障平等使用生产要素、公平参与市场竞争、有效保护合法权益。规范民营企业行政检查，强化产权执法司法保护。健全政府守信践诺机制，完善涉企收费长效监管和拖欠中小企业账款常态化预防和清理机制。</w:t>
      </w:r>
    </w:p>
    <w:p w14:paraId="082B71F6">
      <w:pPr>
        <w:bidi w:val="0"/>
        <w:rPr>
          <w:rFonts w:hint="eastAsia" w:ascii="仿宋_GB2312" w:hAnsi="仿宋_GB2312" w:eastAsia="仿宋_GB2312" w:cs="仿宋_GB2312"/>
          <w:lang w:eastAsia="zh-CN"/>
        </w:rPr>
      </w:pPr>
      <w:r>
        <w:rPr>
          <w:rFonts w:hint="eastAsia"/>
          <w:b/>
          <w:bCs/>
          <w:lang w:val="en-US" w:eastAsia="zh-CN"/>
        </w:rPr>
        <w:t>促进市场公平与开放竞争。</w:t>
      </w:r>
      <w:r>
        <w:rPr>
          <w:rFonts w:hint="default"/>
          <w:lang w:eastAsia="zh-CN"/>
        </w:rPr>
        <w:t>推进基础设施竞争性领域向经营主体公平开放。</w:t>
      </w:r>
      <w:r>
        <w:rPr>
          <w:rFonts w:hint="eastAsia" w:ascii="仿宋_GB2312" w:hAnsi="仿宋_GB2312" w:eastAsia="仿宋_GB2312" w:cs="仿宋_GB2312"/>
        </w:rPr>
        <w:t>以“非禁即入”为原则，放宽民营企业的市场准入限制，推动优质重大项目向民营企业开放，建立“民企参与重点项目清单”</w:t>
      </w:r>
      <w:r>
        <w:rPr>
          <w:rFonts w:hint="eastAsia" w:ascii="仿宋_GB2312" w:hAnsi="仿宋_GB2312" w:cs="仿宋_GB2312"/>
          <w:lang w:eastAsia="zh-CN"/>
        </w:rPr>
        <w:t>，</w:t>
      </w:r>
      <w:r>
        <w:rPr>
          <w:rFonts w:hint="eastAsia" w:ascii="仿宋_GB2312" w:hAnsi="仿宋_GB2312" w:eastAsia="仿宋_GB2312" w:cs="仿宋_GB2312"/>
        </w:rPr>
        <w:t>推动民企公平参与招标投标，构建民营企业参与重大项目建设长效机制</w:t>
      </w:r>
      <w:r>
        <w:rPr>
          <w:rFonts w:hint="eastAsia" w:ascii="仿宋_GB2312" w:hAnsi="仿宋_GB2312" w:cs="仿宋_GB2312"/>
          <w:lang w:eastAsia="zh-CN"/>
        </w:rPr>
        <w:t>。</w:t>
      </w:r>
    </w:p>
    <w:p w14:paraId="46E43CAD">
      <w:pPr>
        <w:bidi w:val="0"/>
        <w:rPr>
          <w:rFonts w:hint="eastAsia" w:eastAsia="仿宋_GB2312"/>
          <w:lang w:eastAsia="zh-CN"/>
        </w:rPr>
      </w:pPr>
      <w:r>
        <w:rPr>
          <w:rFonts w:hint="eastAsia"/>
          <w:b/>
          <w:bCs/>
          <w:lang w:val="en-US" w:eastAsia="zh-CN"/>
        </w:rPr>
        <w:t>构建长效精准支持体系。</w:t>
      </w:r>
      <w:r>
        <w:rPr>
          <w:rFonts w:hint="default"/>
          <w:lang w:eastAsia="zh-CN"/>
        </w:rPr>
        <w:t>健全民营企业解难纾困长效机制，完善融资支持政策制度。支持中小企业和个体工商户发展，</w:t>
      </w:r>
      <w:r>
        <w:rPr>
          <w:rFonts w:hint="eastAsia"/>
          <w:lang w:val="en-US" w:eastAsia="zh-CN"/>
        </w:rPr>
        <w:t>推动</w:t>
      </w:r>
      <w:r>
        <w:rPr>
          <w:rFonts w:hint="eastAsia" w:ascii="仿宋_GB2312" w:hAnsi="仿宋_GB2312" w:eastAsia="仿宋_GB2312" w:cs="仿宋_GB2312"/>
        </w:rPr>
        <w:t>设立“富锦市小微企业成长基金”</w:t>
      </w:r>
      <w:r>
        <w:rPr>
          <w:rFonts w:hint="eastAsia" w:ascii="仿宋_GB2312" w:hAnsi="仿宋_GB2312" w:cs="仿宋_GB2312"/>
          <w:lang w:eastAsia="zh-CN"/>
        </w:rPr>
        <w:t>，</w:t>
      </w:r>
      <w:r>
        <w:rPr>
          <w:rFonts w:hint="eastAsia" w:ascii="仿宋_GB2312" w:hAnsi="仿宋_GB2312" w:eastAsia="仿宋_GB2312" w:cs="仿宋_GB2312"/>
        </w:rPr>
        <w:t>搭建“富锦市小微企业金融综合服务平台”</w:t>
      </w:r>
      <w:r>
        <w:rPr>
          <w:rFonts w:hint="eastAsia" w:ascii="仿宋_GB2312" w:hAnsi="仿宋_GB2312" w:cs="仿宋_GB2312"/>
          <w:lang w:eastAsia="zh-CN"/>
        </w:rPr>
        <w:t>，</w:t>
      </w:r>
      <w:r>
        <w:rPr>
          <w:rFonts w:hint="eastAsia" w:ascii="仿宋_GB2312" w:hAnsi="仿宋_GB2312" w:eastAsia="仿宋_GB2312" w:cs="仿宋_GB2312"/>
        </w:rPr>
        <w:t>有效解决中小微企业融资难、融资慢问题</w:t>
      </w:r>
      <w:r>
        <w:rPr>
          <w:rFonts w:hint="eastAsia" w:ascii="仿宋_GB2312" w:hAnsi="仿宋_GB2312" w:cs="仿宋_GB2312"/>
          <w:lang w:eastAsia="zh-CN"/>
        </w:rPr>
        <w:t>。</w:t>
      </w:r>
      <w:r>
        <w:rPr>
          <w:rFonts w:hint="default"/>
          <w:lang w:eastAsia="zh-CN"/>
        </w:rPr>
        <w:t>推动大中小企业协同融通发展</w:t>
      </w:r>
      <w:r>
        <w:rPr>
          <w:rFonts w:hint="eastAsia"/>
          <w:lang w:eastAsia="zh-CN"/>
        </w:rPr>
        <w:t>，</w:t>
      </w:r>
      <w:r>
        <w:rPr>
          <w:rFonts w:hint="eastAsia" w:ascii="仿宋_GB2312" w:hAnsi="仿宋_GB2312" w:cs="仿宋_GB2312"/>
          <w:lang w:val="en-US" w:eastAsia="zh-CN"/>
        </w:rPr>
        <w:t>落实</w:t>
      </w:r>
      <w:r>
        <w:rPr>
          <w:rFonts w:hint="eastAsia" w:ascii="仿宋_GB2312" w:hAnsi="仿宋_GB2312" w:eastAsia="仿宋_GB2312" w:cs="仿宋_GB2312"/>
        </w:rPr>
        <w:t>国家梯度培育创新型企业</w:t>
      </w:r>
      <w:r>
        <w:rPr>
          <w:rFonts w:hint="eastAsia" w:ascii="仿宋_GB2312" w:hAnsi="仿宋_GB2312" w:cs="仿宋_GB2312"/>
          <w:lang w:val="en-US" w:eastAsia="zh-CN"/>
        </w:rPr>
        <w:t>政策</w:t>
      </w:r>
      <w:r>
        <w:rPr>
          <w:rFonts w:hint="eastAsia" w:ascii="仿宋_GB2312" w:hAnsi="仿宋_GB2312" w:eastAsia="仿宋_GB2312" w:cs="仿宋_GB2312"/>
        </w:rPr>
        <w:t>，立足富锦产业与民营经济主体结构特点，构建“创新型中小企业—</w:t>
      </w:r>
      <w:r>
        <w:rPr>
          <w:rFonts w:hint="eastAsia" w:ascii="仿宋_GB2312" w:hAnsi="仿宋_GB2312" w:eastAsia="仿宋_GB2312" w:cs="仿宋_GB2312"/>
          <w:highlight w:val="none"/>
        </w:rPr>
        <w:t>‘专精特新’</w:t>
      </w:r>
      <w:r>
        <w:rPr>
          <w:rFonts w:hint="eastAsia" w:ascii="仿宋_GB2312" w:hAnsi="仿宋_GB2312" w:eastAsia="仿宋_GB2312" w:cs="仿宋_GB2312"/>
        </w:rPr>
        <w:t>中小企业—专精特新‘小巨人’企业”三级梯度培育体系，</w:t>
      </w:r>
      <w:r>
        <w:rPr>
          <w:rFonts w:hint="eastAsia" w:ascii="仿宋_GB2312" w:hAnsi="仿宋_GB2312" w:cs="仿宋_GB2312"/>
          <w:lang w:val="en-US" w:eastAsia="zh-CN"/>
        </w:rPr>
        <w:t>推动</w:t>
      </w:r>
      <w:r>
        <w:rPr>
          <w:rFonts w:hint="eastAsia" w:ascii="仿宋_GB2312" w:hAnsi="仿宋_GB2312" w:eastAsia="仿宋_GB2312" w:cs="仿宋_GB2312"/>
        </w:rPr>
        <w:t>民营中小企业实现“小升高、高壮大、大变强”的全生命周期提质升级</w:t>
      </w:r>
      <w:r>
        <w:rPr>
          <w:rFonts w:hint="eastAsia" w:ascii="仿宋_GB2312" w:hAnsi="仿宋_GB2312" w:cs="仿宋_GB2312"/>
          <w:lang w:eastAsia="zh-CN"/>
        </w:rPr>
        <w:t>。</w:t>
      </w:r>
    </w:p>
    <w:p w14:paraId="3F774444">
      <w:pPr>
        <w:bidi w:val="0"/>
        <w:rPr>
          <w:rFonts w:hint="default"/>
          <w:lang w:eastAsia="zh-CN"/>
        </w:rPr>
      </w:pPr>
      <w:r>
        <w:rPr>
          <w:rFonts w:hint="eastAsia"/>
          <w:b/>
          <w:bCs/>
          <w:lang w:val="en-US" w:eastAsia="zh-CN"/>
        </w:rPr>
        <w:t>引导民营企业提升发展质量。</w:t>
      </w:r>
      <w:r>
        <w:rPr>
          <w:rFonts w:hint="default"/>
          <w:lang w:eastAsia="zh-CN"/>
        </w:rPr>
        <w:t>完善中国特色现代企业制度，</w:t>
      </w:r>
      <w:r>
        <w:t>指导民营企业健全法人治理结构，推动家族式企业向规范化、现代化管理转型</w:t>
      </w:r>
      <w:r>
        <w:rPr>
          <w:rFonts w:hint="eastAsia"/>
          <w:lang w:eastAsia="zh-CN"/>
        </w:rPr>
        <w:t>。</w:t>
      </w:r>
      <w:r>
        <w:rPr>
          <w:rFonts w:hint="default"/>
          <w:lang w:eastAsia="zh-CN"/>
        </w:rPr>
        <w:t>弘扬企业家精神，</w:t>
      </w:r>
      <w:r>
        <w:t>挖掘选树富锦本土民营企业家先进典型，讲好民营经济发展故事，营造尊重企业家、关爱企业家、支持企业家的浓厚社会氛围。</w:t>
      </w:r>
      <w:r>
        <w:rPr>
          <w:rFonts w:hint="default"/>
          <w:lang w:eastAsia="zh-CN"/>
        </w:rPr>
        <w:t>构建多层次民营经济人士培育体系，</w:t>
      </w:r>
      <w:r>
        <w:t>整合高校、行业协会、龙头企业等资源，开设富锦民营企业家研修班、专题培训班，</w:t>
      </w:r>
      <w:r>
        <w:rPr>
          <w:rFonts w:hint="default"/>
          <w:lang w:eastAsia="zh-CN"/>
        </w:rPr>
        <w:t>打造</w:t>
      </w:r>
      <w:r>
        <w:t>一支政治过硬、业务精湛、勇于创新、富有社会责任感的</w:t>
      </w:r>
      <w:r>
        <w:rPr>
          <w:rFonts w:hint="default"/>
          <w:lang w:eastAsia="zh-CN"/>
        </w:rPr>
        <w:t>高素质民营企业家队伍</w:t>
      </w:r>
      <w:r>
        <w:rPr>
          <w:rFonts w:hint="eastAsia"/>
          <w:lang w:eastAsia="zh-CN"/>
        </w:rPr>
        <w:t>。</w:t>
      </w:r>
      <w:r>
        <w:rPr>
          <w:rFonts w:hint="default"/>
          <w:lang w:eastAsia="zh-CN"/>
        </w:rPr>
        <w:t>支持民营企业通过自身改革发展、合规经营、转型升级提升发展质量，</w:t>
      </w:r>
      <w:r>
        <w:t>培育一批专精特新中小企业和行业单项冠军企业</w:t>
      </w:r>
      <w:r>
        <w:rPr>
          <w:rFonts w:hint="eastAsia"/>
          <w:lang w:eastAsia="zh-CN"/>
        </w:rPr>
        <w:t>。</w:t>
      </w:r>
      <w:r>
        <w:rPr>
          <w:rFonts w:hint="default"/>
          <w:lang w:eastAsia="zh-CN"/>
        </w:rPr>
        <w:t>引导民营企业履行社会责任</w:t>
      </w:r>
      <w:r>
        <w:rPr>
          <w:rFonts w:hint="eastAsia"/>
          <w:lang w:eastAsia="zh-CN"/>
        </w:rPr>
        <w:t>，</w:t>
      </w:r>
      <w:r>
        <w:t>建立民营企业社会责任评价体系和激励机制，促进民营经济发展与社会进步同频共振，为经济社会高质量发展注入持久动力。</w:t>
      </w:r>
    </w:p>
    <w:p w14:paraId="78E87B06">
      <w:pPr>
        <w:pStyle w:val="3"/>
        <w:bidi w:val="0"/>
        <w:rPr>
          <w:rFonts w:hint="default"/>
          <w:lang w:val="en-US" w:eastAsia="zh-CN"/>
        </w:rPr>
      </w:pPr>
      <w:bookmarkStart w:id="50" w:name="_Toc29712"/>
      <w:r>
        <w:rPr>
          <w:rFonts w:hint="eastAsia"/>
          <w:lang w:val="en-US" w:eastAsia="zh-CN"/>
        </w:rPr>
        <w:t>第四节  加速全域要素市场化配置改革</w:t>
      </w:r>
      <w:bookmarkEnd w:id="50"/>
    </w:p>
    <w:p w14:paraId="5461B034">
      <w:pPr>
        <w:bidi w:val="0"/>
        <w:rPr>
          <w:rFonts w:hint="eastAsia" w:eastAsia="仿宋_GB2312"/>
          <w:lang w:val="en-US" w:eastAsia="zh-CN"/>
        </w:rPr>
      </w:pPr>
      <w:r>
        <w:rPr>
          <w:rFonts w:hint="eastAsia"/>
          <w:b/>
          <w:bCs/>
          <w:lang w:val="en-US" w:eastAsia="zh-CN"/>
        </w:rPr>
        <w:t>健全生产要素市场化配置机制。</w:t>
      </w:r>
      <w:r>
        <w:rPr>
          <w:rFonts w:hint="default"/>
          <w:lang w:eastAsia="zh-CN"/>
        </w:rPr>
        <w:t>健全劳动、资本、土地、知识、技术、管理、数据等生产要素由市场评价贡献、按贡献决定报酬的机制，推动建设用地市场、劳动力市场、技术市场、数据市场建设，促进生产要素畅通流动、各类资源高效配置。完善并购、破产、置换等政策落实机制，盘活用好低效用地、闲置房产、存量基础设施。完善人才有序流动机制，建立协调衔接的劳动力流动政策体系。</w:t>
      </w:r>
    </w:p>
    <w:p w14:paraId="4501C5BD">
      <w:pPr>
        <w:bidi w:val="0"/>
        <w:rPr>
          <w:rFonts w:hint="default" w:eastAsia="仿宋_GB2312"/>
          <w:lang w:val="en-US" w:eastAsia="zh-CN"/>
        </w:rPr>
      </w:pPr>
      <w:r>
        <w:rPr>
          <w:rFonts w:hint="eastAsia"/>
          <w:b/>
          <w:bCs/>
          <w:lang w:val="en-US" w:eastAsia="zh-CN"/>
        </w:rPr>
        <w:t>培育数据要素市场发展生态。</w:t>
      </w:r>
      <w:r>
        <w:rPr>
          <w:rFonts w:hint="default"/>
          <w:lang w:eastAsia="zh-CN"/>
        </w:rPr>
        <w:t>培育数据龙头企业，搭建全域数据管理平台，建设高质量数据集，鼓励和支持各类市场主体利用公共数据资源开发数据产品和服务，促进数据开放共享和高效利用。</w:t>
      </w:r>
      <w:r>
        <w:rPr>
          <w:rFonts w:hint="eastAsia" w:ascii="仿宋_GB2312" w:hAnsi="仿宋_GB2312" w:eastAsia="仿宋_GB2312" w:cs="仿宋_GB2312"/>
        </w:rPr>
        <w:t>加大培育本土化技术服务主体，支持本地农业科技企业承接国省级农业科技项目</w:t>
      </w:r>
      <w:r>
        <w:rPr>
          <w:rFonts w:hint="eastAsia" w:ascii="仿宋_GB2312" w:hAnsi="仿宋_GB2312" w:cs="仿宋_GB2312"/>
          <w:lang w:eastAsia="zh-CN"/>
        </w:rPr>
        <w:t>，</w:t>
      </w:r>
      <w:r>
        <w:rPr>
          <w:rFonts w:hint="eastAsia" w:ascii="仿宋_GB2312" w:hAnsi="仿宋_GB2312" w:cs="仿宋_GB2312"/>
          <w:lang w:val="en-US" w:eastAsia="zh-CN"/>
        </w:rPr>
        <w:t>为农户提供市场化技术服务。建立健全“富锦农业大数据中心”，打造全市“农业大脑”，为农业全产业链发展提供决策支持。</w:t>
      </w:r>
    </w:p>
    <w:p w14:paraId="40EAEB85">
      <w:pPr>
        <w:bidi w:val="0"/>
        <w:rPr>
          <w:rFonts w:hint="default"/>
          <w:lang w:eastAsia="zh-CN"/>
        </w:rPr>
      </w:pPr>
      <w:r>
        <w:rPr>
          <w:rFonts w:hint="eastAsia"/>
          <w:b/>
          <w:bCs/>
          <w:lang w:val="en-US" w:eastAsia="zh-CN"/>
        </w:rPr>
        <w:t>完善存量资源盘活利用机制。</w:t>
      </w:r>
      <w:r>
        <w:rPr>
          <w:rFonts w:hint="default"/>
          <w:lang w:eastAsia="zh-CN"/>
        </w:rPr>
        <w:t>依法稳妥推进工商业用地使用权续期工作。推进行政事业单位存量国有资产盘活共享。推动司法判决执行与破产制度有机衔接，依法有效盘活被查封冻结财产。</w:t>
      </w:r>
      <w:r>
        <w:rPr>
          <w:rFonts w:hint="eastAsia" w:ascii="仿宋_GB2312" w:hAnsi="仿宋_GB2312" w:eastAsia="仿宋_GB2312" w:cs="仿宋_GB2312"/>
        </w:rPr>
        <w:t>持续深化集体经营性建设用地入市配套机制，允许农村集体经营性建设用地通过出让、出租等方式参与产业开发，优先保障乡村文旅、农产品加工等产业用地需求。</w:t>
      </w:r>
    </w:p>
    <w:p w14:paraId="504C1893">
      <w:pPr>
        <w:pStyle w:val="3"/>
        <w:bidi w:val="0"/>
        <w:rPr>
          <w:rFonts w:hint="default"/>
          <w:lang w:val="en-US" w:eastAsia="zh-CN"/>
        </w:rPr>
      </w:pPr>
      <w:bookmarkStart w:id="51" w:name="_Toc23588"/>
      <w:r>
        <w:rPr>
          <w:rFonts w:hint="eastAsia"/>
          <w:lang w:val="en-US" w:eastAsia="zh-CN"/>
        </w:rPr>
        <w:t>第五节  全面提升富锦经济治理现代化水平</w:t>
      </w:r>
      <w:bookmarkEnd w:id="51"/>
    </w:p>
    <w:p w14:paraId="1D7FE011">
      <w:pPr>
        <w:bidi w:val="0"/>
        <w:rPr>
          <w:rFonts w:hint="default"/>
          <w:lang w:eastAsia="zh-CN"/>
        </w:rPr>
      </w:pPr>
      <w:r>
        <w:rPr>
          <w:rFonts w:hint="eastAsia"/>
          <w:b/>
          <w:bCs/>
          <w:lang w:val="en-US" w:eastAsia="zh-CN"/>
        </w:rPr>
        <w:t>强化宏观政策落实评估。</w:t>
      </w:r>
      <w:r>
        <w:rPr>
          <w:rFonts w:hint="default"/>
          <w:lang w:eastAsia="zh-CN"/>
        </w:rPr>
        <w:t>落实</w:t>
      </w:r>
      <w:r>
        <w:rPr>
          <w:rFonts w:hint="eastAsia"/>
          <w:lang w:eastAsia="zh-CN"/>
        </w:rPr>
        <w:t>更加积极有为的宏观政策</w:t>
      </w:r>
      <w:r>
        <w:rPr>
          <w:rFonts w:hint="default"/>
          <w:lang w:eastAsia="zh-CN"/>
        </w:rPr>
        <w:t>，强化政策实施效果评价</w:t>
      </w:r>
      <w:r>
        <w:rPr>
          <w:rFonts w:hint="eastAsia"/>
          <w:lang w:eastAsia="zh-CN"/>
        </w:rPr>
        <w:t>，</w:t>
      </w:r>
      <w:r>
        <w:rPr>
          <w:rFonts w:hint="eastAsia"/>
          <w:lang w:val="en-US" w:eastAsia="zh-CN"/>
        </w:rPr>
        <w:t>建立全市重大政策事前评估与事后评价机制，提升政策精准性与协同性。</w:t>
      </w:r>
      <w:r>
        <w:rPr>
          <w:rFonts w:hint="default"/>
          <w:lang w:eastAsia="zh-CN"/>
        </w:rPr>
        <w:t>稳步推进水电气热等公共事业价格改革，健全优化价格调控机制、监管机制，完善公共服务收费政策</w:t>
      </w:r>
      <w:r>
        <w:rPr>
          <w:rFonts w:hint="eastAsia"/>
          <w:lang w:eastAsia="zh-CN"/>
        </w:rPr>
        <w:t>，</w:t>
      </w:r>
      <w:r>
        <w:rPr>
          <w:rFonts w:hint="eastAsia"/>
          <w:lang w:val="en-US" w:eastAsia="zh-CN"/>
        </w:rPr>
        <w:t>建立反映成本、促进节约的阶梯价格制度，完善低收入群体价格补贴机制，加强成本监审与信息公开，确保民生需求与可持续发展相协调</w:t>
      </w:r>
      <w:r>
        <w:rPr>
          <w:rFonts w:hint="default"/>
          <w:lang w:eastAsia="zh-CN"/>
        </w:rPr>
        <w:t>。</w:t>
      </w:r>
    </w:p>
    <w:p w14:paraId="47F2B1A3">
      <w:pPr>
        <w:bidi w:val="0"/>
        <w:rPr>
          <w:rFonts w:hint="default"/>
          <w:lang w:eastAsia="zh-CN"/>
        </w:rPr>
      </w:pPr>
      <w:r>
        <w:rPr>
          <w:rFonts w:hint="eastAsia"/>
          <w:b/>
          <w:bCs/>
          <w:lang w:val="en-US" w:eastAsia="zh-CN"/>
        </w:rPr>
        <w:t>推进现代财税体制改革。</w:t>
      </w:r>
      <w:r>
        <w:rPr>
          <w:rFonts w:hint="default"/>
          <w:lang w:eastAsia="zh-CN"/>
        </w:rPr>
        <w:t>深化财税体制改革，推进科学管理，优化支出结构，加强财政资源和预算统筹，建立健全财政承受能力评估机制，强化战略任务和基本民生财力保障，建立大事要事保障清单管理制度</w:t>
      </w:r>
      <w:r>
        <w:rPr>
          <w:rFonts w:hint="eastAsia"/>
          <w:lang w:eastAsia="zh-CN"/>
        </w:rPr>
        <w:t>，</w:t>
      </w:r>
      <w:r>
        <w:rPr>
          <w:rFonts w:hint="eastAsia"/>
          <w:lang w:val="en-US" w:eastAsia="zh-CN"/>
        </w:rPr>
        <w:t>动态编制富锦市重大战略任务保障清单，优先支持科技创新、产业升级等重点领域。</w:t>
      </w:r>
      <w:r>
        <w:rPr>
          <w:rFonts w:hint="default"/>
          <w:lang w:eastAsia="zh-CN"/>
        </w:rPr>
        <w:t>加强预算绩效管理，推动零基预算改革，深入推进财政体制改革</w:t>
      </w:r>
      <w:r>
        <w:rPr>
          <w:rFonts w:hint="eastAsia"/>
          <w:lang w:eastAsia="zh-CN"/>
        </w:rPr>
        <w:t>，</w:t>
      </w:r>
      <w:r>
        <w:rPr>
          <w:rFonts w:hint="eastAsia"/>
          <w:lang w:val="en-US" w:eastAsia="zh-CN"/>
        </w:rPr>
        <w:t>全面实施项目支出预算绩效评价，强化评价结果与预算安排挂钩</w:t>
      </w:r>
      <w:r>
        <w:rPr>
          <w:rFonts w:hint="default"/>
          <w:lang w:eastAsia="zh-CN"/>
        </w:rPr>
        <w:t>。落实国家对地方税收管理授权，优化税收征管机制，规范管理非税收入，拓展地方税源，增加地方自主财力</w:t>
      </w:r>
      <w:r>
        <w:rPr>
          <w:rFonts w:hint="eastAsia"/>
          <w:lang w:eastAsia="zh-CN"/>
        </w:rPr>
        <w:t>，</w:t>
      </w:r>
      <w:r>
        <w:rPr>
          <w:rFonts w:hint="eastAsia"/>
          <w:lang w:val="en-US" w:eastAsia="zh-CN"/>
        </w:rPr>
        <w:t>依法加强本地特色税源培育与征管服务，提升税收治理能力</w:t>
      </w:r>
      <w:r>
        <w:rPr>
          <w:rFonts w:hint="default"/>
          <w:lang w:eastAsia="zh-CN"/>
        </w:rPr>
        <w:t>。强化财会监督</w:t>
      </w:r>
      <w:r>
        <w:rPr>
          <w:rFonts w:hint="eastAsia"/>
          <w:lang w:eastAsia="zh-CN"/>
        </w:rPr>
        <w:t>，</w:t>
      </w:r>
      <w:r>
        <w:rPr>
          <w:rFonts w:hint="default"/>
          <w:lang w:eastAsia="zh-CN"/>
        </w:rPr>
        <w:t>加强政府债务管理，构建同高质量发展相适应的政府债务管理机制，健全全口径地方债务监测监管机制</w:t>
      </w:r>
      <w:r>
        <w:rPr>
          <w:rFonts w:hint="eastAsia"/>
          <w:lang w:eastAsia="zh-CN"/>
        </w:rPr>
        <w:t>，</w:t>
      </w:r>
      <w:r>
        <w:rPr>
          <w:rFonts w:hint="eastAsia"/>
          <w:lang w:val="en-US" w:eastAsia="zh-CN"/>
        </w:rPr>
        <w:t>建立政府债务风险预警与化解长效机制，坚决遏制隐性债务增量、稳妥化解存量</w:t>
      </w:r>
      <w:r>
        <w:rPr>
          <w:rFonts w:hint="default"/>
          <w:lang w:eastAsia="zh-CN"/>
        </w:rPr>
        <w:t>。</w:t>
      </w:r>
    </w:p>
    <w:p w14:paraId="0326542A">
      <w:pPr>
        <w:bidi w:val="0"/>
        <w:rPr>
          <w:rFonts w:hint="default"/>
          <w:lang w:eastAsia="zh-CN"/>
        </w:rPr>
      </w:pPr>
      <w:r>
        <w:rPr>
          <w:rFonts w:hint="eastAsia"/>
          <w:b/>
          <w:bCs/>
          <w:lang w:val="en-US" w:eastAsia="zh-CN"/>
        </w:rPr>
        <w:t>深化金融改革创新。</w:t>
      </w:r>
      <w:r>
        <w:rPr>
          <w:rFonts w:hint="default"/>
          <w:lang w:eastAsia="zh-CN"/>
        </w:rPr>
        <w:t>深化金融体制改革，大力发展科技金融、绿色金融、普惠金融、养老金融、数字金融，积极发展直接融资，稳步推进金融创新</w:t>
      </w:r>
      <w:r>
        <w:rPr>
          <w:rFonts w:hint="eastAsia"/>
          <w:lang w:eastAsia="zh-CN"/>
        </w:rPr>
        <w:t>，</w:t>
      </w:r>
      <w:r>
        <w:rPr>
          <w:rFonts w:hint="eastAsia"/>
          <w:lang w:val="en-US" w:eastAsia="zh-CN"/>
        </w:rPr>
        <w:t>围绕全市重点产业链与民生领域，引导金融机构创新产品与服务模式，支持符合条件的企业利用多层次资本市场融资</w:t>
      </w:r>
      <w:r>
        <w:rPr>
          <w:rFonts w:hint="default"/>
          <w:lang w:eastAsia="zh-CN"/>
        </w:rPr>
        <w:t>。优化金融机构体系，完善地方法人金融机构定位和治理，健全服务实体经济的激励约束机制，推动各类金融机构专注主业、完善治理、错位发展，推进地方中小金融机构改革化险、高质量发展</w:t>
      </w:r>
      <w:r>
        <w:rPr>
          <w:rFonts w:hint="eastAsia"/>
          <w:lang w:eastAsia="zh-CN"/>
        </w:rPr>
        <w:t>，</w:t>
      </w:r>
      <w:r>
        <w:rPr>
          <w:rFonts w:hint="eastAsia"/>
          <w:lang w:val="en-US" w:eastAsia="zh-CN"/>
        </w:rPr>
        <w:t>引导本市法人银行聚焦主责主业，深化公司治理改革，增强服务本地经济能力</w:t>
      </w:r>
      <w:r>
        <w:rPr>
          <w:rFonts w:hint="default"/>
          <w:lang w:eastAsia="zh-CN"/>
        </w:rPr>
        <w:t>。严厉打击非法金融活动，构建风险防范化解体系，保障金融稳健运行</w:t>
      </w:r>
      <w:r>
        <w:rPr>
          <w:rFonts w:hint="eastAsia"/>
          <w:lang w:eastAsia="zh-CN"/>
        </w:rPr>
        <w:t>，</w:t>
      </w:r>
      <w:r>
        <w:rPr>
          <w:rFonts w:hint="eastAsia"/>
          <w:lang w:val="en-US" w:eastAsia="zh-CN"/>
        </w:rPr>
        <w:t>健全富锦金融风险监测预警与处置协调机制，持续开展打击非法集资等专项行动，维护全市良好金融生态</w:t>
      </w:r>
      <w:r>
        <w:rPr>
          <w:rFonts w:hint="default"/>
          <w:lang w:eastAsia="zh-CN"/>
        </w:rPr>
        <w:t>。</w:t>
      </w:r>
    </w:p>
    <w:tbl>
      <w:tblPr>
        <w:tblStyle w:val="20"/>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75658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vAlign w:val="center"/>
          </w:tcPr>
          <w:p w14:paraId="167A8F1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黑体" w:cs="Times New Roman"/>
                <w:sz w:val="24"/>
              </w:rPr>
            </w:pPr>
            <w:r>
              <w:rPr>
                <w:rFonts w:hint="eastAsia" w:ascii="黑体" w:hAnsi="黑体" w:eastAsia="黑体" w:cs="黑体"/>
                <w:sz w:val="24"/>
                <w:szCs w:val="22"/>
              </w:rPr>
              <w:t>专栏</w:t>
            </w:r>
            <w:r>
              <w:rPr>
                <w:rFonts w:hint="eastAsia" w:ascii="黑体" w:hAnsi="黑体" w:eastAsia="黑体" w:cs="黑体"/>
                <w:sz w:val="24"/>
                <w:szCs w:val="22"/>
                <w:lang w:val="en-US" w:eastAsia="zh-CN"/>
              </w:rPr>
              <w:t>7</w:t>
            </w:r>
            <w:r>
              <w:rPr>
                <w:rFonts w:hint="eastAsia" w:ascii="黑体" w:hAnsi="黑体" w:eastAsia="黑体" w:cs="黑体"/>
                <w:sz w:val="24"/>
                <w:szCs w:val="22"/>
              </w:rPr>
              <w:t>-</w:t>
            </w:r>
            <w:r>
              <w:rPr>
                <w:rFonts w:hint="eastAsia" w:ascii="黑体" w:hAnsi="黑体" w:eastAsia="黑体" w:cs="黑体"/>
                <w:sz w:val="24"/>
                <w:szCs w:val="22"/>
                <w:lang w:val="en-US" w:eastAsia="zh-CN"/>
              </w:rPr>
              <w:t>1</w:t>
            </w:r>
            <w:r>
              <w:rPr>
                <w:rFonts w:hint="eastAsia" w:ascii="黑体" w:hAnsi="黑体" w:eastAsia="黑体" w:cs="黑体"/>
                <w:sz w:val="24"/>
                <w:szCs w:val="22"/>
              </w:rPr>
              <w:t xml:space="preserve"> </w:t>
            </w:r>
            <w:r>
              <w:rPr>
                <w:rFonts w:hint="eastAsia" w:ascii="黑体" w:hAnsi="黑体" w:eastAsia="黑体" w:cs="黑体"/>
                <w:sz w:val="24"/>
                <w:szCs w:val="22"/>
                <w:lang w:val="en-US" w:eastAsia="zh-CN"/>
              </w:rPr>
              <w:t>深化改革攻坚</w:t>
            </w:r>
            <w:r>
              <w:rPr>
                <w:rFonts w:hint="eastAsia" w:ascii="黑体" w:hAnsi="黑体" w:eastAsia="黑体" w:cs="黑体"/>
                <w:sz w:val="24"/>
                <w:szCs w:val="22"/>
              </w:rPr>
              <w:t>重点工程</w:t>
            </w:r>
          </w:p>
        </w:tc>
      </w:tr>
      <w:tr w14:paraId="72084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3" w:hRule="atLeast"/>
        </w:trPr>
        <w:tc>
          <w:tcPr>
            <w:tcW w:w="8522" w:type="dxa"/>
          </w:tcPr>
          <w:p w14:paraId="4C5B23DC">
            <w:pPr>
              <w:pStyle w:val="8"/>
              <w:bidi w:val="0"/>
              <w:rPr>
                <w:rFonts w:hint="eastAsia" w:ascii="楷体_GB2312" w:hAnsi="楷体_GB2312" w:eastAsia="仿宋_GB2312" w:cs="楷体_GB2312"/>
                <w:lang w:val="en-US" w:eastAsia="zh-CN"/>
              </w:rPr>
            </w:pPr>
            <w:r>
              <w:rPr>
                <w:rFonts w:hint="eastAsia" w:ascii="楷体_GB2312" w:hAnsi="楷体_GB2312" w:eastAsia="楷体_GB2312" w:cs="楷体_GB2312"/>
                <w:b/>
                <w:bCs/>
                <w:lang w:val="en-US" w:eastAsia="zh-CN"/>
              </w:rPr>
              <w:t>1.营商环境升级工程。</w:t>
            </w:r>
            <w:r>
              <w:rPr>
                <w:rFonts w:hint="eastAsia" w:ascii="楷体_GB2312" w:hAnsi="楷体_GB2312" w:eastAsia="楷体_GB2312" w:cs="楷体_GB2312"/>
                <w:lang w:eastAsia="zh-CN"/>
              </w:rPr>
              <w:t>优化拓展“锦快办”平台功能，健全线上线下融合涉企服务体系。设立富锦市</w:t>
            </w:r>
            <w:r>
              <w:rPr>
                <w:rFonts w:hint="eastAsia" w:ascii="楷体_GB2312" w:hAnsi="楷体_GB2312" w:eastAsia="楷体_GB2312" w:cs="楷体_GB2312"/>
                <w:lang w:val="en-US" w:eastAsia="zh-CN"/>
              </w:rPr>
              <w:t>现代</w:t>
            </w:r>
            <w:r>
              <w:rPr>
                <w:rFonts w:hint="eastAsia" w:ascii="楷体_GB2312" w:hAnsi="楷体_GB2312" w:eastAsia="楷体_GB2312" w:cs="楷体_GB2312"/>
                <w:lang w:eastAsia="zh-CN"/>
              </w:rPr>
              <w:t>产业发展基金，为企业提供</w:t>
            </w:r>
            <w:r>
              <w:rPr>
                <w:rFonts w:hint="eastAsia" w:ascii="楷体_GB2312" w:hAnsi="楷体_GB2312" w:eastAsia="楷体_GB2312" w:cs="楷体_GB2312"/>
                <w:lang w:val="en-US" w:eastAsia="zh-CN"/>
              </w:rPr>
              <w:t>全周期资金支持。</w:t>
            </w:r>
            <w:r>
              <w:rPr>
                <w:rFonts w:hint="eastAsia" w:ascii="楷体_GB2312" w:hAnsi="楷体_GB2312" w:eastAsia="楷体_GB2312" w:cs="楷体_GB2312"/>
                <w:lang w:eastAsia="zh-CN"/>
              </w:rPr>
              <w:t>深化“信易贷”平台应用推广。提升“12345热线+网格化”服务功能。</w:t>
            </w:r>
          </w:p>
          <w:p w14:paraId="00D83246">
            <w:pPr>
              <w:pStyle w:val="8"/>
              <w:bidi w:val="0"/>
              <w:rPr>
                <w:rFonts w:hint="default" w:ascii="楷体_GB2312" w:hAnsi="楷体_GB2312" w:eastAsia="楷体_GB2312" w:cs="楷体_GB2312"/>
                <w:b/>
                <w:bCs/>
                <w:lang w:val="en-US" w:eastAsia="zh-CN"/>
              </w:rPr>
            </w:pPr>
            <w:r>
              <w:rPr>
                <w:rFonts w:hint="default" w:ascii="楷体_GB2312" w:hAnsi="楷体_GB2312" w:eastAsia="楷体_GB2312" w:cs="楷体_GB2312"/>
                <w:b/>
                <w:bCs/>
                <w:lang w:val="en-US" w:eastAsia="zh-CN"/>
              </w:rPr>
              <w:t>2.</w:t>
            </w:r>
            <w:r>
              <w:rPr>
                <w:rFonts w:hint="eastAsia" w:ascii="楷体_GB2312" w:hAnsi="楷体_GB2312" w:eastAsia="楷体_GB2312" w:cs="楷体_GB2312"/>
                <w:b/>
                <w:bCs/>
                <w:lang w:val="en-US" w:eastAsia="zh-CN"/>
              </w:rPr>
              <w:t>国</w:t>
            </w:r>
            <w:r>
              <w:rPr>
                <w:rFonts w:hint="eastAsia" w:ascii="楷体_GB2312" w:hAnsi="楷体_GB2312" w:cs="楷体_GB2312"/>
                <w:b/>
                <w:bCs/>
                <w:lang w:val="en-US" w:eastAsia="zh-CN"/>
              </w:rPr>
              <w:t>企平台功能布局优化设计。</w:t>
            </w:r>
            <w:r>
              <w:rPr>
                <w:rFonts w:hint="eastAsia" w:ascii="楷体_GB2312" w:hAnsi="楷体_GB2312" w:cs="楷体_GB2312"/>
                <w:lang w:val="en-US" w:eastAsia="zh-CN"/>
              </w:rPr>
              <w:t>推动现有市属国资平台明晰各自功能定位、完善主责主业、增强核心竞争力，其中，（1）农投公司：作为全市现代农业供应链的组织者与综合赋能平台，聚焦农业基础设施投资运营、农业社会化服务、仓储物流供应链管理、农产品精深加工与品牌化销售、农业科技转化服务等业务；（2）城投公司：作为城市发展建设的核心投融资和运营主体，聚焦城市更新与基础设施建设、公共资产盘活运营、民生服务建设运营等业务；（3）建投公司：作为专业化工程建设与城乡发展服务商，聚焦工程施工总承包、全过程工程咨询技术服务、绿色建造与产业链整合、园林绿化与养护、乡村振兴项目建设等业务；（4）万达公司：作为产业园区专业投资运营商，聚焦园区基础配套设施建设、园区专业化运营管理、新兴产业投资与孵化、园区企业服务等业务。</w:t>
            </w:r>
          </w:p>
        </w:tc>
      </w:tr>
    </w:tbl>
    <w:p w14:paraId="65F209FB">
      <w:pPr>
        <w:pStyle w:val="2"/>
        <w:bidi w:val="0"/>
        <w:ind w:left="0" w:leftChars="0" w:firstLine="0" w:firstLineChars="0"/>
        <w:jc w:val="center"/>
        <w:rPr>
          <w:rFonts w:hint="default"/>
          <w:lang w:val="en-US" w:eastAsia="zh-CN"/>
        </w:rPr>
      </w:pPr>
      <w:r>
        <w:rPr>
          <w:rFonts w:hint="eastAsia" w:ascii="黑体" w:hAnsi="黑体" w:eastAsia="黑体" w:cs="黑体"/>
          <w:sz w:val="36"/>
          <w:szCs w:val="48"/>
          <w:lang w:val="en-US" w:eastAsia="zh-CN"/>
        </w:rPr>
        <w:br w:type="page"/>
      </w:r>
      <w:bookmarkStart w:id="52" w:name="_Toc18623"/>
      <w:r>
        <w:rPr>
          <w:rFonts w:hint="eastAsia" w:ascii="黑体" w:hAnsi="黑体" w:eastAsia="黑体" w:cs="黑体"/>
          <w:sz w:val="36"/>
          <w:szCs w:val="48"/>
          <w:lang w:val="en-US" w:eastAsia="zh-CN"/>
        </w:rPr>
        <w:t>第八章  扩大高水平对外开放，打造服务向北开放的陆港枢纽支点</w:t>
      </w:r>
      <w:bookmarkEnd w:id="52"/>
    </w:p>
    <w:p w14:paraId="308D864C">
      <w:pPr>
        <w:bidi w:val="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深度融入共建“一带一路”，积极参与“中蒙俄经济走廊”建设，统筹贸易、投资、通道、平台建设，依托“一桥一岛”提升开放合作水平，</w:t>
      </w:r>
      <w:r>
        <w:rPr>
          <w:rFonts w:hint="eastAsia" w:ascii="仿宋_GB2312" w:hAnsi="仿宋_GB2312" w:cs="仿宋_GB2312"/>
          <w:lang w:val="en-US" w:eastAsia="zh-CN"/>
        </w:rPr>
        <w:t>加快构建双向互济、江海联运的开放新格局，</w:t>
      </w:r>
      <w:r>
        <w:rPr>
          <w:rFonts w:hint="eastAsia" w:ascii="仿宋_GB2312" w:hAnsi="仿宋_GB2312" w:eastAsia="仿宋_GB2312" w:cs="仿宋_GB2312"/>
          <w:lang w:val="en-US" w:eastAsia="zh-CN"/>
        </w:rPr>
        <w:t>努力建设我国向北开放重要节点城市。</w:t>
      </w:r>
    </w:p>
    <w:p w14:paraId="0464687D">
      <w:pPr>
        <w:pStyle w:val="3"/>
        <w:bidi w:val="0"/>
        <w:rPr>
          <w:rFonts w:hint="default"/>
          <w:lang w:val="en-US" w:eastAsia="zh-CN"/>
        </w:rPr>
      </w:pPr>
      <w:bookmarkStart w:id="53" w:name="_Toc25110"/>
      <w:r>
        <w:rPr>
          <w:rFonts w:hint="eastAsia"/>
          <w:lang w:val="en-US" w:eastAsia="zh-CN"/>
        </w:rPr>
        <w:t>第一节  全力打造对俄开放合作示范平台</w:t>
      </w:r>
      <w:bookmarkEnd w:id="53"/>
    </w:p>
    <w:p w14:paraId="6AF2655C">
      <w:pPr>
        <w:bidi w:val="0"/>
        <w:rPr>
          <w:rFonts w:hint="eastAsia" w:ascii="仿宋_GB2312" w:hAnsi="仿宋_GB2312" w:eastAsia="仿宋_GB2312" w:cs="仿宋_GB2312"/>
          <w:lang w:val="en-US" w:eastAsia="zh-CN"/>
        </w:rPr>
      </w:pPr>
      <w:r>
        <w:rPr>
          <w:rFonts w:hint="eastAsia" w:ascii="仿宋_GB2312" w:hAnsi="仿宋_GB2312" w:cs="仿宋_GB2312"/>
          <w:b/>
          <w:bCs/>
          <w:lang w:val="en-US" w:eastAsia="zh-CN"/>
        </w:rPr>
        <w:t>推进跨境产业集群建设。</w:t>
      </w:r>
      <w:r>
        <w:rPr>
          <w:rFonts w:hint="eastAsia" w:ascii="仿宋_GB2312" w:hAnsi="仿宋_GB2312" w:eastAsia="仿宋_GB2312" w:cs="仿宋_GB2312"/>
          <w:lang w:val="en-US" w:eastAsia="zh-CN"/>
        </w:rPr>
        <w:t>把握黑龙江省构筑向北开放新高地的战略机遇，主动融入“一桥一岛”“佳富同抚”对外贸易经济带建设，充分发挥富锦口岸开通运营的有利条件，推动俄罗斯煤炭、木材、天然气、粮食等货物在富锦储运加工，形成对俄跨境产业集群，加快推进LPG铁路跨境运输通道、LPG储配站改造、</w:t>
      </w:r>
      <w:r>
        <w:rPr>
          <w:rFonts w:hint="eastAsia" w:ascii="仿宋_GB2312" w:hAnsi="仿宋_GB2312" w:eastAsia="仿宋_GB2312" w:cs="仿宋_GB2312"/>
          <w:highlight w:val="none"/>
          <w:lang w:val="en-US" w:eastAsia="zh-CN"/>
        </w:rPr>
        <w:t>油菜籽跨境加工等项目建设</w:t>
      </w:r>
      <w:r>
        <w:rPr>
          <w:rFonts w:hint="eastAsia" w:ascii="仿宋_GB2312" w:hAnsi="仿宋_GB2312" w:cs="仿宋_GB2312"/>
          <w:lang w:val="en-US" w:eastAsia="zh-CN"/>
        </w:rPr>
        <w:t>，夯实对俄经贸合作的产业基础与物流支撑</w:t>
      </w:r>
      <w:r>
        <w:rPr>
          <w:rFonts w:hint="eastAsia" w:ascii="仿宋_GB2312" w:hAnsi="仿宋_GB2312" w:eastAsia="仿宋_GB2312" w:cs="仿宋_GB2312"/>
          <w:lang w:val="en-US" w:eastAsia="zh-CN"/>
        </w:rPr>
        <w:t>。</w:t>
      </w:r>
    </w:p>
    <w:p w14:paraId="0AA208E8">
      <w:pPr>
        <w:bidi w:val="0"/>
        <w:rPr>
          <w:rFonts w:hint="eastAsia" w:ascii="仿宋_GB2312" w:hAnsi="仿宋_GB2312" w:eastAsia="仿宋_GB2312" w:cs="仿宋_GB2312"/>
          <w:lang w:val="en-US" w:eastAsia="zh-CN"/>
        </w:rPr>
      </w:pPr>
      <w:r>
        <w:rPr>
          <w:rFonts w:hint="eastAsia" w:ascii="仿宋_GB2312" w:hAnsi="仿宋_GB2312" w:cs="仿宋_GB2312"/>
          <w:b/>
          <w:bCs/>
          <w:lang w:val="en-US" w:eastAsia="zh-CN"/>
        </w:rPr>
        <w:t>建设机械及特色工业品出口基地。</w:t>
      </w:r>
      <w:r>
        <w:rPr>
          <w:rFonts w:hint="eastAsia" w:ascii="仿宋_GB2312" w:hAnsi="仿宋_GB2312" w:eastAsia="仿宋_GB2312" w:cs="仿宋_GB2312"/>
          <w:lang w:val="en-US" w:eastAsia="zh-CN"/>
        </w:rPr>
        <w:t>依托</w:t>
      </w:r>
      <w:r>
        <w:rPr>
          <w:rFonts w:hint="eastAsia" w:ascii="仿宋_GB2312" w:hAnsi="仿宋_GB2312" w:eastAsia="仿宋_GB2312" w:cs="仿宋_GB2312"/>
        </w:rPr>
        <w:t>对俄开放港口</w:t>
      </w:r>
      <w:r>
        <w:rPr>
          <w:rFonts w:hint="eastAsia" w:ascii="仿宋_GB2312" w:hAnsi="仿宋_GB2312" w:eastAsia="仿宋_GB2312" w:cs="仿宋_GB2312"/>
          <w:lang w:eastAsia="zh-CN"/>
        </w:rPr>
        <w:t>的</w:t>
      </w:r>
      <w:r>
        <w:rPr>
          <w:rFonts w:hint="eastAsia" w:ascii="仿宋_GB2312" w:hAnsi="仿宋_GB2312" w:eastAsia="仿宋_GB2312" w:cs="仿宋_GB2312"/>
        </w:rPr>
        <w:t>辐射窗口和地缘优势，立足</w:t>
      </w:r>
      <w:r>
        <w:rPr>
          <w:rFonts w:hint="eastAsia" w:ascii="仿宋_GB2312" w:hAnsi="仿宋_GB2312" w:eastAsia="仿宋_GB2312" w:cs="仿宋_GB2312"/>
          <w:lang w:val="en-US" w:eastAsia="zh-CN"/>
        </w:rPr>
        <w:t>现有</w:t>
      </w:r>
      <w:r>
        <w:rPr>
          <w:rFonts w:hint="eastAsia" w:ascii="仿宋_GB2312" w:hAnsi="仿宋_GB2312" w:eastAsia="仿宋_GB2312" w:cs="仿宋_GB2312"/>
        </w:rPr>
        <w:t>农机制造产业基础，大力</w:t>
      </w:r>
      <w:r>
        <w:rPr>
          <w:rFonts w:hint="eastAsia" w:ascii="仿宋_GB2312" w:hAnsi="仿宋_GB2312" w:eastAsia="仿宋_GB2312" w:cs="仿宋_GB2312"/>
          <w:lang w:val="en-US" w:eastAsia="zh-CN"/>
        </w:rPr>
        <w:t>发展</w:t>
      </w:r>
      <w:r>
        <w:rPr>
          <w:rFonts w:hint="eastAsia" w:ascii="仿宋_GB2312" w:hAnsi="仿宋_GB2312" w:eastAsia="仿宋_GB2312" w:cs="仿宋_GB2312"/>
        </w:rPr>
        <w:t>智能农机、重型机器及配件、汽车等商品出口，建设面向俄罗斯市场的机械产品加工区，实现前方口岸</w:t>
      </w:r>
      <w:r>
        <w:rPr>
          <w:rFonts w:hint="eastAsia" w:ascii="仿宋_GB2312" w:hAnsi="仿宋_GB2312" w:eastAsia="仿宋_GB2312" w:cs="仿宋_GB2312"/>
          <w:lang w:val="en-US" w:eastAsia="zh-CN"/>
        </w:rPr>
        <w:t>与</w:t>
      </w:r>
      <w:r>
        <w:rPr>
          <w:rFonts w:hint="eastAsia" w:ascii="仿宋_GB2312" w:hAnsi="仿宋_GB2312" w:eastAsia="仿宋_GB2312" w:cs="仿宋_GB2312"/>
        </w:rPr>
        <w:t>后方生产基地</w:t>
      </w:r>
      <w:r>
        <w:rPr>
          <w:rFonts w:hint="eastAsia" w:ascii="仿宋_GB2312" w:hAnsi="仿宋_GB2312" w:eastAsia="仿宋_GB2312" w:cs="仿宋_GB2312"/>
          <w:lang w:val="en-US" w:eastAsia="zh-CN"/>
        </w:rPr>
        <w:t>高效联动</w:t>
      </w:r>
      <w:r>
        <w:rPr>
          <w:rFonts w:hint="eastAsia" w:ascii="仿宋_GB2312" w:hAnsi="仿宋_GB2312" w:eastAsia="仿宋_GB2312" w:cs="仿宋_GB2312"/>
        </w:rPr>
        <w:t>。</w:t>
      </w:r>
      <w:r>
        <w:rPr>
          <w:rFonts w:hint="eastAsia" w:ascii="仿宋_GB2312" w:hAnsi="仿宋_GB2312" w:eastAsia="仿宋_GB2312" w:cs="仿宋_GB2312"/>
          <w:lang w:val="en-US" w:eastAsia="zh-CN"/>
        </w:rPr>
        <w:t>加大俄方市场需求的重型机械、矿用自卸车及石化产品出口量，助力本地企业开拓国际市场、增加收益。</w:t>
      </w:r>
    </w:p>
    <w:p w14:paraId="694729A1">
      <w:pPr>
        <w:bidi w:val="0"/>
        <w:rPr>
          <w:rFonts w:hint="eastAsia" w:ascii="仿宋_GB2312" w:hAnsi="仿宋_GB2312" w:eastAsia="仿宋_GB2312" w:cs="仿宋_GB2312"/>
        </w:rPr>
      </w:pPr>
      <w:r>
        <w:rPr>
          <w:rFonts w:hint="eastAsia" w:ascii="仿宋_GB2312" w:hAnsi="仿宋_GB2312" w:cs="仿宋_GB2312"/>
          <w:b/>
          <w:bCs/>
          <w:lang w:val="en-US" w:eastAsia="zh-CN"/>
        </w:rPr>
        <w:t>加强对俄农业跨境合作。</w:t>
      </w:r>
      <w:r>
        <w:rPr>
          <w:rFonts w:hint="eastAsia" w:ascii="仿宋_GB2312" w:hAnsi="仿宋_GB2312" w:eastAsia="仿宋_GB2312" w:cs="仿宋_GB2312"/>
        </w:rPr>
        <w:t>拓展对俄果蔬出口产业，</w:t>
      </w:r>
      <w:r>
        <w:rPr>
          <w:rFonts w:hint="eastAsia" w:ascii="仿宋_GB2312" w:hAnsi="仿宋_GB2312" w:eastAsia="仿宋_GB2312" w:cs="仿宋_GB2312"/>
          <w:lang w:val="en-US" w:eastAsia="zh-CN"/>
        </w:rPr>
        <w:t>重点发展</w:t>
      </w:r>
      <w:r>
        <w:rPr>
          <w:rFonts w:hint="eastAsia" w:ascii="仿宋_GB2312" w:hAnsi="仿宋_GB2312" w:eastAsia="仿宋_GB2312" w:cs="仿宋_GB2312"/>
        </w:rPr>
        <w:t>圆葱、毛葱、马铃薯、旱地甘蓝等品种，打造对俄绿色有机蔬菜合作基地，带动全市对俄出口蔬菜基地</w:t>
      </w:r>
      <w:r>
        <w:rPr>
          <w:rFonts w:hint="eastAsia" w:ascii="仿宋_GB2312" w:hAnsi="仿宋_GB2312" w:eastAsia="仿宋_GB2312" w:cs="仿宋_GB2312"/>
          <w:lang w:val="en-US" w:eastAsia="zh-CN"/>
        </w:rPr>
        <w:t>建设</w:t>
      </w:r>
      <w:r>
        <w:rPr>
          <w:rFonts w:hint="eastAsia" w:ascii="仿宋_GB2312" w:hAnsi="仿宋_GB2312" w:eastAsia="仿宋_GB2312" w:cs="仿宋_GB2312"/>
        </w:rPr>
        <w:t>，配套推进公用型保税冷库及查验设备等国际冷链物流</w:t>
      </w:r>
      <w:r>
        <w:rPr>
          <w:rFonts w:hint="eastAsia" w:ascii="仿宋_GB2312" w:hAnsi="仿宋_GB2312" w:eastAsia="仿宋_GB2312" w:cs="仿宋_GB2312"/>
          <w:lang w:val="en-US" w:eastAsia="zh-CN"/>
        </w:rPr>
        <w:t>设施</w:t>
      </w:r>
      <w:r>
        <w:rPr>
          <w:rFonts w:hint="eastAsia" w:ascii="仿宋_GB2312" w:hAnsi="仿宋_GB2312" w:eastAsia="仿宋_GB2312" w:cs="仿宋_GB2312"/>
        </w:rPr>
        <w:t>。</w:t>
      </w:r>
    </w:p>
    <w:p w14:paraId="2B8DF858">
      <w:pPr>
        <w:bidi w:val="0"/>
        <w:rPr>
          <w:rFonts w:hint="eastAsia" w:ascii="仿宋_GB2312" w:hAnsi="仿宋_GB2312" w:eastAsia="仿宋_GB2312" w:cs="仿宋_GB2312"/>
          <w:lang w:val="en-US" w:eastAsia="zh-CN"/>
        </w:rPr>
      </w:pPr>
      <w:r>
        <w:rPr>
          <w:rFonts w:hint="eastAsia" w:ascii="仿宋_GB2312" w:hAnsi="仿宋_GB2312" w:cs="仿宋_GB2312"/>
          <w:b/>
          <w:bCs/>
          <w:lang w:val="en-US" w:eastAsia="zh-CN"/>
        </w:rPr>
        <w:t>加强对俄服务平台建设。</w:t>
      </w:r>
      <w:r>
        <w:rPr>
          <w:rFonts w:hint="eastAsia" w:ascii="仿宋_GB2312" w:hAnsi="仿宋_GB2312" w:eastAsia="仿宋_GB2312" w:cs="仿宋_GB2312"/>
          <w:lang w:val="en-US" w:eastAsia="zh-CN"/>
        </w:rPr>
        <w:t>紧抓新港口建设和同江铁路大桥开通机遇，积极对接对俄服务贸易需求，谋划建设对俄合作咨询服务平台，为外向型企业提供资源对接、经贸培训、服务代理和项目落地转化等综合服务，推动中俄贸易孵化产业园项目落地。</w:t>
      </w:r>
    </w:p>
    <w:p w14:paraId="761D6837">
      <w:pPr>
        <w:pStyle w:val="3"/>
        <w:bidi w:val="0"/>
        <w:rPr>
          <w:rFonts w:hint="default"/>
          <w:lang w:val="en-US" w:eastAsia="zh-CN"/>
        </w:rPr>
      </w:pPr>
      <w:bookmarkStart w:id="54" w:name="_Toc20359"/>
      <w:r>
        <w:rPr>
          <w:rFonts w:hint="eastAsia"/>
          <w:lang w:val="en-US" w:eastAsia="zh-CN"/>
        </w:rPr>
        <w:t>第二节  畅通“港产联动”的立体互联互通网络</w:t>
      </w:r>
      <w:bookmarkEnd w:id="54"/>
    </w:p>
    <w:p w14:paraId="1065BB38">
      <w:pPr>
        <w:bidi w:val="0"/>
        <w:rPr>
          <w:rFonts w:hint="default"/>
          <w:lang w:val="en-US" w:eastAsia="zh-CN"/>
        </w:rPr>
      </w:pPr>
      <w:r>
        <w:rPr>
          <w:rFonts w:hint="eastAsia"/>
          <w:b/>
          <w:bCs/>
          <w:lang w:val="en-US" w:eastAsia="zh-CN"/>
        </w:rPr>
        <w:t>加强口岸基础设施建设。</w:t>
      </w:r>
      <w:r>
        <w:rPr>
          <w:rFonts w:hint="default"/>
        </w:rPr>
        <w:t>推进佳同铁路扩能改造、打造江海联运大通道，</w:t>
      </w:r>
      <w:r>
        <w:rPr>
          <w:rFonts w:hint="default"/>
          <w:lang w:val="en-US" w:eastAsia="zh-CN"/>
        </w:rPr>
        <w:t>依托富锦港作为松花江内河常年可通航千吨驳船的深水港优势，抢抓佳木斯入选陆港型国家物流枢纽重大历史机遇，与省口岸办、海关等部门对接，进一步完善口岸基础设施，建设千吨级泊位及后方堆场，为进口俄罗斯煤炭、木材、粮食等大宗货物提供专业化卸船码头和仓储场地。推进老口岸升级改造，加快新口岸智能化、现代化建设，促进新老口岸功能差异化协调发展。</w:t>
      </w:r>
    </w:p>
    <w:p w14:paraId="10D14A61">
      <w:pPr>
        <w:bidi w:val="0"/>
        <w:rPr>
          <w:rFonts w:hint="eastAsia" w:ascii="仿宋_GB2312" w:hAnsi="仿宋_GB2312" w:eastAsia="仿宋_GB2312" w:cs="仿宋_GB2312"/>
          <w:lang w:val="en-US" w:eastAsia="zh-CN"/>
        </w:rPr>
      </w:pPr>
      <w:r>
        <w:rPr>
          <w:rFonts w:hint="eastAsia"/>
          <w:b/>
          <w:bCs/>
          <w:lang w:val="en-US" w:eastAsia="zh-CN"/>
        </w:rPr>
        <w:t>优化拓展口岸功能。</w:t>
      </w:r>
      <w:r>
        <w:rPr>
          <w:rFonts w:hint="eastAsia"/>
        </w:rPr>
        <w:t>立足煤炭、木材、</w:t>
      </w:r>
      <w:r>
        <w:rPr>
          <w:rFonts w:hint="eastAsia"/>
          <w:lang w:val="en-US" w:eastAsia="zh-CN"/>
        </w:rPr>
        <w:t>粮食</w:t>
      </w:r>
      <w:r>
        <w:rPr>
          <w:rFonts w:hint="eastAsia"/>
        </w:rPr>
        <w:t>等</w:t>
      </w:r>
      <w:r>
        <w:rPr>
          <w:rFonts w:hint="eastAsia"/>
          <w:lang w:eastAsia="zh-CN"/>
        </w:rPr>
        <w:t>原材</w:t>
      </w:r>
      <w:r>
        <w:rPr>
          <w:rFonts w:hint="eastAsia"/>
        </w:rPr>
        <w:t>料进口基础，</w:t>
      </w:r>
      <w:r>
        <w:rPr>
          <w:rFonts w:hint="eastAsia"/>
          <w:lang w:val="en-US" w:eastAsia="zh-CN"/>
        </w:rPr>
        <w:t>支持水泥产品出口、沥青原材料进口等外贸方向，</w:t>
      </w:r>
      <w:r>
        <w:rPr>
          <w:rFonts w:hint="eastAsia"/>
        </w:rPr>
        <w:t>拓展口岸进口功能，</w:t>
      </w:r>
      <w:r>
        <w:rPr>
          <w:rFonts w:hint="eastAsia"/>
          <w:lang w:val="en-US" w:eastAsia="zh-CN"/>
        </w:rPr>
        <w:t>丰富</w:t>
      </w:r>
      <w:r>
        <w:rPr>
          <w:rFonts w:hint="eastAsia"/>
        </w:rPr>
        <w:t>进口品类，</w:t>
      </w:r>
      <w:r>
        <w:rPr>
          <w:rFonts w:hint="eastAsia"/>
          <w:lang w:val="en-US" w:eastAsia="zh-CN"/>
        </w:rPr>
        <w:t>确保口岸功能与本地产业需求精准匹配。聚焦大宗商品进口便利化，</w:t>
      </w:r>
      <w:r>
        <w:rPr>
          <w:rFonts w:hint="eastAsia"/>
        </w:rPr>
        <w:t>积极申请粮食进口指定</w:t>
      </w:r>
      <w:r>
        <w:rPr>
          <w:rFonts w:hint="eastAsia" w:ascii="仿宋_GB2312" w:hAnsi="仿宋_GB2312" w:eastAsia="仿宋_GB2312" w:cs="仿宋_GB2312"/>
          <w:lang w:val="en-US" w:eastAsia="zh-CN"/>
        </w:rPr>
        <w:t>口岸资质</w:t>
      </w:r>
      <w:r>
        <w:rPr>
          <w:rFonts w:hint="eastAsia" w:ascii="仿宋_GB2312" w:hAnsi="仿宋_GB2312" w:cs="仿宋_GB2312"/>
          <w:lang w:val="en-US" w:eastAsia="zh-CN"/>
        </w:rPr>
        <w:t>，提升口岸对重点品类货物的承接与服务能力，强化对俄经贸合作的支撑作用</w:t>
      </w:r>
      <w:r>
        <w:rPr>
          <w:rFonts w:hint="eastAsia" w:ascii="仿宋_GB2312" w:hAnsi="仿宋_GB2312" w:eastAsia="仿宋_GB2312" w:cs="仿宋_GB2312"/>
          <w:lang w:val="en-US" w:eastAsia="zh-CN"/>
        </w:rPr>
        <w:t>。</w:t>
      </w:r>
    </w:p>
    <w:p w14:paraId="25334009">
      <w:pPr>
        <w:bidi w:val="0"/>
        <w:rPr>
          <w:rFonts w:hint="default"/>
          <w:lang w:val="en-US" w:eastAsia="zh-CN"/>
        </w:rPr>
      </w:pPr>
      <w:r>
        <w:rPr>
          <w:rFonts w:hint="eastAsia" w:ascii="仿宋_GB2312" w:hAnsi="仿宋_GB2312" w:cs="仿宋_GB2312"/>
          <w:b/>
          <w:bCs/>
          <w:lang w:val="en-US" w:eastAsia="zh-CN"/>
        </w:rPr>
        <w:t>构建多式联运立体网络。</w:t>
      </w:r>
      <w:r>
        <w:rPr>
          <w:rFonts w:hint="eastAsia" w:ascii="仿宋_GB2312" w:hAnsi="仿宋_GB2312" w:eastAsia="仿宋_GB2312" w:cs="仿宋_GB2312"/>
          <w:lang w:val="en-US" w:eastAsia="zh-CN"/>
        </w:rPr>
        <w:t>以富锦港港区为核心，衔接佳同铁路扩能改造与危化园区铁路专线项目，强化多式联运与水路运输能力，构建“铁路+水运+公路”无缝衔接的立体物流网络</w:t>
      </w:r>
      <w:r>
        <w:rPr>
          <w:rFonts w:hint="eastAsia" w:ascii="仿宋_GB2312" w:hAnsi="仿宋_GB2312" w:cs="仿宋_GB2312"/>
          <w:lang w:val="en-US" w:eastAsia="zh-CN"/>
        </w:rPr>
        <w:t>。</w:t>
      </w:r>
      <w:r>
        <w:rPr>
          <w:rFonts w:hint="eastAsia" w:ascii="仿宋_GB2312" w:hAnsi="仿宋_GB2312" w:eastAsia="仿宋_GB2312" w:cs="仿宋_GB2312"/>
          <w:lang w:val="en-US" w:eastAsia="zh-CN"/>
        </w:rPr>
        <w:t>推动中俄能源多式联运跨境合作示范区项目建设，培育临港经济，推动形成以木材加工、对俄贸易、清洁能源等领域为重点的临港产业集群。</w:t>
      </w:r>
    </w:p>
    <w:p w14:paraId="21857981">
      <w:pPr>
        <w:pStyle w:val="3"/>
        <w:bidi w:val="0"/>
        <w:rPr>
          <w:rFonts w:hint="default"/>
          <w:lang w:val="en-US" w:eastAsia="zh-CN"/>
        </w:rPr>
      </w:pPr>
      <w:bookmarkStart w:id="55" w:name="_Toc5638"/>
      <w:r>
        <w:rPr>
          <w:rFonts w:hint="eastAsia"/>
          <w:lang w:val="en-US" w:eastAsia="zh-CN"/>
        </w:rPr>
        <w:t>第三节  高质量发展“江海联运”的口岸经济</w:t>
      </w:r>
      <w:bookmarkEnd w:id="55"/>
    </w:p>
    <w:p w14:paraId="1FB214EE">
      <w:pPr>
        <w:bidi w:val="0"/>
        <w:rPr>
          <w:rFonts w:hint="default"/>
        </w:rPr>
      </w:pPr>
      <w:r>
        <w:rPr>
          <w:rFonts w:hint="eastAsia"/>
          <w:b/>
          <w:bCs/>
          <w:lang w:val="en-US" w:eastAsia="zh-CN"/>
        </w:rPr>
        <w:t>锚定口岸经济战略定位，构筑江海联运核心支撑。</w:t>
      </w:r>
      <w:r>
        <w:rPr>
          <w:rFonts w:hint="eastAsia"/>
        </w:rPr>
        <w:t>深度融入黑龙江省向北开放新高地与“佳富同抚”对外贸易经济带建设，立足富锦港松花江千吨级深水港优势与佳木斯陆港型国家物流枢纽</w:t>
      </w:r>
      <w:r>
        <w:rPr>
          <w:rFonts w:hint="eastAsia"/>
          <w:lang w:val="en-US" w:eastAsia="zh-CN"/>
        </w:rPr>
        <w:t>辅助功能区</w:t>
      </w:r>
      <w:r>
        <w:rPr>
          <w:rFonts w:hint="eastAsia"/>
        </w:rPr>
        <w:t>定位，</w:t>
      </w:r>
      <w:r>
        <w:rPr>
          <w:rFonts w:hint="eastAsia"/>
          <w:lang w:val="en-US" w:eastAsia="zh-CN"/>
        </w:rPr>
        <w:t>以江海联运通道建设为核心，</w:t>
      </w:r>
      <w:r>
        <w:rPr>
          <w:rFonts w:hint="default"/>
        </w:rPr>
        <w:t>优化口岸发展布局，明晰口岸定位，一体推进口岸功能提升、口岸经济发展</w:t>
      </w:r>
      <w:r>
        <w:rPr>
          <w:rFonts w:hint="eastAsia"/>
          <w:lang w:eastAsia="zh-CN"/>
        </w:rPr>
        <w:t>，</w:t>
      </w:r>
      <w:r>
        <w:rPr>
          <w:rFonts w:hint="default"/>
        </w:rPr>
        <w:t>全力打造中俄能源多式联运跨境合作示范区</w:t>
      </w:r>
      <w:r>
        <w:rPr>
          <w:rFonts w:hint="eastAsia"/>
          <w:lang w:eastAsia="zh-CN"/>
        </w:rPr>
        <w:t>，</w:t>
      </w:r>
      <w:r>
        <w:rPr>
          <w:rFonts w:hint="default"/>
        </w:rPr>
        <w:t>形成产业转型升级的重要突破口和新的增长点。</w:t>
      </w:r>
    </w:p>
    <w:p w14:paraId="0C805669">
      <w:pPr>
        <w:bidi w:val="0"/>
        <w:rPr>
          <w:rFonts w:hint="default"/>
        </w:rPr>
      </w:pPr>
      <w:r>
        <w:rPr>
          <w:rFonts w:hint="eastAsia"/>
          <w:b/>
          <w:bCs/>
          <w:lang w:val="en-US" w:eastAsia="zh-CN"/>
        </w:rPr>
        <w:t>聚焦口岸经济核心领域，壮大外经贸市场主体。</w:t>
      </w:r>
      <w:r>
        <w:rPr>
          <w:rFonts w:hint="eastAsia"/>
          <w:lang w:val="en-US" w:eastAsia="zh-CN"/>
        </w:rPr>
        <w:t>围绕跨境物流、农产品精深加工、木材加工、能源储运等口岸经济重点赛道，精准</w:t>
      </w:r>
      <w:r>
        <w:rPr>
          <w:rFonts w:hint="default"/>
        </w:rPr>
        <w:t>招引优质</w:t>
      </w:r>
      <w:r>
        <w:rPr>
          <w:rFonts w:hint="eastAsia"/>
          <w:lang w:val="en-US" w:eastAsia="zh-CN"/>
        </w:rPr>
        <w:t>龙头</w:t>
      </w:r>
      <w:r>
        <w:rPr>
          <w:rFonts w:hint="default"/>
        </w:rPr>
        <w:t>企业</w:t>
      </w:r>
      <w:r>
        <w:rPr>
          <w:rFonts w:hint="eastAsia"/>
          <w:lang w:val="en-US" w:eastAsia="zh-CN"/>
        </w:rPr>
        <w:t>与配套项目</w:t>
      </w:r>
      <w:r>
        <w:rPr>
          <w:rFonts w:hint="default"/>
        </w:rPr>
        <w:t>，培育壮大外经贸</w:t>
      </w:r>
      <w:r>
        <w:rPr>
          <w:rFonts w:hint="eastAsia"/>
          <w:lang w:val="en-US" w:eastAsia="zh-CN"/>
        </w:rPr>
        <w:t>市场</w:t>
      </w:r>
      <w:r>
        <w:rPr>
          <w:rFonts w:hint="default"/>
        </w:rPr>
        <w:t>主体规模，推动外贸产业集聚，</w:t>
      </w:r>
      <w:r>
        <w:rPr>
          <w:rFonts w:hint="eastAsia"/>
          <w:lang w:val="en-US" w:eastAsia="zh-CN"/>
        </w:rPr>
        <w:t>增强口岸经济核心竞争力，</w:t>
      </w:r>
      <w:r>
        <w:rPr>
          <w:rFonts w:hint="default"/>
        </w:rPr>
        <w:t>开拓多元化国际市场</w:t>
      </w:r>
      <w:r>
        <w:rPr>
          <w:rFonts w:hint="eastAsia"/>
          <w:lang w:eastAsia="zh-CN"/>
        </w:rPr>
        <w:t>，</w:t>
      </w:r>
      <w:r>
        <w:rPr>
          <w:rFonts w:hint="eastAsia"/>
          <w:lang w:val="en-US" w:eastAsia="zh-CN"/>
        </w:rPr>
        <w:t>打破单一市场依赖，增强富锦口岸经济发展的稳定性与抗风险能力</w:t>
      </w:r>
      <w:r>
        <w:rPr>
          <w:rFonts w:hint="default"/>
        </w:rPr>
        <w:t>。</w:t>
      </w:r>
    </w:p>
    <w:p w14:paraId="35A15CCA">
      <w:pPr>
        <w:bidi w:val="0"/>
        <w:rPr>
          <w:rFonts w:hint="default"/>
        </w:rPr>
      </w:pPr>
      <w:r>
        <w:rPr>
          <w:rFonts w:hint="eastAsia"/>
          <w:b/>
          <w:bCs/>
          <w:lang w:val="en-US" w:eastAsia="zh-CN"/>
        </w:rPr>
        <w:t>优化口岸贸易品类结构，构建联动产业链体系。</w:t>
      </w:r>
      <w:r>
        <w:rPr>
          <w:rFonts w:hint="eastAsia"/>
          <w:b w:val="0"/>
          <w:bCs w:val="0"/>
          <w:lang w:val="en-US" w:eastAsia="zh-CN"/>
        </w:rPr>
        <w:t>以口岸为枢纽，</w:t>
      </w:r>
      <w:r>
        <w:rPr>
          <w:rFonts w:hint="default"/>
        </w:rPr>
        <w:t>优化拓展进出口货物品类，建设出口货物集散基地，用好境内外两个市场、两种资源，</w:t>
      </w:r>
      <w:r>
        <w:rPr>
          <w:rFonts w:hint="eastAsia"/>
          <w:lang w:val="en-US" w:eastAsia="zh-CN"/>
        </w:rPr>
        <w:t>夯实口岸经济发展基础。依托江海联运通道优势，</w:t>
      </w:r>
      <w:r>
        <w:rPr>
          <w:rFonts w:hint="default"/>
        </w:rPr>
        <w:t>构建承接国内外产业转移和对外贸易加工的境内外联动产业链，</w:t>
      </w:r>
      <w:r>
        <w:rPr>
          <w:rFonts w:hint="eastAsia"/>
          <w:lang w:val="en-US" w:eastAsia="zh-CN"/>
        </w:rPr>
        <w:t>推动上下游产业协同发展，实现“进口原料－口岸加工－出口成品”的闭环运作，</w:t>
      </w:r>
      <w:r>
        <w:rPr>
          <w:rFonts w:hint="default"/>
        </w:rPr>
        <w:t>打造外向型经济</w:t>
      </w:r>
      <w:r>
        <w:rPr>
          <w:rFonts w:hint="eastAsia"/>
          <w:lang w:val="en-US" w:eastAsia="zh-CN"/>
        </w:rPr>
        <w:t>发展的</w:t>
      </w:r>
      <w:r>
        <w:rPr>
          <w:rFonts w:hint="default"/>
        </w:rPr>
        <w:t>动力源。</w:t>
      </w:r>
    </w:p>
    <w:p w14:paraId="39F9772C">
      <w:pPr>
        <w:pStyle w:val="3"/>
        <w:bidi w:val="0"/>
        <w:rPr>
          <w:rFonts w:hint="default"/>
          <w:lang w:val="en-US" w:eastAsia="zh-CN"/>
        </w:rPr>
      </w:pPr>
      <w:bookmarkStart w:id="56" w:name="_Toc9349"/>
      <w:r>
        <w:rPr>
          <w:rFonts w:hint="eastAsia"/>
          <w:lang w:val="en-US" w:eastAsia="zh-CN"/>
        </w:rPr>
        <w:t>第四节  全面提升富锦对外经贸合作水平</w:t>
      </w:r>
      <w:bookmarkEnd w:id="56"/>
      <w:r>
        <w:rPr>
          <w:rFonts w:hint="eastAsia"/>
          <w:lang w:val="en-US" w:eastAsia="zh-CN"/>
        </w:rPr>
        <w:t xml:space="preserve">  </w:t>
      </w:r>
    </w:p>
    <w:p w14:paraId="0A6C19A0">
      <w:pPr>
        <w:bidi w:val="0"/>
        <w:rPr>
          <w:rFonts w:hint="eastAsia" w:ascii="仿宋_GB2312" w:hAnsi="仿宋_GB2312" w:eastAsia="仿宋_GB2312" w:cs="仿宋_GB2312"/>
        </w:rPr>
      </w:pPr>
      <w:r>
        <w:rPr>
          <w:rFonts w:hint="eastAsia" w:ascii="仿宋_GB2312" w:hAnsi="仿宋_GB2312" w:eastAsia="仿宋_GB2312" w:cs="仿宋_GB2312"/>
          <w:b/>
          <w:bCs/>
          <w:lang w:val="en-US" w:eastAsia="zh-CN"/>
        </w:rPr>
        <w:t>打造对俄外贸综合服务枢纽。</w:t>
      </w:r>
      <w:r>
        <w:rPr>
          <w:rFonts w:hint="eastAsia" w:ascii="仿宋_GB2312" w:hAnsi="仿宋_GB2312" w:eastAsia="仿宋_GB2312" w:cs="仿宋_GB2312"/>
        </w:rPr>
        <w:t>深化与</w:t>
      </w:r>
      <w:r>
        <w:rPr>
          <w:rFonts w:hint="eastAsia" w:ascii="仿宋_GB2312" w:hAnsi="仿宋_GB2312" w:eastAsia="仿宋_GB2312" w:cs="仿宋_GB2312"/>
          <w:lang w:val="en-US" w:eastAsia="zh-CN"/>
        </w:rPr>
        <w:t>俄罗斯</w:t>
      </w:r>
      <w:r>
        <w:rPr>
          <w:rFonts w:hint="eastAsia" w:ascii="仿宋_GB2312" w:hAnsi="仿宋_GB2312" w:eastAsia="仿宋_GB2312" w:cs="仿宋_GB2312"/>
        </w:rPr>
        <w:t>远东地区能源、交通、通信等领域合作，</w:t>
      </w:r>
      <w:r>
        <w:rPr>
          <w:rFonts w:hint="eastAsia" w:ascii="仿宋_GB2312" w:hAnsi="仿宋_GB2312" w:eastAsia="仿宋_GB2312" w:cs="仿宋_GB2312"/>
          <w:lang w:val="en-US" w:eastAsia="zh-CN"/>
        </w:rPr>
        <w:t>推动</w:t>
      </w:r>
      <w:r>
        <w:rPr>
          <w:rFonts w:hint="eastAsia" w:ascii="仿宋_GB2312" w:hAnsi="仿宋_GB2312" w:eastAsia="仿宋_GB2312" w:cs="仿宋_GB2312"/>
        </w:rPr>
        <w:t>中俄能源跨境储运加工、国际物流信息共享等项目建设</w:t>
      </w:r>
      <w:r>
        <w:rPr>
          <w:rFonts w:hint="eastAsia" w:ascii="仿宋_GB2312" w:hAnsi="仿宋_GB2312" w:eastAsia="仿宋_GB2312" w:cs="仿宋_GB2312"/>
          <w:lang w:val="en-US" w:eastAsia="zh-CN"/>
        </w:rPr>
        <w:t>。</w:t>
      </w:r>
      <w:r>
        <w:rPr>
          <w:rFonts w:hint="eastAsia" w:ascii="仿宋_GB2312" w:hAnsi="仿宋_GB2312" w:eastAsia="仿宋_GB2312" w:cs="仿宋_GB2312"/>
        </w:rPr>
        <w:t>提升跨境结算服务质效，探索开展</w:t>
      </w:r>
      <w:r>
        <w:rPr>
          <w:rFonts w:hint="eastAsia" w:ascii="仿宋_GB2312" w:hAnsi="仿宋_GB2312" w:cs="仿宋_GB2312"/>
          <w:lang w:val="en-US" w:eastAsia="zh-CN"/>
        </w:rPr>
        <w:t>符合富锦外贸实际的</w:t>
      </w:r>
      <w:r>
        <w:rPr>
          <w:rFonts w:hint="eastAsia" w:ascii="仿宋_GB2312" w:hAnsi="仿宋_GB2312" w:eastAsia="仿宋_GB2312" w:cs="仿宋_GB2312"/>
        </w:rPr>
        <w:t>本币结算便利化试点</w:t>
      </w:r>
      <w:r>
        <w:rPr>
          <w:rFonts w:hint="eastAsia" w:ascii="仿宋_GB2312" w:hAnsi="仿宋_GB2312" w:cs="仿宋_GB2312"/>
          <w:lang w:eastAsia="zh-CN"/>
        </w:rPr>
        <w:t>，</w:t>
      </w:r>
      <w:r>
        <w:rPr>
          <w:rFonts w:hint="eastAsia" w:ascii="仿宋_GB2312" w:hAnsi="仿宋_GB2312" w:eastAsia="仿宋_GB2312" w:cs="仿宋_GB2312"/>
        </w:rPr>
        <w:t>引入金融机构</w:t>
      </w:r>
      <w:r>
        <w:rPr>
          <w:rFonts w:hint="eastAsia" w:ascii="仿宋_GB2312" w:hAnsi="仿宋_GB2312" w:cs="仿宋_GB2312"/>
          <w:lang w:val="en-US" w:eastAsia="zh-CN"/>
        </w:rPr>
        <w:t>定制跨境金融服务产品</w:t>
      </w:r>
      <w:r>
        <w:rPr>
          <w:rFonts w:hint="eastAsia" w:ascii="仿宋_GB2312" w:hAnsi="仿宋_GB2312" w:eastAsia="仿宋_GB2312" w:cs="仿宋_GB2312"/>
          <w:lang w:eastAsia="zh-CN"/>
        </w:rPr>
        <w:t>。</w:t>
      </w:r>
      <w:r>
        <w:rPr>
          <w:rFonts w:hint="eastAsia" w:ascii="仿宋_GB2312" w:hAnsi="仿宋_GB2312" w:eastAsia="仿宋_GB2312" w:cs="仿宋_GB2312"/>
        </w:rPr>
        <w:t>持续优化通关流程</w:t>
      </w:r>
      <w:r>
        <w:rPr>
          <w:rFonts w:hint="eastAsia" w:ascii="仿宋_GB2312" w:hAnsi="仿宋_GB2312" w:eastAsia="仿宋_GB2312" w:cs="仿宋_GB2312"/>
          <w:lang w:eastAsia="zh-CN"/>
        </w:rPr>
        <w:t>，</w:t>
      </w:r>
      <w:r>
        <w:rPr>
          <w:rFonts w:hint="eastAsia" w:ascii="仿宋_GB2312" w:hAnsi="仿宋_GB2312" w:eastAsia="仿宋_GB2312" w:cs="仿宋_GB2312"/>
        </w:rPr>
        <w:t>完善外贸综合服务平台功能</w:t>
      </w:r>
      <w:r>
        <w:rPr>
          <w:rFonts w:hint="eastAsia" w:ascii="仿宋_GB2312" w:hAnsi="仿宋_GB2312" w:eastAsia="仿宋_GB2312" w:cs="仿宋_GB2312"/>
          <w:lang w:eastAsia="zh-CN"/>
        </w:rPr>
        <w:t>，</w:t>
      </w:r>
      <w:r>
        <w:rPr>
          <w:rFonts w:hint="eastAsia" w:ascii="仿宋_GB2312" w:hAnsi="仿宋_GB2312" w:eastAsia="仿宋_GB2312" w:cs="仿宋_GB2312"/>
        </w:rPr>
        <w:t>打造便利化国际贸易营商环境，当好“买全俄卖全国</w:t>
      </w:r>
      <w:r>
        <w:rPr>
          <w:rFonts w:hint="eastAsia" w:ascii="仿宋_GB2312" w:hAnsi="仿宋_GB2312" w:eastAsia="仿宋_GB2312" w:cs="仿宋_GB2312"/>
          <w:lang w:val="en-US" w:eastAsia="zh-CN"/>
        </w:rPr>
        <w:t>、</w:t>
      </w:r>
      <w:r>
        <w:rPr>
          <w:rFonts w:hint="eastAsia" w:ascii="仿宋_GB2312" w:hAnsi="仿宋_GB2312" w:eastAsia="仿宋_GB2312" w:cs="仿宋_GB2312"/>
        </w:rPr>
        <w:t>买全国卖全俄”外贸“中间人”</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为境内外企业提供</w:t>
      </w:r>
      <w:r>
        <w:rPr>
          <w:rFonts w:hint="eastAsia" w:ascii="仿宋_GB2312" w:hAnsi="仿宋_GB2312" w:eastAsia="仿宋_GB2312" w:cs="仿宋_GB2312"/>
        </w:rPr>
        <w:t>集采购、分销、物流、金融于一体的全链条服务体系。</w:t>
      </w:r>
    </w:p>
    <w:p w14:paraId="49733D5E">
      <w:pPr>
        <w:bidi w:val="0"/>
        <w:rPr>
          <w:rFonts w:hint="default" w:ascii="仿宋_GB2312" w:hAnsi="仿宋_GB2312" w:eastAsia="仿宋_GB2312" w:cs="仿宋_GB2312"/>
          <w:lang w:val="en-US" w:eastAsia="zh-CN"/>
        </w:rPr>
      </w:pPr>
      <w:r>
        <w:rPr>
          <w:rFonts w:hint="eastAsia" w:ascii="仿宋_GB2312" w:hAnsi="仿宋_GB2312" w:cs="仿宋_GB2312"/>
          <w:b/>
          <w:bCs/>
          <w:lang w:val="en-US" w:eastAsia="zh-CN"/>
        </w:rPr>
        <w:t>加快培育壮大双向经贸主体。</w:t>
      </w:r>
      <w:r>
        <w:rPr>
          <w:rFonts w:hint="eastAsia" w:ascii="仿宋_GB2312" w:hAnsi="仿宋_GB2312" w:eastAsia="仿宋_GB2312" w:cs="仿宋_GB2312"/>
        </w:rPr>
        <w:t>培育壮大外贸主体，鼓励外贸企业“走出去”，</w:t>
      </w:r>
      <w:r>
        <w:rPr>
          <w:rFonts w:hint="eastAsia" w:ascii="仿宋_GB2312" w:hAnsi="仿宋_GB2312" w:cs="仿宋_GB2312"/>
          <w:lang w:val="en-US" w:eastAsia="zh-CN"/>
        </w:rPr>
        <w:t>支持本地企业在俄设立分支机构、海外仓及营销网络，</w:t>
      </w:r>
      <w:r>
        <w:rPr>
          <w:rFonts w:hint="eastAsia" w:ascii="仿宋_GB2312" w:hAnsi="仿宋_GB2312" w:eastAsia="仿宋_GB2312" w:cs="仿宋_GB2312"/>
        </w:rPr>
        <w:t>积极引进俄资俄企</w:t>
      </w:r>
      <w:r>
        <w:rPr>
          <w:rFonts w:hint="eastAsia" w:ascii="仿宋_GB2312" w:hAnsi="仿宋_GB2312" w:cs="仿宋_GB2312"/>
          <w:lang w:val="en-US" w:eastAsia="zh-CN"/>
        </w:rPr>
        <w:t>落户富锦</w:t>
      </w:r>
      <w:r>
        <w:rPr>
          <w:rFonts w:hint="eastAsia" w:ascii="仿宋_GB2312" w:hAnsi="仿宋_GB2312" w:eastAsia="仿宋_GB2312" w:cs="仿宋_GB2312"/>
        </w:rPr>
        <w:t>。依托中俄博览会、哈洽会、进博会、广交会、佳木斯农机展销会等经贸平台，</w:t>
      </w:r>
      <w:r>
        <w:rPr>
          <w:rFonts w:hint="eastAsia" w:ascii="仿宋_GB2312" w:hAnsi="仿宋_GB2312" w:cs="仿宋_GB2312"/>
          <w:lang w:val="en-US" w:eastAsia="zh-CN"/>
        </w:rPr>
        <w:t>建立富锦企业常态化参展与对接机制，</w:t>
      </w:r>
      <w:r>
        <w:rPr>
          <w:rFonts w:hint="eastAsia" w:ascii="仿宋_GB2312" w:hAnsi="仿宋_GB2312" w:eastAsia="仿宋_GB2312" w:cs="仿宋_GB2312"/>
        </w:rPr>
        <w:t>推动政府间高层互访、企业间对接合作，</w:t>
      </w:r>
      <w:r>
        <w:rPr>
          <w:rFonts w:hint="eastAsia" w:ascii="仿宋_GB2312" w:hAnsi="仿宋_GB2312" w:cs="仿宋_GB2312"/>
          <w:lang w:val="en-US" w:eastAsia="zh-CN"/>
        </w:rPr>
        <w:t>推动形成政府引导、企业主导、市场运作的务实合作模式。</w:t>
      </w:r>
    </w:p>
    <w:p w14:paraId="2AE3AF54">
      <w:pPr>
        <w:bidi w:val="0"/>
        <w:rPr>
          <w:rFonts w:hint="default" w:ascii="仿宋_GB2312" w:hAnsi="仿宋_GB2312" w:eastAsia="仿宋_GB2312" w:cs="仿宋_GB2312"/>
          <w:lang w:val="en-US" w:eastAsia="zh-CN"/>
        </w:rPr>
      </w:pPr>
      <w:r>
        <w:rPr>
          <w:rFonts w:hint="eastAsia" w:ascii="仿宋_GB2312" w:hAnsi="仿宋_GB2312" w:cs="仿宋_GB2312"/>
          <w:b/>
          <w:bCs/>
          <w:lang w:val="en-US" w:eastAsia="zh-CN"/>
        </w:rPr>
        <w:t>深化全方位对俄交流合作。</w:t>
      </w:r>
      <w:r>
        <w:rPr>
          <w:rFonts w:hint="eastAsia" w:ascii="仿宋_GB2312" w:hAnsi="仿宋_GB2312" w:eastAsia="仿宋_GB2312" w:cs="仿宋_GB2312"/>
        </w:rPr>
        <w:t>深化对俄科技、教育、人才、卫生、金融等领域全方位交流合作</w:t>
      </w:r>
      <w:r>
        <w:rPr>
          <w:rFonts w:hint="eastAsia" w:ascii="仿宋_GB2312" w:hAnsi="仿宋_GB2312" w:cs="仿宋_GB2312"/>
          <w:lang w:eastAsia="zh-CN"/>
        </w:rPr>
        <w:t>，</w:t>
      </w:r>
      <w:r>
        <w:rPr>
          <w:rFonts w:hint="eastAsia" w:ascii="仿宋_GB2312" w:hAnsi="仿宋_GB2312" w:cs="仿宋_GB2312"/>
          <w:lang w:val="en-US" w:eastAsia="zh-CN"/>
        </w:rPr>
        <w:t>推动富锦与俄远东地区高校共建技术转移与农业人才培训基地，探索开展跨境保险、供应链金融等创新服务，形成具有富锦辨识度的人文经贸协同发展模式，持续提升富锦在区域对俄合作中的影响力。</w:t>
      </w:r>
    </w:p>
    <w:p w14:paraId="2C4DDE3F">
      <w:pPr>
        <w:pStyle w:val="3"/>
        <w:bidi w:val="0"/>
        <w:rPr>
          <w:rFonts w:hint="default"/>
          <w:lang w:val="en-US" w:eastAsia="zh-CN"/>
        </w:rPr>
      </w:pPr>
      <w:bookmarkStart w:id="57" w:name="_Toc26561"/>
      <w:r>
        <w:rPr>
          <w:rFonts w:hint="eastAsia"/>
          <w:lang w:val="en-US" w:eastAsia="zh-CN"/>
        </w:rPr>
        <w:t>第五节  探索中俄跨境制度创新</w:t>
      </w:r>
      <w:bookmarkEnd w:id="57"/>
    </w:p>
    <w:p w14:paraId="1909AC0F">
      <w:pPr>
        <w:bidi w:val="0"/>
        <w:rPr>
          <w:rFonts w:hint="eastAsia" w:ascii="仿宋_GB2312" w:hAnsi="仿宋_GB2312" w:eastAsia="仿宋_GB2312" w:cs="仿宋_GB2312"/>
        </w:rPr>
      </w:pPr>
      <w:r>
        <w:rPr>
          <w:rFonts w:hint="eastAsia" w:ascii="仿宋_GB2312" w:hAnsi="仿宋_GB2312" w:eastAsia="仿宋_GB2312" w:cs="仿宋_GB2312"/>
          <w:lang w:val="en-US" w:eastAsia="zh-CN"/>
        </w:rPr>
        <w:t>依托富锦对外开放平台，联动“一桥一岛”及黑龙江省自贸协同创新功能，以加快推动中俄贸易和投资便利化为核心，持续深化商品与要素流动型开放，探索建立“白名单”快速通关机制，提升富锦口岸通关便利化水平。立足富锦作为“一桥一岛”向内陆延伸的“首站”区位优势，打造对俄“一桥一岛”联动创新区，与同江合作共建“大桥经济飞地园区”，实现口岸功能共享，开通“富锦湿地—黑瞎子岛”旅游专线，承接游客中转集散与配套服务功能，实现“大桥口岸功能延伸”与“黑瞎子岛旅游客源转化”双向赋能</w:t>
      </w:r>
      <w:r>
        <w:rPr>
          <w:rFonts w:hint="eastAsia" w:ascii="仿宋_GB2312" w:hAnsi="仿宋_GB2312" w:cs="仿宋_GB2312"/>
          <w:lang w:val="en-US" w:eastAsia="zh-CN"/>
        </w:rPr>
        <w:t>，</w:t>
      </w:r>
      <w:r>
        <w:rPr>
          <w:rFonts w:hint="eastAsia" w:ascii="仿宋_GB2312" w:hAnsi="仿宋_GB2312" w:eastAsia="仿宋_GB2312" w:cs="仿宋_GB2312"/>
          <w:lang w:val="en-US" w:eastAsia="zh-CN"/>
        </w:rPr>
        <w:t>推动富锦从“通道经济”向“枢纽经济”和“落地经济”转型。</w:t>
      </w:r>
      <w:r>
        <w:rPr>
          <w:rFonts w:hint="eastAsia" w:ascii="仿宋_GB2312" w:hAnsi="仿宋_GB2312" w:cs="仿宋_GB2312"/>
          <w:highlight w:val="none"/>
          <w:lang w:eastAsia="zh-CN"/>
        </w:rPr>
        <w:t>加快推进</w:t>
      </w:r>
      <w:r>
        <w:rPr>
          <w:rFonts w:hint="eastAsia" w:ascii="仿宋_GB2312" w:hAnsi="仿宋_GB2312" w:eastAsia="仿宋_GB2312" w:cs="仿宋_GB2312"/>
          <w:highlight w:val="none"/>
        </w:rPr>
        <w:t>对外保税孵化园项目</w:t>
      </w:r>
      <w:r>
        <w:rPr>
          <w:rFonts w:hint="eastAsia" w:ascii="仿宋_GB2312" w:hAnsi="仿宋_GB2312" w:cs="仿宋_GB2312"/>
          <w:highlight w:val="none"/>
          <w:lang w:eastAsia="zh-CN"/>
        </w:rPr>
        <w:t>建设</w:t>
      </w:r>
      <w:r>
        <w:rPr>
          <w:rFonts w:hint="eastAsia" w:ascii="仿宋_GB2312" w:hAnsi="仿宋_GB2312" w:eastAsia="仿宋_GB2312" w:cs="仿宋_GB2312"/>
          <w:highlight w:val="none"/>
        </w:rPr>
        <w:t>，</w:t>
      </w:r>
      <w:r>
        <w:rPr>
          <w:rFonts w:hint="eastAsia" w:ascii="仿宋_GB2312" w:hAnsi="仿宋_GB2312" w:eastAsia="仿宋_GB2312" w:cs="仿宋_GB2312"/>
          <w:lang w:val="en-US" w:eastAsia="zh-CN"/>
        </w:rPr>
        <w:t>积极培育</w:t>
      </w:r>
      <w:r>
        <w:rPr>
          <w:rFonts w:hint="eastAsia" w:ascii="仿宋_GB2312" w:hAnsi="仿宋_GB2312" w:eastAsia="仿宋_GB2312" w:cs="仿宋_GB2312"/>
        </w:rPr>
        <w:t>跨境电商、数字边贸、市场采购贸易等新业态，</w:t>
      </w:r>
      <w:r>
        <w:rPr>
          <w:rFonts w:hint="eastAsia" w:ascii="仿宋_GB2312" w:hAnsi="仿宋_GB2312" w:eastAsia="仿宋_GB2312" w:cs="仿宋_GB2312"/>
          <w:lang w:val="en-US" w:eastAsia="zh-CN"/>
        </w:rPr>
        <w:t>规划</w:t>
      </w:r>
      <w:r>
        <w:rPr>
          <w:rFonts w:hint="eastAsia" w:ascii="仿宋_GB2312" w:hAnsi="仿宋_GB2312" w:eastAsia="仿宋_GB2312" w:cs="仿宋_GB2312"/>
        </w:rPr>
        <w:t>建设跨境产品中转仓，</w:t>
      </w:r>
      <w:r>
        <w:rPr>
          <w:rFonts w:hint="eastAsia" w:ascii="仿宋_GB2312" w:hAnsi="仿宋_GB2312" w:eastAsia="仿宋_GB2312" w:cs="仿宋_GB2312"/>
          <w:lang w:val="en-US" w:eastAsia="zh-CN"/>
        </w:rPr>
        <w:t>打造同江跨境电商综试区的中继分拨基地，探索“同江接单、富锦发货”“前置仓储+干线运输”等协作模式，联动富锦电商产业园设立俄罗斯商品展销中心</w:t>
      </w:r>
      <w:r>
        <w:rPr>
          <w:rFonts w:hint="eastAsia" w:ascii="仿宋_GB2312" w:hAnsi="仿宋_GB2312" w:eastAsia="仿宋_GB2312" w:cs="仿宋_GB2312"/>
        </w:rPr>
        <w:t>。</w:t>
      </w:r>
    </w:p>
    <w:tbl>
      <w:tblPr>
        <w:tblStyle w:val="20"/>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23587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vAlign w:val="center"/>
          </w:tcPr>
          <w:p w14:paraId="14AD2A3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黑体" w:cs="Times New Roman"/>
                <w:sz w:val="24"/>
              </w:rPr>
            </w:pPr>
            <w:r>
              <w:rPr>
                <w:rFonts w:hint="eastAsia" w:ascii="黑体" w:hAnsi="黑体" w:eastAsia="黑体" w:cs="黑体"/>
                <w:sz w:val="24"/>
                <w:szCs w:val="22"/>
              </w:rPr>
              <w:t>专栏</w:t>
            </w:r>
            <w:r>
              <w:rPr>
                <w:rFonts w:hint="eastAsia" w:ascii="黑体" w:hAnsi="黑体" w:eastAsia="黑体" w:cs="黑体"/>
                <w:sz w:val="24"/>
                <w:szCs w:val="22"/>
                <w:lang w:val="en-US" w:eastAsia="zh-CN"/>
              </w:rPr>
              <w:t>8</w:t>
            </w:r>
            <w:r>
              <w:rPr>
                <w:rFonts w:hint="eastAsia" w:ascii="黑体" w:hAnsi="黑体" w:eastAsia="黑体" w:cs="黑体"/>
                <w:sz w:val="24"/>
                <w:szCs w:val="22"/>
              </w:rPr>
              <w:t>-</w:t>
            </w:r>
            <w:r>
              <w:rPr>
                <w:rFonts w:hint="eastAsia" w:ascii="黑体" w:hAnsi="黑体" w:eastAsia="黑体" w:cs="黑体"/>
                <w:sz w:val="24"/>
                <w:szCs w:val="22"/>
                <w:lang w:val="en-US" w:eastAsia="zh-CN"/>
              </w:rPr>
              <w:t>1</w:t>
            </w:r>
            <w:r>
              <w:rPr>
                <w:rFonts w:hint="eastAsia" w:ascii="黑体" w:hAnsi="黑体" w:eastAsia="黑体" w:cs="黑体"/>
                <w:sz w:val="24"/>
                <w:szCs w:val="22"/>
              </w:rPr>
              <w:t xml:space="preserve"> </w:t>
            </w:r>
            <w:r>
              <w:rPr>
                <w:rFonts w:hint="eastAsia" w:ascii="黑体" w:hAnsi="黑体" w:eastAsia="黑体" w:cs="黑体"/>
                <w:sz w:val="24"/>
                <w:szCs w:val="22"/>
                <w:lang w:val="en-US" w:eastAsia="zh-CN"/>
              </w:rPr>
              <w:t>对外开放合作升级</w:t>
            </w:r>
            <w:r>
              <w:rPr>
                <w:rFonts w:hint="eastAsia" w:ascii="黑体" w:hAnsi="黑体" w:eastAsia="黑体" w:cs="黑体"/>
                <w:sz w:val="24"/>
                <w:szCs w:val="22"/>
              </w:rPr>
              <w:t>重点工程</w:t>
            </w:r>
          </w:p>
        </w:tc>
      </w:tr>
      <w:tr w14:paraId="429F3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3" w:hRule="atLeast"/>
        </w:trPr>
        <w:tc>
          <w:tcPr>
            <w:tcW w:w="8522" w:type="dxa"/>
          </w:tcPr>
          <w:p w14:paraId="1123158C">
            <w:pPr>
              <w:pStyle w:val="8"/>
              <w:bidi w:val="0"/>
              <w:rPr>
                <w:rFonts w:hint="eastAsia" w:ascii="楷体_GB2312" w:hAnsi="楷体_GB2312" w:eastAsia="楷体_GB2312" w:cs="楷体_GB2312"/>
                <w:lang w:val="en-US" w:eastAsia="zh-CN"/>
              </w:rPr>
            </w:pPr>
            <w:r>
              <w:rPr>
                <w:rFonts w:hint="eastAsia" w:ascii="楷体_GB2312" w:hAnsi="楷体_GB2312" w:eastAsia="楷体_GB2312" w:cs="楷体_GB2312"/>
                <w:b/>
                <w:bCs/>
                <w:lang w:val="en-US" w:eastAsia="zh-CN"/>
              </w:rPr>
              <w:t>1.对俄开放合作平台建设工程。</w:t>
            </w:r>
            <w:r>
              <w:rPr>
                <w:rFonts w:hint="eastAsia" w:ascii="楷体_GB2312" w:hAnsi="楷体_GB2312" w:eastAsia="楷体_GB2312" w:cs="楷体_GB2312"/>
                <w:lang w:val="en-US" w:eastAsia="zh-CN"/>
              </w:rPr>
              <w:t>建设面向俄罗斯市场的机械产品加工区。建设对俄出口蔬菜基地。谋划建设对俄合作咨询服务平台。推动俄罗斯煤炭、木材、天然气、粮食等货物在富锦储运加工、形成对俄跨境产业集群。推进LPG铁路跨境运输通道、LPG储配站改造、油菜籽跨境加工等项目建设。</w:t>
            </w:r>
          </w:p>
          <w:p w14:paraId="25758549">
            <w:pPr>
              <w:pStyle w:val="8"/>
              <w:bidi w:val="0"/>
              <w:rPr>
                <w:rFonts w:hint="eastAsia" w:ascii="楷体_GB2312" w:hAnsi="楷体_GB2312" w:eastAsia="楷体_GB2312" w:cs="楷体_GB2312"/>
                <w:lang w:val="en-US" w:eastAsia="zh-CN"/>
              </w:rPr>
            </w:pPr>
            <w:r>
              <w:rPr>
                <w:rFonts w:hint="eastAsia" w:ascii="楷体_GB2312" w:hAnsi="楷体_GB2312" w:eastAsia="楷体_GB2312" w:cs="楷体_GB2312"/>
                <w:b/>
                <w:bCs/>
                <w:lang w:val="en-US" w:eastAsia="zh-CN"/>
              </w:rPr>
              <w:t>2.对俄合作基础设施提升工程。</w:t>
            </w:r>
            <w:r>
              <w:rPr>
                <w:rFonts w:hint="eastAsia" w:ascii="楷体_GB2312" w:hAnsi="楷体_GB2312" w:eastAsia="楷体_GB2312" w:cs="楷体_GB2312"/>
                <w:lang w:val="en-US" w:eastAsia="zh-CN"/>
              </w:rPr>
              <w:t>完善口岸基础设施，建设千吨级泊位及后方堆场。开展老口岸升级改造，加快新口岸智能化、现代化建设，推动新、老口岸功能差异化协调发展。推动中俄能源多式联运跨境合作示范区项目建设。</w:t>
            </w:r>
          </w:p>
          <w:p w14:paraId="7830035F">
            <w:pPr>
              <w:pStyle w:val="8"/>
              <w:bidi w:val="0"/>
              <w:rPr>
                <w:rFonts w:hint="eastAsia" w:ascii="楷体_GB2312" w:hAnsi="楷体_GB2312" w:cs="楷体_GB2312"/>
                <w:lang w:val="en-US" w:eastAsia="zh-CN"/>
              </w:rPr>
            </w:pPr>
            <w:r>
              <w:rPr>
                <w:rFonts w:hint="eastAsia" w:ascii="楷体_GB2312" w:hAnsi="楷体_GB2312" w:cs="楷体_GB2312"/>
                <w:lang w:val="en-US" w:eastAsia="zh-CN"/>
              </w:rPr>
              <w:t>（1）大屯港口扩建项目。拟对大屯港口进行扩建，向上游延伸岸线150米，陆域25000平方米，增加泊位2个，建设码头及相关附属设施。拟延伸大屯港口岸线150米，增加泊位2个。</w:t>
            </w:r>
          </w:p>
          <w:p w14:paraId="602D5E7B">
            <w:pPr>
              <w:pStyle w:val="8"/>
              <w:bidi w:val="0"/>
              <w:rPr>
                <w:rFonts w:hint="eastAsia" w:ascii="楷体_GB2312" w:hAnsi="楷体_GB2312" w:cs="楷体_GB2312"/>
                <w:lang w:val="en-US" w:eastAsia="zh-CN"/>
              </w:rPr>
            </w:pPr>
            <w:r>
              <w:rPr>
                <w:rFonts w:hint="eastAsia" w:ascii="楷体_GB2312" w:hAnsi="楷体_GB2312" w:cs="楷体_GB2312"/>
                <w:lang w:val="en-US" w:eastAsia="zh-CN"/>
              </w:rPr>
              <w:t>（2）进境粮食指定口岸查验和基础设施建设项目。进行码头前沿岸线修复、门机基础建设及安装；建设进口粮食指定口岸海关专业技术用房，建设2000平方米进口粮食转运存储库及配套设施。建设2000平方米进口粮食转运存储库及配套设施</w:t>
            </w:r>
          </w:p>
          <w:p w14:paraId="7CF2B382">
            <w:pPr>
              <w:pStyle w:val="8"/>
              <w:bidi w:val="0"/>
              <w:rPr>
                <w:rFonts w:hint="default" w:ascii="楷体_GB2312" w:hAnsi="楷体_GB2312" w:cs="楷体_GB2312"/>
                <w:lang w:val="en-US" w:eastAsia="zh-CN"/>
              </w:rPr>
            </w:pPr>
            <w:r>
              <w:rPr>
                <w:rFonts w:hint="eastAsia" w:ascii="楷体_GB2312" w:hAnsi="楷体_GB2312" w:cs="楷体_GB2312"/>
                <w:lang w:val="en-US" w:eastAsia="zh-CN"/>
              </w:rPr>
              <w:t>（3）富锦市能源港口基础设施建设项目。新建深水码头3万平方米及配套基础设施。专业化煤炭/生物质能源码头泊位封闭式仓储设施（含防尘系统）自动化装卸设备及输送系统配套工程港区道路及铁路专用线供水供电供热系统环保处理设施（含污水处理）智慧管理系统港口作业监控平台能源物流信息中心安全应急指挥系统。</w:t>
            </w:r>
          </w:p>
          <w:p w14:paraId="3DD370A7">
            <w:pPr>
              <w:pStyle w:val="8"/>
              <w:bidi w:val="0"/>
              <w:rPr>
                <w:rFonts w:hint="default" w:ascii="楷体_GB2312" w:hAnsi="楷体_GB2312" w:eastAsia="楷体_GB2312" w:cs="楷体_GB2312"/>
                <w:lang w:val="en-US" w:eastAsia="zh-CN"/>
              </w:rPr>
            </w:pPr>
            <w:r>
              <w:rPr>
                <w:rFonts w:hint="eastAsia" w:ascii="楷体_GB2312" w:hAnsi="楷体_GB2312" w:eastAsia="楷体_GB2312" w:cs="楷体_GB2312"/>
                <w:b/>
                <w:bCs/>
                <w:lang w:val="en-US" w:eastAsia="zh-CN"/>
              </w:rPr>
              <w:t>3.口岸功能品类优化拓展工程。</w:t>
            </w:r>
            <w:r>
              <w:rPr>
                <w:rFonts w:hint="eastAsia" w:ascii="楷体_GB2312" w:hAnsi="楷体_GB2312" w:eastAsia="楷体_GB2312" w:cs="楷体_GB2312"/>
                <w:lang w:val="en-US" w:eastAsia="zh-CN"/>
              </w:rPr>
              <w:t>立足煤炭、木材、粮食等原料进口基础，支持水泥产品出口、沥青原材料进口，申请粮食进口指定口岸资质，持续扩大口岸</w:t>
            </w:r>
            <w:r>
              <w:rPr>
                <w:rFonts w:hint="default" w:ascii="楷体_GB2312" w:hAnsi="楷体_GB2312" w:eastAsia="楷体_GB2312" w:cs="楷体_GB2312"/>
                <w:lang w:val="en-US" w:eastAsia="zh-CN"/>
              </w:rPr>
              <w:t>进出口货物品类</w:t>
            </w:r>
            <w:r>
              <w:rPr>
                <w:rFonts w:hint="eastAsia" w:ascii="楷体_GB2312" w:hAnsi="楷体_GB2312" w:eastAsia="楷体_GB2312" w:cs="楷体_GB2312"/>
                <w:lang w:val="en-US" w:eastAsia="zh-CN"/>
              </w:rPr>
              <w:t>，做大农产品深加工、木材加工、能源储运等口岸经济核心赛道。</w:t>
            </w:r>
          </w:p>
          <w:p w14:paraId="4EE74AAF">
            <w:pPr>
              <w:pStyle w:val="8"/>
              <w:bidi w:val="0"/>
              <w:rPr>
                <w:rFonts w:hint="eastAsia" w:ascii="Times New Roman" w:hAnsi="Times New Roman" w:eastAsia="仿宋" w:cs="Times New Roman"/>
                <w:b w:val="0"/>
                <w:bCs w:val="0"/>
                <w:lang w:val="en-US" w:eastAsia="zh-CN"/>
              </w:rPr>
            </w:pPr>
            <w:r>
              <w:rPr>
                <w:rFonts w:hint="eastAsia" w:ascii="楷体_GB2312" w:hAnsi="楷体_GB2312" w:eastAsia="楷体_GB2312" w:cs="楷体_GB2312"/>
                <w:b/>
                <w:bCs/>
                <w:lang w:val="en-US" w:eastAsia="zh-CN"/>
              </w:rPr>
              <w:t>4.中俄跨境制度创新突破工程。</w:t>
            </w:r>
            <w:r>
              <w:rPr>
                <w:rFonts w:hint="eastAsia" w:ascii="楷体_GB2312" w:hAnsi="楷体_GB2312" w:eastAsia="楷体_GB2312" w:cs="楷体_GB2312"/>
                <w:lang w:val="en-US" w:eastAsia="zh-CN"/>
              </w:rPr>
              <w:t>探索“白名单”快速通关机制，提高富锦通关便利化水平。打造对俄“一桥一岛”联动创新区，与同江共建“大桥经济飞地园区”，开通“富锦湿地—黑瞎子岛”旅游专线。依托对外保税孵化园基础，谋划建设跨境产品中转仓，探索“同江接单、富锦发货”“前置仓储+干线运输”等协作模式，设立俄罗斯商品展销中心</w:t>
            </w:r>
            <w:r>
              <w:rPr>
                <w:rFonts w:hint="eastAsia" w:ascii="楷体_GB2312" w:hAnsi="楷体_GB2312" w:cs="楷体_GB2312"/>
                <w:lang w:val="en-US" w:eastAsia="zh-CN"/>
              </w:rPr>
              <w:t>。</w:t>
            </w:r>
          </w:p>
        </w:tc>
      </w:tr>
    </w:tbl>
    <w:p w14:paraId="4E28E659">
      <w:pPr>
        <w:bidi w:val="0"/>
        <w:rPr>
          <w:rFonts w:hint="eastAsia" w:ascii="仿宋_GB2312" w:hAnsi="仿宋_GB2312" w:eastAsia="仿宋_GB2312" w:cs="仿宋_GB2312"/>
        </w:rPr>
      </w:pPr>
    </w:p>
    <w:p w14:paraId="7826BD37">
      <w:pPr>
        <w:bidi w:val="0"/>
        <w:rPr>
          <w:rFonts w:hint="eastAsia"/>
          <w:lang w:val="en-US" w:eastAsia="zh-CN"/>
        </w:rPr>
      </w:pPr>
    </w:p>
    <w:p w14:paraId="2E62F1B9">
      <w:pPr>
        <w:bidi w:val="0"/>
        <w:rPr>
          <w:rFonts w:hint="eastAsia"/>
          <w:lang w:val="en-US" w:eastAsia="zh-CN"/>
        </w:rPr>
      </w:pPr>
      <w:r>
        <w:rPr>
          <w:rFonts w:hint="eastAsia"/>
          <w:lang w:val="en-US" w:eastAsia="zh-CN"/>
        </w:rPr>
        <w:br w:type="page"/>
      </w:r>
    </w:p>
    <w:p w14:paraId="74571FF9">
      <w:pPr>
        <w:pStyle w:val="2"/>
        <w:bidi w:val="0"/>
        <w:ind w:left="0" w:leftChars="0" w:firstLine="0" w:firstLineChars="0"/>
        <w:jc w:val="center"/>
        <w:rPr>
          <w:rFonts w:hint="default" w:ascii="黑体" w:hAnsi="黑体" w:eastAsia="黑体" w:cs="黑体"/>
          <w:sz w:val="36"/>
          <w:szCs w:val="48"/>
          <w:lang w:val="en-US" w:eastAsia="zh-CN"/>
        </w:rPr>
      </w:pPr>
      <w:bookmarkStart w:id="58" w:name="_Toc21461"/>
      <w:r>
        <w:rPr>
          <w:rFonts w:hint="eastAsia" w:ascii="黑体" w:hAnsi="黑体" w:eastAsia="黑体" w:cs="黑体"/>
          <w:sz w:val="36"/>
          <w:szCs w:val="48"/>
          <w:lang w:val="en-US" w:eastAsia="zh-CN"/>
        </w:rPr>
        <w:t>第九章  构建现代化基础设施体系，提升全域发展综合承载能力</w:t>
      </w:r>
      <w:bookmarkEnd w:id="58"/>
    </w:p>
    <w:p w14:paraId="1FA82EE9">
      <w:pPr>
        <w:bidi w:val="0"/>
        <w:rPr>
          <w:rFonts w:hint="default"/>
        </w:rPr>
      </w:pPr>
      <w:r>
        <w:rPr>
          <w:rFonts w:hint="eastAsia"/>
          <w:lang w:val="en-US" w:eastAsia="zh-CN"/>
        </w:rPr>
        <w:t>立足国家“适度超前布局基础设施”要求与黑龙江省“构筑向北开放新高地”战略部署，紧扣三江平原枢纽功能，</w:t>
      </w:r>
      <w:r>
        <w:rPr>
          <w:rFonts w:hint="default"/>
        </w:rPr>
        <w:t>加强基础设施统筹规划，推动传统基础设施更新和数智化改造，适度超前建设新型基础设施，推进城市</w:t>
      </w:r>
      <w:r>
        <w:rPr>
          <w:rFonts w:hint="eastAsia"/>
          <w:lang w:eastAsia="zh-CN"/>
        </w:rPr>
        <w:t>“平急两用”</w:t>
      </w:r>
      <w:r>
        <w:rPr>
          <w:rFonts w:hint="default"/>
        </w:rPr>
        <w:t>基础设施建设，</w:t>
      </w:r>
      <w:r>
        <w:rPr>
          <w:rFonts w:hint="eastAsia"/>
          <w:lang w:val="en-US" w:eastAsia="zh-CN"/>
        </w:rPr>
        <w:t>通过交通网络立体化、水利能源低碳化、数字设施全域化，构建“对外联通高效、城乡覆盖均衡、安全韧性智能”的现代化基础设施体系，为“站稳第一方阵”提供硬核支撑。</w:t>
      </w:r>
    </w:p>
    <w:p w14:paraId="258B0F3D">
      <w:pPr>
        <w:pStyle w:val="3"/>
        <w:bidi w:val="0"/>
        <w:rPr>
          <w:rFonts w:hint="default"/>
          <w:lang w:val="en-US" w:eastAsia="zh-CN"/>
        </w:rPr>
      </w:pPr>
      <w:bookmarkStart w:id="59" w:name="_Toc10352"/>
      <w:r>
        <w:rPr>
          <w:rFonts w:hint="eastAsia"/>
          <w:lang w:val="en-US" w:eastAsia="zh-CN"/>
        </w:rPr>
        <w:t>第一节  完善“多维立体”现代化综合交通运输体系</w:t>
      </w:r>
      <w:bookmarkEnd w:id="59"/>
    </w:p>
    <w:p w14:paraId="5EB511AC">
      <w:pPr>
        <w:bidi w:val="0"/>
        <w:rPr>
          <w:rFonts w:hint="eastAsia" w:ascii="仿宋_GB2312" w:hAnsi="仿宋_GB2312" w:eastAsia="仿宋_GB2312" w:cs="仿宋_GB2312"/>
          <w:lang w:val="en-US" w:eastAsia="zh-CN"/>
        </w:rPr>
      </w:pPr>
      <w:r>
        <w:rPr>
          <w:rFonts w:hint="eastAsia" w:ascii="仿宋_GB2312" w:hAnsi="仿宋_GB2312" w:eastAsia="仿宋_GB2312" w:cs="仿宋_GB2312"/>
        </w:rPr>
        <w:t>以“交旅融合、服务产业</w:t>
      </w:r>
      <w:r>
        <w:rPr>
          <w:rFonts w:hint="eastAsia" w:ascii="仿宋_GB2312" w:hAnsi="仿宋_GB2312" w:eastAsia="仿宋_GB2312" w:cs="仿宋_GB2312"/>
          <w:lang w:eastAsia="zh-CN"/>
        </w:rPr>
        <w:t>、</w:t>
      </w:r>
      <w:r>
        <w:rPr>
          <w:rFonts w:hint="eastAsia" w:ascii="仿宋_GB2312" w:hAnsi="仿宋_GB2312" w:eastAsia="仿宋_GB2312" w:cs="仿宋_GB2312"/>
        </w:rPr>
        <w:t>低碳环保</w:t>
      </w:r>
      <w:r>
        <w:rPr>
          <w:rFonts w:hint="eastAsia" w:ascii="仿宋_GB2312" w:hAnsi="仿宋_GB2312" w:eastAsia="仿宋_GB2312" w:cs="仿宋_GB2312"/>
          <w:lang w:eastAsia="zh-CN"/>
        </w:rPr>
        <w:t>、</w:t>
      </w:r>
      <w:r>
        <w:rPr>
          <w:rFonts w:hint="eastAsia" w:ascii="仿宋_GB2312" w:hAnsi="仿宋_GB2312" w:eastAsia="仿宋_GB2312" w:cs="仿宋_GB2312"/>
        </w:rPr>
        <w:t>智慧发展”为</w:t>
      </w:r>
      <w:r>
        <w:rPr>
          <w:rFonts w:hint="eastAsia" w:ascii="仿宋_GB2312" w:hAnsi="仿宋_GB2312" w:cs="仿宋_GB2312"/>
          <w:lang w:val="en-US" w:eastAsia="zh-CN"/>
        </w:rPr>
        <w:t>核心</w:t>
      </w:r>
      <w:r>
        <w:rPr>
          <w:rFonts w:hint="eastAsia" w:ascii="仿宋_GB2312" w:hAnsi="仿宋_GB2312" w:eastAsia="仿宋_GB2312" w:cs="仿宋_GB2312"/>
        </w:rPr>
        <w:t>原则，以“构建快进漫游、交旅融合的立体网络”为发展理念，</w:t>
      </w:r>
      <w:r>
        <w:rPr>
          <w:rFonts w:hint="eastAsia" w:ascii="仿宋_GB2312" w:hAnsi="仿宋_GB2312" w:eastAsia="仿宋_GB2312" w:cs="仿宋_GB2312"/>
          <w:lang w:val="en-US" w:eastAsia="zh-CN"/>
        </w:rPr>
        <w:t>实施铁路升级、公路提质、路网织密三大工程，构建</w:t>
      </w:r>
      <w:r>
        <w:rPr>
          <w:rFonts w:hint="eastAsia" w:ascii="仿宋_GB2312" w:hAnsi="仿宋_GB2312" w:eastAsia="仿宋_GB2312" w:cs="仿宋_GB2312"/>
        </w:rPr>
        <w:t>“高速过境、国道围城、省道联网、纵横交错”</w:t>
      </w:r>
      <w:r>
        <w:rPr>
          <w:rFonts w:hint="eastAsia" w:ascii="仿宋_GB2312" w:hAnsi="仿宋_GB2312" w:eastAsia="仿宋_GB2312" w:cs="仿宋_GB2312"/>
          <w:lang w:eastAsia="zh-CN"/>
        </w:rPr>
        <w:t>的</w:t>
      </w:r>
      <w:r>
        <w:rPr>
          <w:rFonts w:hint="eastAsia" w:ascii="仿宋_GB2312" w:hAnsi="仿宋_GB2312" w:eastAsia="仿宋_GB2312" w:cs="仿宋_GB2312"/>
          <w:lang w:val="en-US" w:eastAsia="zh-CN"/>
        </w:rPr>
        <w:t>全域贯通</w:t>
      </w:r>
      <w:r>
        <w:rPr>
          <w:rFonts w:hint="eastAsia" w:ascii="仿宋_GB2312" w:hAnsi="仿宋_GB2312" w:eastAsia="仿宋_GB2312" w:cs="仿宋_GB2312"/>
        </w:rPr>
        <w:t>格局</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形成布局合理、功能完善、高效畅通的现代化综合交通运输体系。</w:t>
      </w:r>
    </w:p>
    <w:p w14:paraId="53D19005">
      <w:pPr>
        <w:bidi w:val="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强化对外交通</w:t>
      </w:r>
      <w:r>
        <w:rPr>
          <w:rFonts w:hint="eastAsia" w:ascii="仿宋_GB2312" w:hAnsi="仿宋_GB2312" w:eastAsia="仿宋_GB2312" w:cs="仿宋_GB2312"/>
          <w:b/>
          <w:bCs/>
          <w:sz w:val="32"/>
          <w:szCs w:val="32"/>
          <w:lang w:val="en-US" w:eastAsia="zh-CN"/>
        </w:rPr>
        <w:t>互联互通</w:t>
      </w:r>
      <w:r>
        <w:rPr>
          <w:rFonts w:hint="eastAsia" w:ascii="仿宋_GB2312" w:hAnsi="仿宋_GB2312" w:eastAsia="仿宋_GB2312" w:cs="仿宋_GB2312"/>
          <w:b/>
          <w:bCs/>
          <w:sz w:val="32"/>
          <w:szCs w:val="32"/>
        </w:rPr>
        <w:t>。</w:t>
      </w:r>
      <w:r>
        <w:rPr>
          <w:rFonts w:hint="eastAsia" w:ascii="仿宋_GB2312" w:hAnsi="仿宋_GB2312" w:eastAsia="仿宋_GB2312" w:cs="仿宋_GB2312"/>
          <w:sz w:val="32"/>
          <w:szCs w:val="32"/>
        </w:rPr>
        <w:t>积极配合和推进实施佳同铁路扩能改造，加速中欧班列“东通道”扩能，增强跨境大宗商品运输效能，</w:t>
      </w:r>
      <w:r>
        <w:rPr>
          <w:rFonts w:hint="eastAsia" w:ascii="仿宋_GB2312" w:hAnsi="仿宋_GB2312" w:eastAsia="仿宋_GB2312" w:cs="仿宋_GB2312"/>
          <w:sz w:val="32"/>
          <w:szCs w:val="32"/>
          <w:lang w:val="en-US" w:eastAsia="zh-CN"/>
        </w:rPr>
        <w:t>同步</w:t>
      </w:r>
      <w:r>
        <w:rPr>
          <w:rFonts w:hint="eastAsia" w:ascii="仿宋_GB2312" w:hAnsi="仿宋_GB2312" w:eastAsia="仿宋_GB2312" w:cs="仿宋_GB2312"/>
          <w:sz w:val="32"/>
          <w:szCs w:val="32"/>
        </w:rPr>
        <w:t>推进佳同铁路与富锦过境道路交叉口</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平改立</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项目</w:t>
      </w:r>
      <w:r>
        <w:rPr>
          <w:rFonts w:hint="eastAsia" w:ascii="仿宋_GB2312" w:hAnsi="仿宋_GB2312" w:cs="仿宋_GB2312"/>
          <w:sz w:val="32"/>
          <w:szCs w:val="32"/>
          <w:lang w:eastAsia="zh-CN"/>
        </w:rPr>
        <w:t>。</w:t>
      </w:r>
      <w:r>
        <w:rPr>
          <w:rFonts w:hint="default" w:ascii="Times New Roman" w:hAnsi="Times New Roman" w:eastAsia="仿宋_GB2312" w:cs="Times New Roman"/>
          <w:color w:val="000000"/>
          <w:kern w:val="2"/>
          <w:sz w:val="32"/>
          <w:szCs w:val="32"/>
          <w:u w:val="none"/>
          <w:lang w:val="en-US" w:eastAsia="zh-CN" w:bidi="ar-SA"/>
        </w:rPr>
        <w:t>积极</w:t>
      </w:r>
      <w:r>
        <w:rPr>
          <w:rFonts w:hint="eastAsia" w:ascii="Times New Roman" w:hAnsi="Times New Roman" w:cs="Times New Roman"/>
          <w:color w:val="000000"/>
          <w:kern w:val="2"/>
          <w:sz w:val="32"/>
          <w:szCs w:val="32"/>
          <w:u w:val="none"/>
          <w:lang w:val="en-US" w:eastAsia="zh-CN" w:bidi="ar-SA"/>
        </w:rPr>
        <w:t>谋划富锦高铁项目建设。</w:t>
      </w:r>
      <w:r>
        <w:rPr>
          <w:rFonts w:hint="eastAsia" w:ascii="仿宋_GB2312" w:hAnsi="仿宋_GB2312" w:eastAsia="仿宋_GB2312" w:cs="仿宋_GB2312"/>
          <w:sz w:val="32"/>
          <w:szCs w:val="32"/>
        </w:rPr>
        <w:t>优化对外交通体系，强化高速公路和干线公路衔接，推进京抚公路富锦过境段升级为快速路。</w:t>
      </w:r>
    </w:p>
    <w:p w14:paraId="352BC642">
      <w:pPr>
        <w:bidi w:val="0"/>
        <w:rPr>
          <w:rFonts w:hint="eastAsia" w:ascii="仿宋_GB2312" w:hAnsi="仿宋_GB2312" w:eastAsia="仿宋_GB2312" w:cs="仿宋_GB2312"/>
        </w:rPr>
      </w:pPr>
      <w:r>
        <w:rPr>
          <w:rFonts w:hint="eastAsia" w:ascii="仿宋_GB2312" w:hAnsi="仿宋_GB2312" w:eastAsia="仿宋_GB2312" w:cs="仿宋_GB2312"/>
          <w:b/>
          <w:bCs/>
        </w:rPr>
        <w:t>提升干线公路</w:t>
      </w:r>
      <w:r>
        <w:rPr>
          <w:rFonts w:hint="eastAsia" w:ascii="仿宋_GB2312" w:hAnsi="仿宋_GB2312" w:eastAsia="仿宋_GB2312" w:cs="仿宋_GB2312"/>
          <w:b/>
          <w:bCs/>
          <w:lang w:val="en-US" w:eastAsia="zh-CN"/>
        </w:rPr>
        <w:t>服务能力</w:t>
      </w:r>
      <w:r>
        <w:rPr>
          <w:rFonts w:hint="eastAsia" w:ascii="仿宋_GB2312" w:hAnsi="仿宋_GB2312" w:eastAsia="仿宋_GB2312" w:cs="仿宋_GB2312"/>
          <w:b/>
          <w:bCs/>
        </w:rPr>
        <w:t>。</w:t>
      </w:r>
      <w:r>
        <w:rPr>
          <w:rFonts w:hint="eastAsia" w:ascii="仿宋_GB2312" w:hAnsi="仿宋_GB2312" w:eastAsia="仿宋_GB2312" w:cs="仿宋_GB2312"/>
        </w:rPr>
        <w:t>重点推进京抚公路（G102）改扩建项目，有序推进京抚公路大榆树至二龙山段改扩建项目、京抚公路建三江至创业农场段、京抚公路富锦过境段等干线公路建设，同步规划绕行路线（如哈同高速、富宏路等），疏导建三江、同江方向的货运车流。优化升级普通干线公路，形成以城</w:t>
      </w:r>
      <w:r>
        <w:rPr>
          <w:rFonts w:hint="eastAsia" w:ascii="仿宋_GB2312" w:hAnsi="仿宋_GB2312" w:cs="仿宋_GB2312"/>
          <w:lang w:eastAsia="zh-CN"/>
        </w:rPr>
        <w:t>区</w:t>
      </w:r>
      <w:r>
        <w:rPr>
          <w:rFonts w:hint="eastAsia" w:ascii="仿宋_GB2312" w:hAnsi="仿宋_GB2312" w:eastAsia="仿宋_GB2312" w:cs="仿宋_GB2312"/>
        </w:rPr>
        <w:t>为中心、辐射各镇的交通圈。</w:t>
      </w:r>
    </w:p>
    <w:p w14:paraId="605FDCD6">
      <w:pPr>
        <w:bidi w:val="0"/>
        <w:rPr>
          <w:rFonts w:hint="eastAsia"/>
          <w:lang w:val="en-US" w:eastAsia="zh-CN"/>
        </w:rPr>
      </w:pPr>
      <w:r>
        <w:rPr>
          <w:rFonts w:hint="eastAsia" w:ascii="仿宋_GB2312" w:hAnsi="仿宋_GB2312" w:eastAsia="仿宋_GB2312" w:cs="仿宋_GB2312"/>
          <w:b/>
          <w:bCs/>
        </w:rPr>
        <w:t>完善县乡村公路</w:t>
      </w:r>
      <w:r>
        <w:rPr>
          <w:rFonts w:hint="eastAsia" w:ascii="仿宋_GB2312" w:hAnsi="仿宋_GB2312" w:eastAsia="仿宋_GB2312" w:cs="仿宋_GB2312"/>
          <w:b/>
          <w:bCs/>
          <w:lang w:val="en-US" w:eastAsia="zh-CN"/>
        </w:rPr>
        <w:t>网络</w:t>
      </w:r>
      <w:r>
        <w:rPr>
          <w:rFonts w:hint="eastAsia" w:ascii="仿宋_GB2312" w:hAnsi="仿宋_GB2312" w:eastAsia="仿宋_GB2312" w:cs="仿宋_GB2312"/>
          <w:b/>
          <w:bCs/>
        </w:rPr>
        <w:t>。</w:t>
      </w:r>
      <w:r>
        <w:rPr>
          <w:rFonts w:hint="eastAsia" w:ascii="仿宋_GB2312" w:hAnsi="仿宋_GB2312" w:eastAsia="仿宋_GB2312" w:cs="仿宋_GB2312"/>
        </w:rPr>
        <w:t>推动“四好农村路”高质量发展，加快县乡道路建设，积极谋划实施县道X301砚山至二龙山段、X204兴东村至宏胜镇段提档升级工程，重点推进富锦市农村公路提质改造、建制村通双车道工程，结合建制村双车道项目</w:t>
      </w:r>
      <w:r>
        <w:rPr>
          <w:rFonts w:hint="eastAsia" w:ascii="仿宋_GB2312" w:hAnsi="仿宋_GB2312" w:eastAsia="仿宋_GB2312" w:cs="仿宋_GB2312"/>
          <w:lang w:eastAsia="zh-CN"/>
        </w:rPr>
        <w:t>，</w:t>
      </w:r>
      <w:r>
        <w:rPr>
          <w:rFonts w:hint="eastAsia" w:ascii="仿宋_GB2312" w:hAnsi="仿宋_GB2312" w:eastAsia="仿宋_GB2312" w:cs="仿宋_GB2312"/>
        </w:rPr>
        <w:t>改造次差路段300公里。实施富锦农村公路提升工程，</w:t>
      </w:r>
      <w:r>
        <w:rPr>
          <w:rFonts w:hint="eastAsia" w:ascii="仿宋_GB2312" w:hAnsi="仿宋_GB2312" w:eastAsia="仿宋_GB2312" w:cs="仿宋_GB2312"/>
          <w:lang w:val="en-US" w:eastAsia="zh-CN"/>
        </w:rPr>
        <w:t>推进</w:t>
      </w:r>
      <w:r>
        <w:rPr>
          <w:rFonts w:hint="eastAsia" w:ascii="仿宋_GB2312" w:hAnsi="仿宋_GB2312" w:eastAsia="仿宋_GB2312" w:cs="仿宋_GB2312"/>
        </w:rPr>
        <w:t>38个建制镇村通双车道</w:t>
      </w:r>
      <w:r>
        <w:rPr>
          <w:rFonts w:hint="eastAsia" w:ascii="仿宋_GB2312" w:hAnsi="仿宋_GB2312" w:eastAsia="仿宋_GB2312" w:cs="仿宋_GB2312"/>
          <w:lang w:val="en-US" w:eastAsia="zh-CN"/>
        </w:rPr>
        <w:t>建设</w:t>
      </w:r>
      <w:r>
        <w:rPr>
          <w:rFonts w:hint="eastAsia" w:ascii="仿宋_GB2312" w:hAnsi="仿宋_GB2312" w:eastAsia="仿宋_GB2312" w:cs="仿宋_GB2312"/>
        </w:rPr>
        <w:t>，争取到2030年建制村通双车道率达到50%。加强农村公路养护管理，“十五五”期间实现农村公路养护率100%，路网服务水平进一步提升。</w:t>
      </w:r>
    </w:p>
    <w:p w14:paraId="08937EE6">
      <w:pPr>
        <w:bidi w:val="0"/>
        <w:rPr>
          <w:rFonts w:hint="eastAsia" w:ascii="仿宋_GB2312" w:hAnsi="仿宋_GB2312" w:eastAsia="仿宋_GB2312" w:cs="仿宋_GB2312"/>
          <w:lang w:val="en-US" w:eastAsia="zh-CN"/>
        </w:rPr>
      </w:pPr>
      <w:r>
        <w:rPr>
          <w:rFonts w:hint="eastAsia" w:ascii="仿宋_GB2312" w:hAnsi="仿宋_GB2312" w:eastAsia="仿宋_GB2312" w:cs="仿宋_GB2312"/>
          <w:b/>
          <w:bCs/>
        </w:rPr>
        <w:t>优化交通运输场站</w:t>
      </w:r>
      <w:r>
        <w:rPr>
          <w:rFonts w:hint="eastAsia" w:ascii="仿宋_GB2312" w:hAnsi="仿宋_GB2312" w:eastAsia="仿宋_GB2312" w:cs="仿宋_GB2312"/>
          <w:b/>
          <w:bCs/>
          <w:lang w:val="en-US" w:eastAsia="zh-CN"/>
        </w:rPr>
        <w:t>布局</w:t>
      </w:r>
      <w:r>
        <w:rPr>
          <w:rFonts w:hint="eastAsia" w:ascii="仿宋_GB2312" w:hAnsi="仿宋_GB2312" w:eastAsia="仿宋_GB2312" w:cs="仿宋_GB2312"/>
          <w:b/>
          <w:bCs/>
        </w:rPr>
        <w:t>。</w:t>
      </w:r>
      <w:r>
        <w:rPr>
          <w:rFonts w:hint="eastAsia" w:ascii="仿宋_GB2312" w:hAnsi="仿宋_GB2312" w:eastAsia="仿宋_GB2312" w:cs="仿宋_GB2312"/>
        </w:rPr>
        <w:t>依托境内国道、省道、高速公路和铁路等主干道路交通优势，加强交通运输场站和客运场站建设，重点推进佳同铁路富锦站升级改造、富锦客运站改造提升、国省道及主要农村道路服务区</w:t>
      </w:r>
      <w:r>
        <w:rPr>
          <w:rFonts w:hint="eastAsia" w:ascii="仿宋_GB2312" w:hAnsi="仿宋_GB2312" w:eastAsia="仿宋_GB2312" w:cs="仿宋_GB2312"/>
          <w:lang w:val="en-US" w:eastAsia="zh-CN"/>
        </w:rPr>
        <w:t>建设</w:t>
      </w:r>
      <w:r>
        <w:rPr>
          <w:rFonts w:hint="eastAsia" w:ascii="仿宋_GB2312" w:hAnsi="仿宋_GB2312" w:eastAsia="仿宋_GB2312" w:cs="仿宋_GB2312"/>
        </w:rPr>
        <w:t>等</w:t>
      </w:r>
      <w:r>
        <w:rPr>
          <w:rFonts w:hint="eastAsia" w:ascii="仿宋_GB2312" w:hAnsi="仿宋_GB2312" w:eastAsia="仿宋_GB2312" w:cs="仿宋_GB2312"/>
          <w:lang w:val="en-US" w:eastAsia="zh-CN"/>
        </w:rPr>
        <w:t>三大场站项目，完善“场站+路网”配套功能</w:t>
      </w:r>
      <w:r>
        <w:rPr>
          <w:rFonts w:hint="eastAsia" w:ascii="仿宋_GB2312" w:hAnsi="仿宋_GB2312" w:eastAsia="仿宋_GB2312" w:cs="仿宋_GB2312"/>
        </w:rPr>
        <w:t>。</w:t>
      </w:r>
      <w:r>
        <w:rPr>
          <w:rFonts w:hint="eastAsia" w:ascii="仿宋_GB2312" w:hAnsi="仿宋_GB2312" w:eastAsia="仿宋_GB2312" w:cs="仿宋_GB2312"/>
          <w:lang w:val="en-US" w:eastAsia="zh-CN"/>
        </w:rPr>
        <w:t>加快推进富锦国际现代物流园区建设，打造综合物流产业园区。</w:t>
      </w:r>
    </w:p>
    <w:p w14:paraId="20E00DC2">
      <w:pPr>
        <w:bidi w:val="0"/>
        <w:rPr>
          <w:rFonts w:hint="eastAsia" w:ascii="仿宋_GB2312" w:hAnsi="仿宋_GB2312" w:eastAsia="仿宋_GB2312" w:cs="仿宋_GB2312"/>
        </w:rPr>
      </w:pPr>
      <w:r>
        <w:rPr>
          <w:rFonts w:hint="eastAsia" w:ascii="仿宋_GB2312" w:hAnsi="仿宋_GB2312" w:eastAsia="仿宋_GB2312" w:cs="仿宋_GB2312"/>
          <w:b/>
          <w:bCs/>
        </w:rPr>
        <w:t>构建智慧交通</w:t>
      </w:r>
      <w:r>
        <w:rPr>
          <w:rFonts w:hint="eastAsia" w:ascii="仿宋_GB2312" w:hAnsi="仿宋_GB2312" w:eastAsia="仿宋_GB2312" w:cs="仿宋_GB2312"/>
          <w:b/>
          <w:bCs/>
          <w:lang w:val="en-US" w:eastAsia="zh-CN"/>
        </w:rPr>
        <w:t>创新</w:t>
      </w:r>
      <w:r>
        <w:rPr>
          <w:rFonts w:hint="eastAsia" w:ascii="仿宋_GB2312" w:hAnsi="仿宋_GB2312" w:eastAsia="仿宋_GB2312" w:cs="仿宋_GB2312"/>
          <w:b/>
          <w:bCs/>
        </w:rPr>
        <w:t>体系。</w:t>
      </w:r>
      <w:r>
        <w:rPr>
          <w:rFonts w:hint="eastAsia" w:ascii="仿宋_GB2312" w:hAnsi="仿宋_GB2312" w:eastAsia="仿宋_GB2312" w:cs="仿宋_GB2312"/>
        </w:rPr>
        <w:t>通过“智能设施筑基、客货服务创新、数据平台驱动、生态安全协同”四维融合，破解交通的效率与安全瓶颈，深化跨部门数据互通，探索新能源与光伏路面的场景应用，强化“交通链”对乡村产业的赋能，打造“智慧交通+城乡融合”</w:t>
      </w:r>
      <w:r>
        <w:rPr>
          <w:rFonts w:hint="eastAsia" w:ascii="仿宋_GB2312" w:hAnsi="仿宋_GB2312" w:eastAsia="仿宋_GB2312" w:cs="仿宋_GB2312"/>
          <w:lang w:val="en-US" w:eastAsia="zh-CN"/>
        </w:rPr>
        <w:t>示范</w:t>
      </w:r>
      <w:r>
        <w:rPr>
          <w:rFonts w:hint="eastAsia" w:ascii="仿宋_GB2312" w:hAnsi="仿宋_GB2312" w:eastAsia="仿宋_GB2312" w:cs="仿宋_GB2312"/>
        </w:rPr>
        <w:t>样板。</w:t>
      </w:r>
    </w:p>
    <w:tbl>
      <w:tblPr>
        <w:tblStyle w:val="20"/>
        <w:tblW w:w="8335"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335"/>
      </w:tblGrid>
      <w:tr w14:paraId="13A75AF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7" w:hRule="atLeast"/>
          <w:jc w:val="center"/>
        </w:trPr>
        <w:tc>
          <w:tcPr>
            <w:tcW w:w="8335" w:type="dxa"/>
            <w:tcBorders>
              <w:top w:val="single" w:color="auto" w:sz="4" w:space="0"/>
              <w:bottom w:val="single" w:color="auto" w:sz="4" w:space="0"/>
            </w:tcBorders>
            <w:vAlign w:val="center"/>
          </w:tcPr>
          <w:p w14:paraId="17255ED3">
            <w:pPr>
              <w:spacing w:line="340" w:lineRule="exact"/>
              <w:jc w:val="center"/>
              <w:rPr>
                <w:rFonts w:hint="default" w:ascii="仿宋" w:hAnsi="仿宋" w:eastAsia="黑体"/>
                <w:color w:val="000000" w:themeColor="text1"/>
                <w:sz w:val="28"/>
                <w:szCs w:val="28"/>
                <w:lang w:val="en-US" w:eastAsia="zh-CN"/>
                <w14:textFill>
                  <w14:solidFill>
                    <w14:schemeClr w14:val="tx1"/>
                  </w14:solidFill>
                </w14:textFill>
              </w:rPr>
            </w:pPr>
            <w:r>
              <w:rPr>
                <w:rFonts w:hint="eastAsia" w:ascii="黑体" w:hAnsi="黑体" w:eastAsia="黑体" w:cs="黑体"/>
                <w:sz w:val="24"/>
                <w:szCs w:val="24"/>
              </w:rPr>
              <w:t>专栏</w:t>
            </w:r>
            <w:r>
              <w:rPr>
                <w:rFonts w:hint="eastAsia" w:ascii="黑体" w:hAnsi="黑体" w:eastAsia="黑体" w:cs="黑体"/>
                <w:sz w:val="24"/>
                <w:szCs w:val="24"/>
                <w:lang w:val="en-US" w:eastAsia="zh-CN"/>
              </w:rPr>
              <w:t>9</w:t>
            </w:r>
            <w:r>
              <w:rPr>
                <w:rFonts w:hint="eastAsia" w:ascii="黑体" w:hAnsi="黑体" w:eastAsia="黑体" w:cs="黑体"/>
                <w:sz w:val="24"/>
                <w:szCs w:val="24"/>
              </w:rPr>
              <w:t>-1  交通</w:t>
            </w:r>
            <w:r>
              <w:rPr>
                <w:rFonts w:hint="eastAsia" w:ascii="黑体" w:hAnsi="黑体" w:eastAsia="黑体" w:cs="黑体"/>
                <w:sz w:val="24"/>
                <w:szCs w:val="24"/>
                <w:lang w:val="en-US" w:eastAsia="zh-CN"/>
              </w:rPr>
              <w:t>网络</w:t>
            </w:r>
            <w:r>
              <w:rPr>
                <w:rFonts w:hint="eastAsia" w:ascii="黑体" w:hAnsi="黑体" w:eastAsia="黑体" w:cs="黑体"/>
                <w:sz w:val="24"/>
                <w:szCs w:val="24"/>
              </w:rPr>
              <w:t>基础</w:t>
            </w:r>
            <w:r>
              <w:rPr>
                <w:rFonts w:hint="eastAsia" w:ascii="黑体" w:hAnsi="黑体" w:eastAsia="黑体" w:cs="黑体"/>
                <w:sz w:val="24"/>
                <w:szCs w:val="24"/>
                <w:lang w:val="en-US" w:eastAsia="zh-CN"/>
              </w:rPr>
              <w:t>设施提升重点工程</w:t>
            </w:r>
          </w:p>
        </w:tc>
      </w:tr>
      <w:tr w14:paraId="62F492F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7" w:hRule="atLeast"/>
          <w:jc w:val="center"/>
        </w:trPr>
        <w:tc>
          <w:tcPr>
            <w:tcW w:w="8335" w:type="dxa"/>
            <w:tcBorders>
              <w:top w:val="single" w:color="auto" w:sz="4" w:space="0"/>
            </w:tcBorders>
          </w:tcPr>
          <w:p w14:paraId="29694B2D">
            <w:pPr>
              <w:pStyle w:val="8"/>
              <w:bidi w:val="0"/>
              <w:rPr>
                <w:rFonts w:hint="eastAsia" w:ascii="楷体_GB2312" w:hAnsi="楷体_GB2312" w:eastAsia="楷体_GB2312" w:cs="楷体_GB2312"/>
                <w:b/>
                <w:bCs/>
                <w:lang w:val="en-US" w:eastAsia="zh-CN"/>
              </w:rPr>
            </w:pPr>
            <w:r>
              <w:rPr>
                <w:rFonts w:hint="eastAsia" w:ascii="楷体_GB2312" w:hAnsi="楷体_GB2312" w:eastAsia="楷体_GB2312" w:cs="楷体_GB2312"/>
                <w:b/>
                <w:bCs/>
                <w:lang w:val="en-US" w:eastAsia="zh-CN"/>
              </w:rPr>
              <w:t>1.国省干线公路升级工程</w:t>
            </w:r>
          </w:p>
          <w:p w14:paraId="527A29DE">
            <w:pPr>
              <w:pStyle w:val="8"/>
              <w:bidi w:val="0"/>
              <w:rPr>
                <w:rFonts w:hint="eastAsia" w:ascii="楷体_GB2312" w:hAnsi="楷体_GB2312" w:eastAsia="楷体_GB2312" w:cs="楷体_GB2312"/>
              </w:rPr>
            </w:pPr>
            <w:r>
              <w:rPr>
                <w:rFonts w:hint="eastAsia" w:ascii="楷体_GB2312" w:hAnsi="楷体_GB2312" w:eastAsia="楷体_GB2312" w:cs="楷体_GB2312"/>
                <w:lang w:eastAsia="zh-CN"/>
              </w:rPr>
              <w:t>（</w:t>
            </w:r>
            <w:r>
              <w:rPr>
                <w:rFonts w:hint="eastAsia" w:ascii="楷体_GB2312" w:hAnsi="楷体_GB2312" w:eastAsia="楷体_GB2312" w:cs="楷体_GB2312"/>
                <w:lang w:val="en-US" w:eastAsia="zh-CN"/>
              </w:rPr>
              <w:t>1</w:t>
            </w:r>
            <w:r>
              <w:rPr>
                <w:rFonts w:hint="eastAsia" w:ascii="楷体_GB2312" w:hAnsi="楷体_GB2312" w:eastAsia="楷体_GB2312" w:cs="楷体_GB2312"/>
                <w:lang w:eastAsia="zh-CN"/>
              </w:rPr>
              <w:t>）</w:t>
            </w:r>
            <w:r>
              <w:rPr>
                <w:rFonts w:hint="eastAsia" w:ascii="楷体_GB2312" w:hAnsi="楷体_GB2312" w:eastAsia="楷体_GB2312" w:cs="楷体_GB2312"/>
              </w:rPr>
              <w:t>京抚公路大榆树至二龙山段改扩建项目。起点位于大榆树，终点至二龙山，路线全长</w:t>
            </w:r>
            <w:r>
              <w:rPr>
                <w:rFonts w:hint="eastAsia" w:ascii="楷体_GB2312" w:hAnsi="楷体_GB2312" w:eastAsia="楷体_GB2312" w:cs="楷体_GB2312"/>
                <w:lang w:val="en-US" w:eastAsia="zh-CN"/>
              </w:rPr>
              <w:t>29.967</w:t>
            </w:r>
            <w:r>
              <w:rPr>
                <w:rFonts w:hint="eastAsia" w:ascii="楷体_GB2312" w:hAnsi="楷体_GB2312" w:eastAsia="楷体_GB2312" w:cs="楷体_GB2312"/>
              </w:rPr>
              <w:t>公里。</w:t>
            </w:r>
          </w:p>
          <w:p w14:paraId="0E1F62E4">
            <w:pPr>
              <w:pStyle w:val="8"/>
              <w:bidi w:val="0"/>
              <w:rPr>
                <w:rFonts w:hint="eastAsia" w:ascii="楷体_GB2312" w:hAnsi="楷体_GB2312" w:eastAsia="楷体_GB2312" w:cs="楷体_GB2312"/>
              </w:rPr>
            </w:pPr>
            <w:r>
              <w:rPr>
                <w:rFonts w:hint="eastAsia" w:ascii="楷体_GB2312" w:hAnsi="楷体_GB2312" w:eastAsia="楷体_GB2312" w:cs="楷体_GB2312"/>
                <w:lang w:eastAsia="zh-CN"/>
              </w:rPr>
              <w:t>（</w:t>
            </w:r>
            <w:r>
              <w:rPr>
                <w:rFonts w:hint="eastAsia" w:ascii="楷体_GB2312" w:hAnsi="楷体_GB2312" w:eastAsia="楷体_GB2312" w:cs="楷体_GB2312"/>
                <w:lang w:val="en-US" w:eastAsia="zh-CN"/>
              </w:rPr>
              <w:t>2</w:t>
            </w:r>
            <w:r>
              <w:rPr>
                <w:rFonts w:hint="eastAsia" w:ascii="楷体_GB2312" w:hAnsi="楷体_GB2312" w:eastAsia="楷体_GB2312" w:cs="楷体_GB2312"/>
                <w:lang w:eastAsia="zh-CN"/>
              </w:rPr>
              <w:t>）</w:t>
            </w:r>
            <w:r>
              <w:rPr>
                <w:rFonts w:hint="eastAsia" w:ascii="楷体_GB2312" w:hAnsi="楷体_GB2312" w:eastAsia="楷体_GB2312" w:cs="楷体_GB2312"/>
              </w:rPr>
              <w:t>京抚公路建三江至创业农场段改扩建项目。起于建三江，终于创业农场。</w:t>
            </w:r>
          </w:p>
          <w:p w14:paraId="16C6F388">
            <w:pPr>
              <w:pStyle w:val="8"/>
              <w:bidi w:val="0"/>
              <w:rPr>
                <w:rFonts w:hint="eastAsia" w:ascii="楷体_GB2312" w:hAnsi="楷体_GB2312" w:eastAsia="楷体_GB2312" w:cs="楷体_GB2312"/>
              </w:rPr>
            </w:pPr>
            <w:r>
              <w:rPr>
                <w:rFonts w:hint="eastAsia" w:ascii="楷体_GB2312" w:hAnsi="楷体_GB2312" w:eastAsia="楷体_GB2312" w:cs="楷体_GB2312"/>
                <w:lang w:eastAsia="zh-CN"/>
              </w:rPr>
              <w:t>（</w:t>
            </w:r>
            <w:r>
              <w:rPr>
                <w:rFonts w:hint="eastAsia" w:ascii="楷体_GB2312" w:hAnsi="楷体_GB2312" w:eastAsia="楷体_GB2312" w:cs="楷体_GB2312"/>
                <w:lang w:val="en-US" w:eastAsia="zh-CN"/>
              </w:rPr>
              <w:t>3</w:t>
            </w:r>
            <w:r>
              <w:rPr>
                <w:rFonts w:hint="eastAsia" w:ascii="楷体_GB2312" w:hAnsi="楷体_GB2312" w:eastAsia="楷体_GB2312" w:cs="楷体_GB2312"/>
                <w:lang w:eastAsia="zh-CN"/>
              </w:rPr>
              <w:t>）</w:t>
            </w:r>
            <w:r>
              <w:rPr>
                <w:rFonts w:hint="eastAsia" w:ascii="楷体_GB2312" w:hAnsi="楷体_GB2312" w:eastAsia="楷体_GB2312" w:cs="楷体_GB2312"/>
              </w:rPr>
              <w:t>京抚公路富锦过境段绕</w:t>
            </w:r>
            <w:r>
              <w:rPr>
                <w:rFonts w:hint="eastAsia" w:ascii="楷体_GB2312" w:hAnsi="楷体_GB2312" w:eastAsia="楷体_GB2312" w:cs="楷体_GB2312"/>
                <w:lang w:val="en-US" w:eastAsia="zh-CN"/>
              </w:rPr>
              <w:t>越</w:t>
            </w:r>
            <w:r>
              <w:rPr>
                <w:rFonts w:hint="eastAsia" w:ascii="楷体_GB2312" w:hAnsi="楷体_GB2312" w:eastAsia="楷体_GB2312" w:cs="楷体_GB2312"/>
              </w:rPr>
              <w:t>新建项目。起于富锦市高速收费站北1.5公里处，上跨佳富铁路，经华胜村西侧，终点与京抚公路（G102）相接，路线长13.45公里。</w:t>
            </w:r>
          </w:p>
          <w:p w14:paraId="5E6BBED0">
            <w:pPr>
              <w:pStyle w:val="8"/>
              <w:bidi w:val="0"/>
              <w:rPr>
                <w:rFonts w:hint="eastAsia" w:ascii="楷体_GB2312" w:hAnsi="楷体_GB2312" w:eastAsia="楷体_GB2312" w:cs="楷体_GB2312"/>
                <w:b/>
                <w:bCs/>
                <w:lang w:val="en-US" w:eastAsia="zh-CN"/>
              </w:rPr>
            </w:pPr>
            <w:r>
              <w:rPr>
                <w:rFonts w:hint="eastAsia" w:ascii="楷体_GB2312" w:hAnsi="楷体_GB2312" w:eastAsia="楷体_GB2312" w:cs="楷体_GB2312"/>
                <w:b/>
                <w:bCs/>
                <w:lang w:val="en-US" w:eastAsia="zh-CN"/>
              </w:rPr>
              <w:t>2.地方交通设施完善工程</w:t>
            </w:r>
          </w:p>
          <w:p w14:paraId="3284FFF7">
            <w:pPr>
              <w:pStyle w:val="8"/>
              <w:bidi w:val="0"/>
              <w:rPr>
                <w:rFonts w:hint="eastAsia" w:ascii="楷体_GB2312" w:hAnsi="楷体_GB2312" w:eastAsia="楷体_GB2312" w:cs="楷体_GB2312"/>
              </w:rPr>
            </w:pPr>
            <w:r>
              <w:rPr>
                <w:rFonts w:hint="eastAsia" w:ascii="楷体_GB2312" w:hAnsi="楷体_GB2312" w:eastAsia="楷体_GB2312" w:cs="楷体_GB2312"/>
                <w:lang w:eastAsia="zh-CN"/>
              </w:rPr>
              <w:t>（</w:t>
            </w:r>
            <w:r>
              <w:rPr>
                <w:rFonts w:hint="eastAsia" w:ascii="楷体_GB2312" w:hAnsi="楷体_GB2312" w:eastAsia="楷体_GB2312" w:cs="楷体_GB2312"/>
                <w:lang w:val="en-US" w:eastAsia="zh-CN"/>
              </w:rPr>
              <w:t>1</w:t>
            </w:r>
            <w:r>
              <w:rPr>
                <w:rFonts w:hint="eastAsia" w:ascii="楷体_GB2312" w:hAnsi="楷体_GB2312" w:eastAsia="楷体_GB2312" w:cs="楷体_GB2312"/>
                <w:lang w:eastAsia="zh-CN"/>
              </w:rPr>
              <w:t>）</w:t>
            </w:r>
            <w:r>
              <w:rPr>
                <w:rFonts w:hint="eastAsia" w:ascii="楷体_GB2312" w:hAnsi="楷体_GB2312" w:eastAsia="楷体_GB2312" w:cs="楷体_GB2312"/>
              </w:rPr>
              <w:t>富锦农村公路改造提升工程。主要建设内容：改扩建路基路面、桥梁、涵洞等。</w:t>
            </w:r>
          </w:p>
          <w:p w14:paraId="33A85318">
            <w:pPr>
              <w:pStyle w:val="8"/>
              <w:bidi w:val="0"/>
              <w:rPr>
                <w:rFonts w:hint="eastAsia" w:ascii="楷体_GB2312" w:hAnsi="楷体_GB2312" w:eastAsia="楷体_GB2312" w:cs="楷体_GB2312"/>
                <w:lang w:eastAsia="zh-CN"/>
              </w:rPr>
            </w:pPr>
            <w:r>
              <w:rPr>
                <w:rFonts w:hint="eastAsia" w:ascii="楷体_GB2312" w:hAnsi="楷体_GB2312" w:eastAsia="楷体_GB2312" w:cs="楷体_GB2312"/>
                <w:lang w:eastAsia="zh-CN"/>
              </w:rPr>
              <w:t>（</w:t>
            </w:r>
            <w:r>
              <w:rPr>
                <w:rFonts w:hint="eastAsia" w:ascii="楷体_GB2312" w:hAnsi="楷体_GB2312" w:eastAsia="楷体_GB2312" w:cs="楷体_GB2312"/>
                <w:lang w:val="en-US" w:eastAsia="zh-CN"/>
              </w:rPr>
              <w:t>2</w:t>
            </w:r>
            <w:r>
              <w:rPr>
                <w:rFonts w:hint="eastAsia" w:ascii="楷体_GB2312" w:hAnsi="楷体_GB2312" w:eastAsia="楷体_GB2312" w:cs="楷体_GB2312"/>
                <w:lang w:eastAsia="zh-CN"/>
              </w:rPr>
              <w:t>）</w:t>
            </w:r>
            <w:r>
              <w:rPr>
                <w:rFonts w:hint="eastAsia" w:ascii="楷体_GB2312" w:hAnsi="楷体_GB2312" w:eastAsia="楷体_GB2312" w:cs="楷体_GB2312"/>
              </w:rPr>
              <w:t>佳同铁路扩能改造工程。主要建设内容：升级改造富锦站</w:t>
            </w:r>
            <w:r>
              <w:rPr>
                <w:rFonts w:hint="eastAsia" w:ascii="楷体_GB2312" w:hAnsi="楷体_GB2312" w:eastAsia="楷体_GB2312" w:cs="楷体_GB2312"/>
                <w:lang w:eastAsia="zh-CN"/>
              </w:rPr>
              <w:t>及</w:t>
            </w:r>
            <w:r>
              <w:rPr>
                <w:rFonts w:hint="eastAsia" w:ascii="楷体_GB2312" w:hAnsi="楷体_GB2312" w:eastAsia="楷体_GB2312" w:cs="楷体_GB2312"/>
              </w:rPr>
              <w:t>既有线、扩能站场、补强设施、改造电力、通信、信号、信息</w:t>
            </w:r>
            <w:r>
              <w:rPr>
                <w:rFonts w:hint="eastAsia" w:ascii="楷体_GB2312" w:hAnsi="楷体_GB2312" w:eastAsia="楷体_GB2312" w:cs="楷体_GB2312"/>
                <w:lang w:eastAsia="zh-CN"/>
              </w:rPr>
              <w:t>等。</w:t>
            </w:r>
          </w:p>
          <w:p w14:paraId="0AB1C9BA">
            <w:pPr>
              <w:pStyle w:val="8"/>
              <w:bidi w:val="0"/>
              <w:rPr>
                <w:rFonts w:hint="eastAsia" w:ascii="楷体_GB2312" w:hAnsi="楷体_GB2312" w:eastAsia="楷体_GB2312" w:cs="楷体_GB2312"/>
                <w:lang w:val="en-US" w:eastAsia="zh-CN"/>
              </w:rPr>
            </w:pPr>
            <w:r>
              <w:rPr>
                <w:rFonts w:hint="eastAsia" w:ascii="楷体_GB2312" w:hAnsi="楷体_GB2312" w:eastAsia="楷体_GB2312" w:cs="楷体_GB2312"/>
                <w:b/>
                <w:bCs/>
                <w:lang w:val="en-US" w:eastAsia="zh-CN"/>
              </w:rPr>
              <w:t>3</w:t>
            </w:r>
            <w:r>
              <w:rPr>
                <w:rFonts w:hint="eastAsia" w:ascii="楷体_GB2312" w:hAnsi="楷体_GB2312" w:eastAsia="楷体_GB2312" w:cs="楷体_GB2312"/>
                <w:b/>
                <w:bCs/>
                <w:lang w:eastAsia="zh-CN"/>
              </w:rPr>
              <w:t>.</w:t>
            </w:r>
            <w:r>
              <w:rPr>
                <w:rFonts w:hint="eastAsia" w:ascii="楷体_GB2312" w:hAnsi="楷体_GB2312" w:eastAsia="楷体_GB2312" w:cs="楷体_GB2312"/>
                <w:b/>
                <w:bCs/>
              </w:rPr>
              <w:t>富锦国际现代物流产业园</w:t>
            </w:r>
            <w:r>
              <w:rPr>
                <w:rFonts w:hint="eastAsia" w:ascii="楷体_GB2312" w:hAnsi="楷体_GB2312" w:eastAsia="楷体_GB2312" w:cs="楷体_GB2312"/>
                <w:b/>
                <w:bCs/>
                <w:lang w:eastAsia="zh-CN"/>
              </w:rPr>
              <w:t>创建工程</w:t>
            </w:r>
            <w:r>
              <w:rPr>
                <w:rFonts w:hint="eastAsia" w:ascii="楷体_GB2312" w:hAnsi="楷体_GB2312" w:eastAsia="楷体_GB2312" w:cs="楷体_GB2312"/>
                <w:b/>
                <w:bCs/>
              </w:rPr>
              <w:t>。</w:t>
            </w:r>
            <w:r>
              <w:rPr>
                <w:rFonts w:hint="eastAsia" w:ascii="楷体_GB2312" w:hAnsi="楷体_GB2312" w:eastAsia="楷体_GB2312" w:cs="楷体_GB2312"/>
                <w:lang w:eastAsia="zh-CN"/>
              </w:rPr>
              <w:t>基于国家战略实施承载和现代产业体系转型升级需求，构建集中转集散、多式联运、中介代理、冷链仓储等功能于一体的</w:t>
            </w:r>
            <w:r>
              <w:rPr>
                <w:rFonts w:hint="eastAsia" w:ascii="楷体_GB2312" w:hAnsi="楷体_GB2312" w:cs="楷体_GB2312"/>
                <w:lang w:eastAsia="zh-CN"/>
              </w:rPr>
              <w:t>现代物流体系</w:t>
            </w:r>
            <w:r>
              <w:rPr>
                <w:rFonts w:hint="eastAsia" w:ascii="楷体_GB2312" w:hAnsi="楷体_GB2312" w:eastAsia="楷体_GB2312" w:cs="楷体_GB2312"/>
                <w:lang w:eastAsia="zh-CN"/>
              </w:rPr>
              <w:t>，将</w:t>
            </w:r>
            <w:r>
              <w:rPr>
                <w:rFonts w:hint="eastAsia" w:ascii="楷体_GB2312" w:hAnsi="楷体_GB2312" w:eastAsia="楷体_GB2312" w:cs="楷体_GB2312"/>
                <w:lang w:val="en-US" w:eastAsia="zh-CN"/>
              </w:rPr>
              <w:t>富锦</w:t>
            </w:r>
            <w:r>
              <w:rPr>
                <w:rFonts w:hint="eastAsia" w:ascii="楷体_GB2312" w:hAnsi="楷体_GB2312" w:eastAsia="楷体_GB2312" w:cs="楷体_GB2312"/>
                <w:lang w:eastAsia="zh-CN"/>
              </w:rPr>
              <w:t>打造成为东北亚地区重要的国家物流枢纽节点。项目一期投资</w:t>
            </w:r>
            <w:r>
              <w:rPr>
                <w:rFonts w:hint="eastAsia" w:ascii="楷体_GB2312" w:hAnsi="楷体_GB2312" w:cs="楷体_GB2312"/>
                <w:lang w:val="en-US" w:eastAsia="zh-CN"/>
              </w:rPr>
              <w:t>1</w:t>
            </w:r>
            <w:r>
              <w:rPr>
                <w:rFonts w:hint="eastAsia" w:ascii="楷体_GB2312" w:hAnsi="楷体_GB2312" w:eastAsia="楷体_GB2312" w:cs="楷体_GB2312"/>
                <w:lang w:val="en-US" w:eastAsia="zh-CN"/>
              </w:rPr>
              <w:t>.9</w:t>
            </w:r>
            <w:r>
              <w:rPr>
                <w:rFonts w:hint="eastAsia" w:ascii="楷体_GB2312" w:hAnsi="楷体_GB2312" w:cs="楷体_GB2312"/>
                <w:lang w:val="en-US" w:eastAsia="zh-CN"/>
              </w:rPr>
              <w:t>5</w:t>
            </w:r>
            <w:r>
              <w:rPr>
                <w:rFonts w:hint="eastAsia" w:ascii="楷体_GB2312" w:hAnsi="楷体_GB2312" w:eastAsia="楷体_GB2312" w:cs="楷体_GB2312"/>
                <w:lang w:val="en-US" w:eastAsia="zh-CN"/>
              </w:rPr>
              <w:t>亿元，新建汽车服务之家、快递分拣中心等10个项目，总用地面积约8.3万平方米，总建筑面积约</w:t>
            </w:r>
            <w:r>
              <w:rPr>
                <w:rFonts w:hint="eastAsia" w:ascii="楷体_GB2312" w:hAnsi="楷体_GB2312" w:cs="楷体_GB2312"/>
                <w:lang w:val="en-US" w:eastAsia="zh-CN"/>
              </w:rPr>
              <w:t>8</w:t>
            </w:r>
            <w:r>
              <w:rPr>
                <w:rFonts w:hint="eastAsia" w:ascii="楷体_GB2312" w:hAnsi="楷体_GB2312" w:eastAsia="楷体_GB2312" w:cs="楷体_GB2312"/>
                <w:lang w:val="en-US" w:eastAsia="zh-CN"/>
              </w:rPr>
              <w:t>.3万平方米。</w:t>
            </w:r>
          </w:p>
          <w:p w14:paraId="288726D2">
            <w:pPr>
              <w:pStyle w:val="8"/>
              <w:bidi w:val="0"/>
              <w:rPr>
                <w:rFonts w:hint="default" w:ascii="楷体" w:hAnsi="楷体" w:eastAsia="楷体" w:cs="楷体"/>
                <w:szCs w:val="28"/>
                <w:u w:val="none"/>
                <w:shd w:val="clear" w:fill="auto"/>
                <w:lang w:val="en-US" w:eastAsia="zh-CN"/>
              </w:rPr>
            </w:pPr>
            <w:r>
              <w:rPr>
                <w:rFonts w:hint="eastAsia" w:ascii="楷体_GB2312" w:hAnsi="楷体_GB2312" w:eastAsia="楷体_GB2312" w:cs="楷体_GB2312"/>
                <w:b/>
                <w:bCs/>
                <w:lang w:val="en-US" w:eastAsia="zh-CN"/>
              </w:rPr>
              <w:t>4.富锦港区大屯作业区码头建设工程。</w:t>
            </w:r>
            <w:r>
              <w:rPr>
                <w:rFonts w:hint="eastAsia" w:ascii="楷体_GB2312" w:hAnsi="楷体_GB2312" w:eastAsia="楷体_GB2312" w:cs="楷体_GB2312"/>
                <w:lang w:val="en-US" w:eastAsia="zh-CN"/>
              </w:rPr>
              <w:t>布置2个1000吨级通用泊位（水工兼顾3000吨级船舶），占用岸线161.8米，其中1个为危化品集装箱专用码头，1个为危化品普通吊装码头，可开展LNG、LPG装卸作业。</w:t>
            </w:r>
          </w:p>
        </w:tc>
      </w:tr>
    </w:tbl>
    <w:p w14:paraId="65492B4A">
      <w:pPr>
        <w:pStyle w:val="3"/>
        <w:bidi w:val="0"/>
        <w:rPr>
          <w:rFonts w:hint="default"/>
          <w:lang w:val="en-US" w:eastAsia="zh-CN"/>
        </w:rPr>
      </w:pPr>
      <w:bookmarkStart w:id="60" w:name="_Toc29071"/>
      <w:r>
        <w:rPr>
          <w:rFonts w:hint="eastAsia"/>
          <w:lang w:val="en-US" w:eastAsia="zh-CN"/>
        </w:rPr>
        <w:t>第二节  筑牢“安全韧性”水利基础设施网络</w:t>
      </w:r>
      <w:bookmarkEnd w:id="60"/>
    </w:p>
    <w:p w14:paraId="35029F9F">
      <w:pPr>
        <w:keepNext w:val="0"/>
        <w:keepLines w:val="0"/>
        <w:pageBreakBefore w:val="0"/>
        <w:widowControl w:val="0"/>
        <w:kinsoku/>
        <w:wordWrap/>
        <w:overflowPunct/>
        <w:bidi w:val="0"/>
        <w:spacing w:line="600" w:lineRule="exact"/>
        <w:textAlignment w:val="auto"/>
        <w:rPr>
          <w:rFonts w:hint="eastAsia" w:ascii="仿宋_GB2312" w:hAnsi="仿宋_GB2312" w:eastAsia="仿宋_GB2312" w:cs="仿宋_GB2312"/>
        </w:rPr>
      </w:pPr>
      <w:r>
        <w:rPr>
          <w:rFonts w:hint="eastAsia" w:ascii="仿宋_GB2312" w:hAnsi="仿宋_GB2312" w:eastAsia="仿宋_GB2312" w:cs="仿宋_GB2312"/>
          <w:b/>
          <w:bCs/>
        </w:rPr>
        <w:t>强化供水安全保障。</w:t>
      </w:r>
      <w:r>
        <w:rPr>
          <w:rFonts w:hint="default" w:ascii="Times New Roman" w:hAnsi="Times New Roman" w:eastAsia="仿宋_GB2312" w:cs="Times New Roman"/>
          <w:sz w:val="32"/>
          <w:szCs w:val="32"/>
        </w:rPr>
        <w:t>加快建设现代化水网，增强洪涝灾害防御、水资源统筹调配、城乡供水保障能力</w:t>
      </w:r>
      <w:r>
        <w:rPr>
          <w:rFonts w:hint="default" w:ascii="Times New Roman" w:hAnsi="Times New Roman" w:cs="Times New Roman"/>
          <w:sz w:val="32"/>
          <w:szCs w:val="32"/>
          <w:lang w:eastAsia="zh-CN"/>
        </w:rPr>
        <w:t>，</w:t>
      </w:r>
      <w:r>
        <w:rPr>
          <w:rFonts w:hint="default" w:ascii="Times New Roman" w:hAnsi="Times New Roman" w:eastAsia="仿宋_GB2312" w:cs="Times New Roman"/>
          <w:color w:val="000000"/>
          <w:kern w:val="2"/>
          <w:sz w:val="32"/>
          <w:szCs w:val="32"/>
          <w:u w:val="none"/>
          <w:lang w:val="en-US" w:eastAsia="zh-CN" w:bidi="ar-SA"/>
        </w:rPr>
        <w:t>健全长效管护机制，筑牢城市饮水安全生命线。</w:t>
      </w:r>
      <w:r>
        <w:rPr>
          <w:rFonts w:hint="eastAsia" w:ascii="仿宋_GB2312" w:hAnsi="仿宋_GB2312" w:eastAsia="仿宋_GB2312" w:cs="仿宋_GB2312"/>
        </w:rPr>
        <w:t>实施粮食产能提升重大水利工程，积极推进灌区续建配套与现代化改造，改扩建幸福、红旗、红卫灌区，新建锦东灌区，加速锦西灌区田间配套工程。深化农业节水增效，推广水稻节水控制灌溉、渠道防渗、管道输水等高效节水技术，配套完善计量设施。促进城乡供水融合发展，加大农村供水工程运行管理力度，加快富锦市农村供水保障工程建设，保障农村饮水安全，推进农村饮水工程维修养护项目。健全长效管护机制，强化农村供水工程专业化、规范化、智能化运行管理。</w:t>
      </w:r>
    </w:p>
    <w:p w14:paraId="07C014D7">
      <w:pPr>
        <w:bidi w:val="0"/>
        <w:rPr>
          <w:rFonts w:hint="eastAsia" w:ascii="仿宋_GB2312" w:hAnsi="仿宋_GB2312" w:eastAsia="仿宋_GB2312" w:cs="仿宋_GB2312"/>
        </w:rPr>
      </w:pPr>
      <w:r>
        <w:rPr>
          <w:rFonts w:hint="eastAsia" w:ascii="仿宋_GB2312" w:hAnsi="仿宋_GB2312" w:eastAsia="仿宋_GB2312" w:cs="仿宋_GB2312"/>
          <w:b/>
          <w:bCs/>
        </w:rPr>
        <w:t>提高防洪减灾能力。</w:t>
      </w:r>
      <w:r>
        <w:rPr>
          <w:rFonts w:hint="eastAsia" w:ascii="仿宋_GB2312" w:hAnsi="仿宋_GB2312" w:eastAsia="仿宋_GB2312" w:cs="仿宋_GB2312"/>
        </w:rPr>
        <w:t>完善</w:t>
      </w:r>
      <w:r>
        <w:rPr>
          <w:rFonts w:hint="eastAsia" w:ascii="仿宋_GB2312" w:hAnsi="仿宋_GB2312" w:cs="仿宋_GB2312"/>
          <w:lang w:val="en-US" w:eastAsia="zh-CN"/>
        </w:rPr>
        <w:t>排水防涝体系</w:t>
      </w:r>
      <w:r>
        <w:rPr>
          <w:rFonts w:hint="eastAsia" w:ascii="仿宋_GB2312" w:hAnsi="仿宋_GB2312" w:eastAsia="仿宋_GB2312" w:cs="仿宋_GB2312"/>
        </w:rPr>
        <w:t>，加大松花江流域防洪工程建设力度，提高重点保护区防洪标准。</w:t>
      </w:r>
      <w:r>
        <w:rPr>
          <w:rFonts w:hint="eastAsia" w:ascii="仿宋_GB2312" w:hAnsi="仿宋_GB2312" w:cs="仿宋_GB2312"/>
          <w:lang w:val="en-US" w:eastAsia="zh-CN"/>
        </w:rPr>
        <w:t>加强</w:t>
      </w:r>
      <w:r>
        <w:rPr>
          <w:rFonts w:hint="eastAsia" w:ascii="仿宋_GB2312" w:hAnsi="仿宋_GB2312" w:eastAsia="仿宋_GB2312" w:cs="仿宋_GB2312"/>
        </w:rPr>
        <w:t>河道疏浚、堤防加固、生态护岸建设，畅通行洪通道，继续推进富锦支河治理工程建设项目、富锦市外七星河（解放桥下游段）治理工程、富锦市内七星河治理工程建设项目、挠力河治理工程建设项目</w:t>
      </w:r>
      <w:r>
        <w:rPr>
          <w:rFonts w:hint="eastAsia" w:ascii="仿宋_GB2312" w:hAnsi="仿宋_GB2312" w:cs="仿宋_GB2312"/>
          <w:lang w:eastAsia="zh-CN"/>
        </w:rPr>
        <w:t>，</w:t>
      </w:r>
      <w:r>
        <w:rPr>
          <w:rFonts w:hint="eastAsia" w:ascii="仿宋_GB2312" w:hAnsi="仿宋_GB2312" w:cs="仿宋_GB2312"/>
          <w:lang w:val="en-US" w:eastAsia="zh-CN"/>
        </w:rPr>
        <w:t>提升市政排水基础设施服务能力</w:t>
      </w:r>
      <w:r>
        <w:rPr>
          <w:rFonts w:hint="eastAsia" w:ascii="仿宋_GB2312" w:hAnsi="仿宋_GB2312" w:eastAsia="仿宋_GB2312" w:cs="仿宋_GB2312"/>
        </w:rPr>
        <w:t>。探索智慧水利建设，推进水网防洪调度及水资源配置能力提升项目建设，利用省级水利大数据平台，实现数据共享。推广智能监测设备，提升实时监控能力，发展智能调度系统，优化水资源配置。</w:t>
      </w:r>
    </w:p>
    <w:tbl>
      <w:tblPr>
        <w:tblStyle w:val="20"/>
        <w:tblW w:w="8335"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335"/>
      </w:tblGrid>
      <w:tr w14:paraId="09EB80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8335" w:type="dxa"/>
            <w:tcBorders>
              <w:top w:val="single" w:color="auto" w:sz="4" w:space="0"/>
              <w:bottom w:val="single" w:color="auto" w:sz="4" w:space="0"/>
            </w:tcBorders>
            <w:vAlign w:val="center"/>
          </w:tcPr>
          <w:p w14:paraId="4C1A6B0E">
            <w:pPr>
              <w:ind w:left="0" w:leftChars="0" w:firstLine="0" w:firstLineChars="0"/>
              <w:jc w:val="center"/>
              <w:rPr>
                <w:rFonts w:hint="eastAsia" w:ascii="仿宋" w:hAnsi="仿宋" w:eastAsia="仿宋"/>
                <w:color w:val="000000" w:themeColor="text1"/>
                <w:sz w:val="28"/>
                <w:szCs w:val="28"/>
                <w14:textFill>
                  <w14:solidFill>
                    <w14:schemeClr w14:val="tx1"/>
                  </w14:solidFill>
                </w14:textFill>
              </w:rPr>
            </w:pPr>
            <w:r>
              <w:rPr>
                <w:rFonts w:hint="eastAsia" w:ascii="黑体" w:hAnsi="黑体" w:eastAsia="黑体" w:cs="黑体"/>
                <w:sz w:val="24"/>
                <w:szCs w:val="24"/>
              </w:rPr>
              <w:t>专栏</w:t>
            </w:r>
            <w:r>
              <w:rPr>
                <w:rFonts w:hint="eastAsia" w:ascii="黑体" w:hAnsi="黑体" w:eastAsia="黑体" w:cs="黑体"/>
                <w:sz w:val="24"/>
                <w:szCs w:val="24"/>
                <w:lang w:val="en-US" w:eastAsia="zh-CN"/>
              </w:rPr>
              <w:t>9</w:t>
            </w:r>
            <w:r>
              <w:rPr>
                <w:rFonts w:hint="eastAsia" w:ascii="黑体" w:hAnsi="黑体" w:eastAsia="黑体" w:cs="黑体"/>
                <w:sz w:val="24"/>
                <w:szCs w:val="24"/>
              </w:rPr>
              <w:t>-2  水利设施建设重点</w:t>
            </w:r>
            <w:r>
              <w:rPr>
                <w:rFonts w:hint="eastAsia" w:ascii="黑体" w:hAnsi="黑体" w:eastAsia="黑体" w:cs="黑体"/>
                <w:sz w:val="24"/>
                <w:szCs w:val="24"/>
                <w:lang w:val="en-US" w:eastAsia="zh-CN"/>
              </w:rPr>
              <w:t>工程</w:t>
            </w:r>
          </w:p>
        </w:tc>
      </w:tr>
      <w:tr w14:paraId="438A399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8335" w:type="dxa"/>
            <w:tcBorders>
              <w:top w:val="single" w:color="auto" w:sz="4" w:space="0"/>
            </w:tcBorders>
          </w:tcPr>
          <w:p w14:paraId="1DE8002C">
            <w:pPr>
              <w:pStyle w:val="8"/>
              <w:bidi w:val="0"/>
              <w:rPr>
                <w:rFonts w:hint="eastAsia" w:ascii="楷体_GB2312" w:hAnsi="楷体_GB2312" w:eastAsia="楷体_GB2312" w:cs="楷体_GB2312"/>
                <w:b/>
                <w:bCs/>
                <w:lang w:val="en-US" w:eastAsia="zh-CN"/>
              </w:rPr>
            </w:pPr>
            <w:r>
              <w:rPr>
                <w:rFonts w:hint="eastAsia" w:ascii="楷体_GB2312" w:hAnsi="楷体_GB2312" w:eastAsia="楷体_GB2312" w:cs="楷体_GB2312"/>
                <w:b/>
                <w:bCs/>
                <w:lang w:val="en-US" w:eastAsia="zh-CN"/>
              </w:rPr>
              <w:t>1.水资源优化</w:t>
            </w:r>
            <w:r>
              <w:rPr>
                <w:rFonts w:hint="eastAsia" w:ascii="楷体_GB2312" w:hAnsi="楷体_GB2312" w:cs="楷体_GB2312"/>
                <w:b/>
                <w:bCs/>
                <w:lang w:val="en-US" w:eastAsia="zh-CN"/>
              </w:rPr>
              <w:t>配置</w:t>
            </w:r>
            <w:r>
              <w:rPr>
                <w:rFonts w:hint="eastAsia" w:ascii="楷体_GB2312" w:hAnsi="楷体_GB2312" w:eastAsia="楷体_GB2312" w:cs="楷体_GB2312"/>
                <w:b/>
                <w:bCs/>
                <w:lang w:val="en-US" w:eastAsia="zh-CN"/>
              </w:rPr>
              <w:t>工程</w:t>
            </w:r>
          </w:p>
          <w:p w14:paraId="3A802EAD">
            <w:pPr>
              <w:pStyle w:val="8"/>
              <w:bidi w:val="0"/>
              <w:rPr>
                <w:rFonts w:hint="eastAsia" w:ascii="楷体_GB2312" w:hAnsi="楷体_GB2312" w:eastAsia="楷体_GB2312" w:cs="楷体_GB2312"/>
              </w:rPr>
            </w:pPr>
            <w:r>
              <w:rPr>
                <w:rFonts w:hint="eastAsia" w:ascii="楷体_GB2312" w:hAnsi="楷体_GB2312" w:eastAsia="楷体_GB2312" w:cs="楷体_GB2312"/>
                <w:lang w:eastAsia="zh-CN"/>
              </w:rPr>
              <w:t>（</w:t>
            </w:r>
            <w:r>
              <w:rPr>
                <w:rFonts w:hint="eastAsia" w:ascii="楷体_GB2312" w:hAnsi="楷体_GB2312" w:eastAsia="楷体_GB2312" w:cs="楷体_GB2312"/>
                <w:lang w:val="en-US" w:eastAsia="zh-CN"/>
              </w:rPr>
              <w:t>1</w:t>
            </w:r>
            <w:r>
              <w:rPr>
                <w:rFonts w:hint="eastAsia" w:ascii="楷体_GB2312" w:hAnsi="楷体_GB2312" w:eastAsia="楷体_GB2312" w:cs="楷体_GB2312"/>
                <w:lang w:eastAsia="zh-CN"/>
              </w:rPr>
              <w:t>）</w:t>
            </w:r>
            <w:r>
              <w:rPr>
                <w:rFonts w:hint="eastAsia" w:ascii="楷体_GB2312" w:hAnsi="楷体_GB2312" w:eastAsia="楷体_GB2312" w:cs="楷体_GB2312"/>
              </w:rPr>
              <w:t>粮食产能提升重大水利工程。改扩建幸福、红旗、红卫灌区，新建锦东灌区。</w:t>
            </w:r>
          </w:p>
          <w:p w14:paraId="4AFCBC75">
            <w:pPr>
              <w:pStyle w:val="8"/>
              <w:bidi w:val="0"/>
              <w:rPr>
                <w:rFonts w:hint="eastAsia" w:ascii="楷体_GB2312" w:hAnsi="楷体_GB2312" w:eastAsia="楷体_GB2312" w:cs="楷体_GB2312"/>
              </w:rPr>
            </w:pPr>
            <w:r>
              <w:rPr>
                <w:rFonts w:hint="eastAsia" w:ascii="楷体_GB2312" w:hAnsi="楷体_GB2312" w:eastAsia="楷体_GB2312" w:cs="楷体_GB2312"/>
                <w:lang w:eastAsia="zh-CN"/>
              </w:rPr>
              <w:t>（</w:t>
            </w:r>
            <w:r>
              <w:rPr>
                <w:rFonts w:hint="eastAsia" w:ascii="楷体_GB2312" w:hAnsi="楷体_GB2312" w:eastAsia="楷体_GB2312" w:cs="楷体_GB2312"/>
                <w:lang w:val="en-US" w:eastAsia="zh-CN"/>
              </w:rPr>
              <w:t>2</w:t>
            </w:r>
            <w:r>
              <w:rPr>
                <w:rFonts w:hint="eastAsia" w:ascii="楷体_GB2312" w:hAnsi="楷体_GB2312" w:eastAsia="楷体_GB2312" w:cs="楷体_GB2312"/>
                <w:lang w:eastAsia="zh-CN"/>
              </w:rPr>
              <w:t>）</w:t>
            </w:r>
            <w:r>
              <w:rPr>
                <w:rFonts w:hint="eastAsia" w:ascii="楷体_GB2312" w:hAnsi="楷体_GB2312" w:eastAsia="楷体_GB2312" w:cs="楷体_GB2312"/>
              </w:rPr>
              <w:t>富锦市幸福灌区续建配套与现代化改造项目。项目涉及富锦市全域，主要提升灌区整体公共服务，具体为完善相关公共服务配套，建立信息化管理系统。</w:t>
            </w:r>
          </w:p>
          <w:p w14:paraId="3DFCFCE1">
            <w:pPr>
              <w:pStyle w:val="8"/>
              <w:bidi w:val="0"/>
              <w:rPr>
                <w:rFonts w:hint="default" w:ascii="楷体_GB2312" w:hAnsi="楷体_GB2312" w:eastAsia="楷体_GB2312" w:cs="楷体_GB2312"/>
                <w:b/>
                <w:bCs/>
                <w:lang w:val="en-US" w:eastAsia="zh-CN"/>
              </w:rPr>
            </w:pPr>
            <w:r>
              <w:rPr>
                <w:rFonts w:hint="eastAsia" w:ascii="楷体_GB2312" w:hAnsi="楷体_GB2312" w:eastAsia="楷体_GB2312" w:cs="楷体_GB2312"/>
                <w:b/>
                <w:bCs/>
                <w:lang w:val="en-US" w:eastAsia="zh-CN"/>
              </w:rPr>
              <w:t>2.防洪减灾工程</w:t>
            </w:r>
          </w:p>
          <w:p w14:paraId="0774E827">
            <w:pPr>
              <w:pStyle w:val="8"/>
              <w:bidi w:val="0"/>
              <w:rPr>
                <w:rFonts w:hint="eastAsia" w:ascii="楷体_GB2312" w:hAnsi="楷体_GB2312" w:eastAsia="楷体_GB2312" w:cs="楷体_GB2312"/>
              </w:rPr>
            </w:pPr>
            <w:r>
              <w:rPr>
                <w:rFonts w:hint="eastAsia" w:ascii="楷体_GB2312" w:hAnsi="楷体_GB2312" w:eastAsia="楷体_GB2312" w:cs="楷体_GB2312"/>
                <w:lang w:eastAsia="zh-CN"/>
              </w:rPr>
              <w:t>（</w:t>
            </w:r>
            <w:r>
              <w:rPr>
                <w:rFonts w:hint="eastAsia" w:ascii="楷体_GB2312" w:hAnsi="楷体_GB2312" w:cs="楷体_GB2312"/>
                <w:lang w:val="en-US" w:eastAsia="zh-CN"/>
              </w:rPr>
              <w:t>1</w:t>
            </w:r>
            <w:r>
              <w:rPr>
                <w:rFonts w:hint="eastAsia" w:ascii="楷体_GB2312" w:hAnsi="楷体_GB2312" w:eastAsia="楷体_GB2312" w:cs="楷体_GB2312"/>
                <w:lang w:eastAsia="zh-CN"/>
              </w:rPr>
              <w:t>）</w:t>
            </w:r>
            <w:r>
              <w:rPr>
                <w:rFonts w:hint="eastAsia" w:ascii="楷体_GB2312" w:hAnsi="楷体_GB2312" w:eastAsia="楷体_GB2312" w:cs="楷体_GB2312"/>
              </w:rPr>
              <w:t>外七星河（解放桥下游段）治理工程。主要为河道拓宽及堤防工程，河道拓宽长度9.097千米，河道底宽拓宽58米，边坡1:2；堤防工程长7.196千米</w:t>
            </w:r>
            <w:r>
              <w:rPr>
                <w:rFonts w:hint="eastAsia" w:ascii="楷体_GB2312" w:hAnsi="楷体_GB2312" w:cs="楷体_GB2312"/>
                <w:lang w:eastAsia="zh-CN"/>
              </w:rPr>
              <w:t>，其中新建堤防长度4.298km，加高培厚堤防长度2.898km</w:t>
            </w:r>
            <w:r>
              <w:rPr>
                <w:rFonts w:hint="eastAsia" w:ascii="楷体_GB2312" w:hAnsi="楷体_GB2312" w:eastAsia="楷体_GB2312" w:cs="楷体_GB2312"/>
              </w:rPr>
              <w:t>。</w:t>
            </w:r>
          </w:p>
          <w:p w14:paraId="350F1175">
            <w:pPr>
              <w:pStyle w:val="8"/>
              <w:bidi w:val="0"/>
              <w:rPr>
                <w:rFonts w:hint="eastAsia" w:ascii="楷体_GB2312" w:hAnsi="楷体_GB2312" w:eastAsia="楷体_GB2312" w:cs="楷体_GB2312"/>
              </w:rPr>
            </w:pPr>
            <w:r>
              <w:rPr>
                <w:rFonts w:hint="eastAsia" w:ascii="楷体_GB2312" w:hAnsi="楷体_GB2312" w:eastAsia="楷体_GB2312" w:cs="楷体_GB2312"/>
                <w:lang w:eastAsia="zh-CN"/>
              </w:rPr>
              <w:t>（</w:t>
            </w:r>
            <w:r>
              <w:rPr>
                <w:rFonts w:hint="eastAsia" w:ascii="楷体_GB2312" w:hAnsi="楷体_GB2312" w:cs="楷体_GB2312"/>
                <w:lang w:val="en-US" w:eastAsia="zh-CN"/>
              </w:rPr>
              <w:t>2</w:t>
            </w:r>
            <w:r>
              <w:rPr>
                <w:rFonts w:hint="eastAsia" w:ascii="楷体_GB2312" w:hAnsi="楷体_GB2312" w:eastAsia="楷体_GB2312" w:cs="楷体_GB2312"/>
                <w:lang w:eastAsia="zh-CN"/>
              </w:rPr>
              <w:t>）</w:t>
            </w:r>
            <w:r>
              <w:rPr>
                <w:rFonts w:hint="eastAsia" w:ascii="楷体_GB2312" w:hAnsi="楷体_GB2312" w:eastAsia="楷体_GB2312" w:cs="楷体_GB2312"/>
              </w:rPr>
              <w:t>内七星河治理工程建设项目。建设堤防46.628千米、达标堤防13.848千米、加高培厚堤防32.78千米。</w:t>
            </w:r>
          </w:p>
          <w:p w14:paraId="7FCDC159">
            <w:pPr>
              <w:pStyle w:val="8"/>
              <w:bidi w:val="0"/>
              <w:rPr>
                <w:rFonts w:hint="default" w:ascii="楷体_GB2312" w:hAnsi="楷体_GB2312" w:eastAsia="楷体_GB2312" w:cs="楷体_GB2312"/>
                <w:lang w:val="en-US" w:eastAsia="zh-CN"/>
              </w:rPr>
            </w:pPr>
            <w:r>
              <w:rPr>
                <w:rFonts w:hint="eastAsia" w:ascii="楷体_GB2312" w:hAnsi="楷体_GB2312" w:eastAsia="楷体_GB2312" w:cs="楷体_GB2312"/>
                <w:lang w:eastAsia="zh-CN"/>
              </w:rPr>
              <w:t>（</w:t>
            </w:r>
            <w:r>
              <w:rPr>
                <w:rFonts w:hint="eastAsia" w:ascii="楷体_GB2312" w:hAnsi="楷体_GB2312" w:cs="楷体_GB2312"/>
                <w:lang w:val="en-US" w:eastAsia="zh-CN"/>
              </w:rPr>
              <w:t>3</w:t>
            </w:r>
            <w:r>
              <w:rPr>
                <w:rFonts w:hint="eastAsia" w:ascii="楷体_GB2312" w:hAnsi="楷体_GB2312" w:eastAsia="楷体_GB2312" w:cs="楷体_GB2312"/>
                <w:lang w:eastAsia="zh-CN"/>
              </w:rPr>
              <w:t>）</w:t>
            </w:r>
            <w:r>
              <w:rPr>
                <w:rFonts w:hint="eastAsia" w:ascii="楷体_GB2312" w:hAnsi="楷体_GB2312" w:eastAsia="楷体_GB2312" w:cs="楷体_GB2312"/>
              </w:rPr>
              <w:t>富锦</w:t>
            </w:r>
            <w:r>
              <w:rPr>
                <w:rFonts w:hint="eastAsia" w:ascii="楷体_GB2312" w:hAnsi="楷体_GB2312" w:cs="楷体_GB2312"/>
                <w:lang w:val="en-US" w:eastAsia="zh-CN"/>
              </w:rPr>
              <w:t>市</w:t>
            </w:r>
            <w:r>
              <w:rPr>
                <w:rFonts w:hint="eastAsia" w:ascii="楷体_GB2312" w:hAnsi="楷体_GB2312" w:eastAsia="楷体_GB2312" w:cs="楷体_GB2312"/>
              </w:rPr>
              <w:t>富锦支河上游</w:t>
            </w:r>
            <w:r>
              <w:rPr>
                <w:rFonts w:hint="eastAsia" w:ascii="楷体_GB2312" w:hAnsi="楷体_GB2312" w:cs="楷体_GB2312"/>
                <w:lang w:val="en-US" w:eastAsia="zh-CN"/>
              </w:rPr>
              <w:t>段</w:t>
            </w:r>
            <w:r>
              <w:rPr>
                <w:rFonts w:hint="eastAsia" w:ascii="楷体_GB2312" w:hAnsi="楷体_GB2312" w:eastAsia="楷体_GB2312" w:cs="楷体_GB2312"/>
              </w:rPr>
              <w:t>治理工程</w:t>
            </w:r>
            <w:r>
              <w:rPr>
                <w:rFonts w:hint="eastAsia" w:ascii="楷体_GB2312" w:hAnsi="楷体_GB2312" w:cs="楷体_GB2312"/>
                <w:lang w:val="en-US" w:eastAsia="zh-CN"/>
              </w:rPr>
              <w:t>二期建设项目</w:t>
            </w:r>
            <w:r>
              <w:rPr>
                <w:rFonts w:hint="eastAsia" w:ascii="楷体_GB2312" w:hAnsi="楷体_GB2312" w:cs="楷体_GB2312"/>
                <w:lang w:eastAsia="zh-CN"/>
              </w:rPr>
              <w:t>。</w:t>
            </w:r>
            <w:r>
              <w:rPr>
                <w:rFonts w:hint="eastAsia" w:ascii="楷体_GB2312" w:hAnsi="楷体_GB2312" w:cs="楷体_GB2312"/>
                <w:lang w:val="en-US" w:eastAsia="zh-CN"/>
              </w:rPr>
              <w:t>河道清淤和堤防加高培厚，治理河长</w:t>
            </w:r>
            <w:r>
              <w:rPr>
                <w:rFonts w:hint="eastAsia" w:ascii="楷体_GB2312" w:hAnsi="楷体_GB2312" w:eastAsia="楷体_GB2312" w:cs="楷体_GB2312"/>
              </w:rPr>
              <w:t>5.65</w:t>
            </w:r>
            <w:r>
              <w:rPr>
                <w:rFonts w:hint="eastAsia" w:ascii="楷体_GB2312" w:hAnsi="楷体_GB2312" w:cs="楷体_GB2312"/>
                <w:lang w:val="en-US" w:eastAsia="zh-CN"/>
              </w:rPr>
              <w:t>公里</w:t>
            </w:r>
            <w:r>
              <w:rPr>
                <w:rFonts w:hint="eastAsia" w:ascii="楷体_GB2312" w:hAnsi="楷体_GB2312" w:cs="楷体_GB2312"/>
                <w:lang w:eastAsia="zh-CN"/>
              </w:rPr>
              <w:t>。</w:t>
            </w:r>
          </w:p>
          <w:p w14:paraId="6CFD2294">
            <w:pPr>
              <w:pStyle w:val="8"/>
              <w:bidi w:val="0"/>
              <w:rPr>
                <w:rFonts w:hint="default" w:ascii="楷体_GB2312" w:hAnsi="楷体_GB2312" w:cs="楷体_GB2312"/>
                <w:lang w:val="en-US" w:eastAsia="zh-CN"/>
              </w:rPr>
            </w:pPr>
            <w:r>
              <w:rPr>
                <w:rFonts w:hint="eastAsia" w:ascii="楷体_GB2312" w:hAnsi="楷体_GB2312" w:eastAsia="楷体_GB2312" w:cs="楷体_GB2312"/>
                <w:lang w:eastAsia="zh-CN"/>
              </w:rPr>
              <w:t>（</w:t>
            </w:r>
            <w:r>
              <w:rPr>
                <w:rFonts w:hint="eastAsia" w:ascii="楷体_GB2312" w:hAnsi="楷体_GB2312" w:cs="楷体_GB2312"/>
                <w:lang w:val="en-US" w:eastAsia="zh-CN"/>
              </w:rPr>
              <w:t>4</w:t>
            </w:r>
            <w:r>
              <w:rPr>
                <w:rFonts w:hint="eastAsia" w:ascii="楷体_GB2312" w:hAnsi="楷体_GB2312" w:eastAsia="楷体_GB2312" w:cs="楷体_GB2312"/>
                <w:lang w:eastAsia="zh-CN"/>
              </w:rPr>
              <w:t>）</w:t>
            </w:r>
            <w:r>
              <w:rPr>
                <w:rFonts w:hint="eastAsia" w:ascii="楷体_GB2312" w:hAnsi="楷体_GB2312" w:cs="楷体_GB2312"/>
                <w:lang w:val="en-US" w:eastAsia="zh-CN"/>
              </w:rPr>
              <w:t>黑龙江省</w:t>
            </w:r>
            <w:r>
              <w:rPr>
                <w:rFonts w:hint="eastAsia" w:ascii="楷体_GB2312" w:hAnsi="楷体_GB2312" w:eastAsia="楷体_GB2312" w:cs="楷体_GB2312"/>
              </w:rPr>
              <w:t>挠力河</w:t>
            </w:r>
            <w:r>
              <w:rPr>
                <w:rFonts w:hint="eastAsia" w:ascii="楷体_GB2312" w:hAnsi="楷体_GB2312" w:cs="楷体_GB2312"/>
                <w:lang w:eastAsia="zh-CN"/>
              </w:rPr>
              <w:t>（</w:t>
            </w:r>
            <w:r>
              <w:rPr>
                <w:rFonts w:hint="eastAsia" w:ascii="楷体_GB2312" w:hAnsi="楷体_GB2312" w:cs="楷体_GB2312"/>
                <w:lang w:val="en-US" w:eastAsia="zh-CN"/>
              </w:rPr>
              <w:t>富锦市</w:t>
            </w:r>
            <w:r>
              <w:rPr>
                <w:rFonts w:hint="eastAsia" w:ascii="楷体_GB2312" w:hAnsi="楷体_GB2312" w:cs="楷体_GB2312"/>
                <w:lang w:eastAsia="zh-CN"/>
              </w:rPr>
              <w:t>）</w:t>
            </w:r>
            <w:r>
              <w:rPr>
                <w:rFonts w:hint="eastAsia" w:ascii="楷体_GB2312" w:hAnsi="楷体_GB2312" w:cs="楷体_GB2312"/>
                <w:lang w:val="en-US" w:eastAsia="zh-CN"/>
              </w:rPr>
              <w:t>防洪</w:t>
            </w:r>
            <w:r>
              <w:rPr>
                <w:rFonts w:hint="eastAsia" w:ascii="楷体_GB2312" w:hAnsi="楷体_GB2312" w:eastAsia="楷体_GB2312" w:cs="楷体_GB2312"/>
              </w:rPr>
              <w:t>治理工程。堤防</w:t>
            </w:r>
            <w:r>
              <w:rPr>
                <w:rFonts w:hint="eastAsia" w:ascii="楷体_GB2312" w:hAnsi="楷体_GB2312" w:cs="楷体_GB2312"/>
                <w:lang w:val="en-US" w:eastAsia="zh-CN"/>
              </w:rPr>
              <w:t>加高培厚</w:t>
            </w:r>
            <w:r>
              <w:rPr>
                <w:rFonts w:hint="eastAsia" w:ascii="楷体_GB2312" w:hAnsi="楷体_GB2312" w:eastAsia="楷体_GB2312" w:cs="楷体_GB2312"/>
              </w:rPr>
              <w:t>18.3</w:t>
            </w:r>
            <w:r>
              <w:rPr>
                <w:rFonts w:hint="eastAsia" w:ascii="楷体_GB2312" w:hAnsi="楷体_GB2312" w:cs="楷体_GB2312"/>
                <w:lang w:val="en-US" w:eastAsia="zh-CN"/>
              </w:rPr>
              <w:t>公里，堤顶路、护坡等</w:t>
            </w:r>
            <w:r>
              <w:rPr>
                <w:rFonts w:hint="eastAsia" w:ascii="楷体_GB2312" w:hAnsi="楷体_GB2312" w:eastAsia="楷体_GB2312" w:cs="楷体_GB2312"/>
              </w:rPr>
              <w:t>。</w:t>
            </w:r>
          </w:p>
        </w:tc>
      </w:tr>
    </w:tbl>
    <w:p w14:paraId="11295097">
      <w:pPr>
        <w:bidi w:val="0"/>
        <w:ind w:left="0" w:leftChars="0" w:firstLine="0" w:firstLineChars="0"/>
        <w:rPr>
          <w:rFonts w:hint="eastAsia" w:ascii="仿宋_GB2312" w:hAnsi="仿宋_GB2312" w:eastAsia="仿宋_GB2312" w:cs="仿宋_GB2312"/>
        </w:rPr>
      </w:pPr>
    </w:p>
    <w:p w14:paraId="67ECF835">
      <w:pPr>
        <w:pStyle w:val="3"/>
        <w:bidi w:val="0"/>
        <w:rPr>
          <w:rFonts w:hint="default"/>
          <w:lang w:val="en-US" w:eastAsia="zh-CN"/>
        </w:rPr>
      </w:pPr>
      <w:bookmarkStart w:id="61" w:name="_Toc19732"/>
      <w:r>
        <w:rPr>
          <w:rFonts w:hint="eastAsia"/>
          <w:lang w:val="en-US" w:eastAsia="zh-CN"/>
        </w:rPr>
        <w:t>第三节  构建“绿色高效”能源基础设施体系</w:t>
      </w:r>
      <w:bookmarkEnd w:id="61"/>
    </w:p>
    <w:p w14:paraId="78469960">
      <w:pPr>
        <w:bidi w:val="0"/>
        <w:rPr>
          <w:rFonts w:hint="eastAsia" w:ascii="仿宋_GB2312" w:hAnsi="仿宋_GB2312" w:eastAsia="仿宋_GB2312" w:cs="仿宋_GB2312"/>
        </w:rPr>
      </w:pPr>
      <w:r>
        <w:rPr>
          <w:rFonts w:hint="eastAsia" w:ascii="仿宋_GB2312" w:hAnsi="仿宋_GB2312" w:eastAsia="仿宋_GB2312" w:cs="仿宋_GB2312"/>
          <w:b/>
          <w:bCs/>
        </w:rPr>
        <w:t>强化能源安全保障。</w:t>
      </w:r>
      <w:r>
        <w:rPr>
          <w:rFonts w:hint="eastAsia" w:ascii="仿宋_GB2312" w:hAnsi="仿宋_GB2312" w:eastAsia="仿宋_GB2312" w:cs="仿宋_GB2312"/>
          <w:highlight w:val="none"/>
        </w:rPr>
        <w:t>完善能源供给与配套设施建设，加速完成经开区能源供给中心项目。实施电网巩固提升工程，推动中宇90兆瓦风电“以大代小”等容改造项目</w:t>
      </w:r>
      <w:r>
        <w:rPr>
          <w:rFonts w:hint="eastAsia" w:ascii="仿宋_GB2312" w:hAnsi="仿宋_GB2312" w:cs="仿宋_GB2312"/>
          <w:highlight w:val="none"/>
          <w:lang w:eastAsia="zh-CN"/>
        </w:rPr>
        <w:t>并网发电</w:t>
      </w:r>
      <w:r>
        <w:rPr>
          <w:rFonts w:hint="eastAsia" w:ascii="仿宋_GB2312" w:hAnsi="仿宋_GB2312" w:eastAsia="仿宋_GB2312" w:cs="仿宋_GB2312"/>
          <w:highlight w:val="none"/>
        </w:rPr>
        <w:t>。</w:t>
      </w:r>
      <w:r>
        <w:rPr>
          <w:rFonts w:hint="default" w:ascii="Times New Roman" w:hAnsi="Times New Roman" w:eastAsia="仿宋_GB2312" w:cs="Times New Roman"/>
          <w:color w:val="000000"/>
          <w:kern w:val="2"/>
          <w:sz w:val="32"/>
          <w:szCs w:val="32"/>
          <w:highlight w:val="none"/>
          <w:u w:val="none"/>
          <w:lang w:val="en-US" w:eastAsia="zh-CN" w:bidi="ar-SA"/>
        </w:rPr>
        <w:t>推动老旧燃气管道智慧化改造，全面提升燃气安全管理服务水平</w:t>
      </w:r>
      <w:r>
        <w:rPr>
          <w:rFonts w:hint="eastAsia" w:ascii="Times New Roman" w:hAnsi="Times New Roman" w:cs="Times New Roman"/>
          <w:color w:val="000000"/>
          <w:kern w:val="2"/>
          <w:sz w:val="32"/>
          <w:szCs w:val="32"/>
          <w:highlight w:val="none"/>
          <w:u w:val="none"/>
          <w:lang w:val="en-US" w:eastAsia="zh-CN" w:bidi="ar-SA"/>
        </w:rPr>
        <w:t>。</w:t>
      </w:r>
      <w:r>
        <w:rPr>
          <w:rFonts w:hint="eastAsia" w:ascii="仿宋_GB2312" w:hAnsi="仿宋_GB2312" w:eastAsia="仿宋_GB2312" w:cs="仿宋_GB2312"/>
        </w:rPr>
        <w:t>推动传统能源清洁高效利用，推进现有燃煤供热锅炉的超低排放改造和节能升级，确保城区及重点乡镇集中供热稳定可靠。探索应用清洁煤技术。 引导粮食加工、食品制造等重点工业企业实施清洁能源替代和节能技术改造，提升能源利用效率，降低排放强度。在工业园区、大型公共建筑、新建住宅小区，推广天然气分布式能源、天然气锅炉替代燃煤。合理布局LNG/CNG加气站，满足交通、物流等领域需求。</w:t>
      </w:r>
    </w:p>
    <w:p w14:paraId="4A389C0C">
      <w:pPr>
        <w:bidi w:val="0"/>
        <w:rPr>
          <w:rFonts w:hint="eastAsia" w:ascii="仿宋_GB2312" w:hAnsi="仿宋_GB2312" w:eastAsia="仿宋_GB2312" w:cs="仿宋_GB2312"/>
        </w:rPr>
      </w:pPr>
      <w:r>
        <w:rPr>
          <w:rFonts w:hint="eastAsia" w:ascii="仿宋_GB2312" w:hAnsi="仿宋_GB2312" w:cs="仿宋_GB2312"/>
          <w:b/>
          <w:bCs/>
          <w:lang w:val="en-US" w:eastAsia="zh-CN"/>
        </w:rPr>
        <w:t>推进清洁能源开发利用</w:t>
      </w:r>
      <w:r>
        <w:rPr>
          <w:rFonts w:hint="eastAsia" w:ascii="仿宋_GB2312" w:hAnsi="仿宋_GB2312" w:eastAsia="仿宋_GB2312" w:cs="仿宋_GB2312"/>
          <w:b/>
          <w:bCs/>
        </w:rPr>
        <w:t>。</w:t>
      </w:r>
      <w:r>
        <w:rPr>
          <w:rFonts w:hint="eastAsia" w:ascii="仿宋_GB2312" w:hAnsi="仿宋_GB2312" w:eastAsia="仿宋_GB2312" w:cs="仿宋_GB2312"/>
        </w:rPr>
        <w:t>大力发展风能、太阳能、生物质能等可再生能源发电，构建多元化清洁能源供应体系，形成风、光、生物质为主，其他清洁能源为补充的供应格局。优化配电网结构，支持分布式光伏、分散式风电、生物质发电等就地接入和消纳。</w:t>
      </w:r>
      <w:r>
        <w:rPr>
          <w:rFonts w:hint="eastAsia" w:ascii="仿宋_GB2312" w:hAnsi="仿宋_GB2312" w:eastAsia="仿宋_GB2312" w:cs="仿宋_GB2312"/>
          <w:lang w:val="en-US" w:eastAsia="zh-CN"/>
        </w:rPr>
        <w:t>确保</w:t>
      </w:r>
      <w:r>
        <w:rPr>
          <w:rFonts w:hint="eastAsia" w:ascii="仿宋_GB2312" w:hAnsi="仿宋_GB2312" w:eastAsia="仿宋_GB2312" w:cs="仿宋_GB2312"/>
        </w:rPr>
        <w:t>泰富能源300兆瓦风电</w:t>
      </w:r>
      <w:r>
        <w:rPr>
          <w:rFonts w:hint="eastAsia" w:ascii="仿宋_GB2312" w:hAnsi="仿宋_GB2312" w:cs="仿宋_GB2312"/>
          <w:lang w:eastAsia="zh-CN"/>
        </w:rPr>
        <w:t>、</w:t>
      </w:r>
      <w:r>
        <w:rPr>
          <w:rFonts w:hint="eastAsia" w:ascii="仿宋_GB2312" w:hAnsi="仿宋_GB2312" w:eastAsia="仿宋_GB2312" w:cs="仿宋_GB2312"/>
        </w:rPr>
        <w:t>电变新能源</w:t>
      </w:r>
      <w:r>
        <w:rPr>
          <w:rFonts w:hint="eastAsia" w:ascii="仿宋_GB2312" w:hAnsi="仿宋_GB2312" w:eastAsia="仿宋_GB2312" w:cs="仿宋_GB2312"/>
          <w:lang w:val="en-US" w:eastAsia="zh-CN"/>
        </w:rPr>
        <w:t>公司</w:t>
      </w:r>
      <w:r>
        <w:rPr>
          <w:rFonts w:hint="eastAsia" w:ascii="仿宋_GB2312" w:hAnsi="仿宋_GB2312" w:eastAsia="仿宋_GB2312" w:cs="仿宋_GB2312"/>
        </w:rPr>
        <w:t>300兆瓦风电</w:t>
      </w:r>
      <w:r>
        <w:rPr>
          <w:rFonts w:hint="eastAsia" w:ascii="仿宋_GB2312" w:hAnsi="仿宋_GB2312" w:eastAsia="仿宋_GB2312" w:cs="仿宋_GB2312"/>
          <w:lang w:val="en-US" w:eastAsia="zh-CN"/>
        </w:rPr>
        <w:t>项目</w:t>
      </w:r>
      <w:r>
        <w:rPr>
          <w:rFonts w:hint="eastAsia" w:ascii="仿宋_GB2312" w:hAnsi="仿宋_GB2312" w:eastAsia="仿宋_GB2312" w:cs="仿宋_GB2312"/>
        </w:rPr>
        <w:t>实现并网发电。持续提升新能源消纳能力，推动新能源“发储用”闭环，合理配套、适度超前布局综合补能基础设施，加强公路沿线、居住社区、停车场、产业园区、景区等充换电设施建设，推进充换电基础设施向农村延伸布局。持续推广新能源车船应用。推动公交、出租、物流配送、轻型环卫等公共领域用车更新推广使用新能源汽车。推动新能源和清洁能源船舶发展，在松花江沿线布局建设岸电设施，提高岸电使用率，加强码头绿色改扩建，积极建设内河近零碳码头。大力推动秸秆、稻壳、畜禽粪污等农业废弃物能源化利用。</w:t>
      </w:r>
    </w:p>
    <w:p w14:paraId="49F874DC">
      <w:pPr>
        <w:bidi w:val="0"/>
        <w:rPr>
          <w:rFonts w:hint="eastAsia" w:ascii="仿宋_GB2312" w:hAnsi="仿宋_GB2312" w:eastAsia="仿宋_GB2312" w:cs="仿宋_GB2312"/>
          <w:lang w:val="en-US" w:eastAsia="zh-CN"/>
        </w:rPr>
      </w:pPr>
      <w:bookmarkStart w:id="62" w:name="OLE_LINK19"/>
      <w:bookmarkStart w:id="63" w:name="OLE_LINK18"/>
      <w:r>
        <w:rPr>
          <w:rFonts w:hint="eastAsia" w:ascii="仿宋_GB2312" w:hAnsi="仿宋_GB2312" w:cs="仿宋_GB2312"/>
          <w:b/>
          <w:bCs/>
          <w:lang w:val="en-US" w:eastAsia="zh-CN"/>
        </w:rPr>
        <w:t>完善</w:t>
      </w:r>
      <w:r>
        <w:rPr>
          <w:rFonts w:hint="eastAsia" w:ascii="仿宋_GB2312" w:hAnsi="仿宋_GB2312" w:eastAsia="仿宋_GB2312" w:cs="仿宋_GB2312"/>
          <w:b/>
          <w:bCs/>
          <w:lang w:val="en-US" w:eastAsia="zh-CN"/>
        </w:rPr>
        <w:t>城市环境基础设施建设</w:t>
      </w:r>
      <w:r>
        <w:rPr>
          <w:rFonts w:hint="eastAsia" w:ascii="仿宋_GB2312" w:hAnsi="仿宋_GB2312" w:eastAsia="仿宋_GB2312" w:cs="仿宋_GB2312"/>
          <w:b/>
          <w:bCs/>
        </w:rPr>
        <w:t>。</w:t>
      </w:r>
      <w:r>
        <w:rPr>
          <w:rFonts w:hint="eastAsia" w:ascii="仿宋_GB2312" w:hAnsi="仿宋_GB2312" w:eastAsia="仿宋_GB2312" w:cs="仿宋_GB2312"/>
          <w:lang w:val="en-US" w:eastAsia="zh-CN"/>
        </w:rPr>
        <w:t>依托</w:t>
      </w:r>
      <w:r>
        <w:rPr>
          <w:rFonts w:hint="eastAsia" w:ascii="仿宋_GB2312" w:hAnsi="仿宋_GB2312" w:eastAsia="仿宋_GB2312" w:cs="仿宋_GB2312"/>
        </w:rPr>
        <w:t>伟明环保能源有限公司</w:t>
      </w:r>
      <w:r>
        <w:rPr>
          <w:rFonts w:hint="eastAsia" w:ascii="仿宋_GB2312" w:hAnsi="仿宋_GB2312" w:eastAsia="仿宋_GB2312" w:cs="仿宋_GB2312"/>
          <w:lang w:val="en-US" w:eastAsia="zh-CN"/>
        </w:rPr>
        <w:t>生活</w:t>
      </w:r>
      <w:r>
        <w:rPr>
          <w:rFonts w:hint="eastAsia" w:ascii="仿宋_GB2312" w:hAnsi="仿宋_GB2312" w:eastAsia="仿宋_GB2312" w:cs="仿宋_GB2312"/>
        </w:rPr>
        <w:t>垃圾收运技术</w:t>
      </w:r>
      <w:r>
        <w:rPr>
          <w:rFonts w:hint="eastAsia" w:ascii="仿宋_GB2312" w:hAnsi="仿宋_GB2312" w:eastAsia="仿宋_GB2312" w:cs="仿宋_GB2312"/>
          <w:lang w:val="en-US" w:eastAsia="zh-CN"/>
        </w:rPr>
        <w:t>基础</w:t>
      </w:r>
      <w:r>
        <w:rPr>
          <w:rFonts w:hint="eastAsia" w:ascii="仿宋_GB2312" w:hAnsi="仿宋_GB2312" w:eastAsia="仿宋_GB2312" w:cs="仿宋_GB2312"/>
        </w:rPr>
        <w:t>，优化富锦资源循环利用产业布局</w:t>
      </w:r>
      <w:r>
        <w:rPr>
          <w:rFonts w:hint="eastAsia" w:ascii="仿宋_GB2312" w:hAnsi="仿宋_GB2312" w:eastAsia="仿宋_GB2312" w:cs="仿宋_GB2312"/>
          <w:lang w:eastAsia="zh-CN"/>
        </w:rPr>
        <w:t>，</w:t>
      </w:r>
      <w:r>
        <w:rPr>
          <w:rFonts w:hint="eastAsia" w:ascii="仿宋_GB2312" w:hAnsi="仿宋_GB2312" w:cs="仿宋_GB2312"/>
          <w:lang w:eastAsia="zh-CN"/>
        </w:rPr>
        <w:t>谋划</w:t>
      </w:r>
      <w:r>
        <w:rPr>
          <w:rFonts w:hint="eastAsia" w:ascii="仿宋_GB2312" w:hAnsi="仿宋_GB2312" w:eastAsia="仿宋_GB2312" w:cs="仿宋_GB2312"/>
          <w:lang w:val="en-US" w:eastAsia="zh-CN"/>
        </w:rPr>
        <w:t>建设年处理能力6.8万吨的建筑垃圾消纳场、年处理能力6000吨的飞灰处理厂和日处理能力55吨的污泥处置厂，</w:t>
      </w:r>
      <w:r>
        <w:rPr>
          <w:rFonts w:hint="eastAsia" w:ascii="仿宋_GB2312" w:hAnsi="仿宋_GB2312" w:eastAsia="仿宋_GB2312" w:cs="仿宋_GB2312"/>
        </w:rPr>
        <w:t>推进固体废物源头减量和资源化利用，</w:t>
      </w:r>
      <w:r>
        <w:rPr>
          <w:rFonts w:hint="eastAsia" w:ascii="仿宋_GB2312" w:hAnsi="仿宋_GB2312" w:eastAsia="仿宋_GB2312" w:cs="仿宋_GB2312"/>
          <w:lang w:val="en-US" w:eastAsia="zh-CN"/>
        </w:rPr>
        <w:t>补齐建筑垃圾消纳、飞灰处理、污泥处置等设施短板，</w:t>
      </w:r>
      <w:r>
        <w:rPr>
          <w:rFonts w:hint="eastAsia" w:ascii="仿宋_GB2312" w:hAnsi="仿宋_GB2312" w:eastAsia="仿宋_GB2312" w:cs="仿宋_GB2312"/>
          <w:lang w:eastAsia="zh-CN"/>
        </w:rPr>
        <w:t>构建</w:t>
      </w:r>
      <w:r>
        <w:rPr>
          <w:rFonts w:hint="eastAsia" w:ascii="仿宋_GB2312" w:hAnsi="仿宋_GB2312" w:eastAsia="仿宋_GB2312" w:cs="仿宋_GB2312"/>
          <w:lang w:val="en-US" w:eastAsia="zh-CN"/>
        </w:rPr>
        <w:t>固废资源</w:t>
      </w:r>
      <w:r>
        <w:rPr>
          <w:rFonts w:hint="eastAsia" w:ascii="仿宋_GB2312" w:hAnsi="仿宋_GB2312" w:eastAsia="仿宋_GB2312" w:cs="仿宋_GB2312"/>
          <w:lang w:eastAsia="zh-CN"/>
        </w:rPr>
        <w:t>“处理</w:t>
      </w:r>
      <w:r>
        <w:rPr>
          <w:rFonts w:hint="eastAsia" w:ascii="仿宋_GB2312" w:hAnsi="仿宋_GB2312" w:cs="仿宋_GB2312"/>
          <w:lang w:eastAsia="zh-CN"/>
        </w:rPr>
        <w:t>－</w:t>
      </w:r>
      <w:r>
        <w:rPr>
          <w:rFonts w:hint="eastAsia" w:ascii="仿宋_GB2312" w:hAnsi="仿宋_GB2312" w:eastAsia="仿宋_GB2312" w:cs="仿宋_GB2312"/>
          <w:lang w:eastAsia="zh-CN"/>
        </w:rPr>
        <w:t>再生</w:t>
      </w:r>
      <w:r>
        <w:rPr>
          <w:rFonts w:hint="eastAsia" w:ascii="仿宋_GB2312" w:hAnsi="仿宋_GB2312" w:cs="仿宋_GB2312"/>
          <w:lang w:eastAsia="zh-CN"/>
        </w:rPr>
        <w:t>－</w:t>
      </w:r>
      <w:r>
        <w:rPr>
          <w:rFonts w:hint="eastAsia" w:ascii="仿宋_GB2312" w:hAnsi="仿宋_GB2312" w:eastAsia="仿宋_GB2312" w:cs="仿宋_GB2312"/>
          <w:lang w:eastAsia="zh-CN"/>
        </w:rPr>
        <w:t>制造”</w:t>
      </w:r>
      <w:r>
        <w:rPr>
          <w:rFonts w:hint="eastAsia" w:ascii="仿宋_GB2312" w:hAnsi="仿宋_GB2312" w:eastAsia="仿宋_GB2312" w:cs="仿宋_GB2312"/>
          <w:lang w:val="en-US" w:eastAsia="zh-CN"/>
        </w:rPr>
        <w:t>高值化综合利用</w:t>
      </w:r>
      <w:r>
        <w:rPr>
          <w:rFonts w:hint="eastAsia" w:ascii="仿宋_GB2312" w:hAnsi="仿宋_GB2312" w:eastAsia="仿宋_GB2312" w:cs="仿宋_GB2312"/>
          <w:lang w:eastAsia="zh-CN"/>
        </w:rPr>
        <w:t>闭环，</w:t>
      </w:r>
      <w:r>
        <w:rPr>
          <w:rFonts w:hint="eastAsia" w:ascii="仿宋_GB2312" w:hAnsi="仿宋_GB2312" w:eastAsia="仿宋_GB2312" w:cs="仿宋_GB2312"/>
          <w:lang w:val="en-US" w:eastAsia="zh-CN"/>
        </w:rPr>
        <w:t>谋划建设循环经济产业园。</w:t>
      </w:r>
    </w:p>
    <w:bookmarkEnd w:id="62"/>
    <w:bookmarkEnd w:id="63"/>
    <w:tbl>
      <w:tblPr>
        <w:tblStyle w:val="20"/>
        <w:tblW w:w="8335"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335"/>
      </w:tblGrid>
      <w:tr w14:paraId="355334F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8335" w:type="dxa"/>
            <w:tcBorders>
              <w:top w:val="single" w:color="auto" w:sz="4" w:space="0"/>
              <w:bottom w:val="single" w:color="auto" w:sz="4" w:space="0"/>
            </w:tcBorders>
            <w:vAlign w:val="center"/>
          </w:tcPr>
          <w:p w14:paraId="235C12CD">
            <w:pPr>
              <w:ind w:left="0" w:leftChars="0" w:firstLine="0" w:firstLineChars="0"/>
              <w:jc w:val="center"/>
              <w:rPr>
                <w:rFonts w:hint="eastAsia" w:ascii="仿宋" w:hAnsi="仿宋" w:eastAsia="仿宋"/>
                <w:color w:val="000000" w:themeColor="text1"/>
                <w:sz w:val="28"/>
                <w:szCs w:val="28"/>
                <w14:textFill>
                  <w14:solidFill>
                    <w14:schemeClr w14:val="tx1"/>
                  </w14:solidFill>
                </w14:textFill>
              </w:rPr>
            </w:pPr>
            <w:r>
              <w:rPr>
                <w:rFonts w:hint="eastAsia" w:ascii="黑体" w:hAnsi="黑体" w:eastAsia="黑体" w:cs="黑体"/>
                <w:sz w:val="24"/>
                <w:szCs w:val="24"/>
              </w:rPr>
              <w:t>专栏</w:t>
            </w:r>
            <w:r>
              <w:rPr>
                <w:rFonts w:hint="eastAsia" w:ascii="黑体" w:hAnsi="黑体" w:eastAsia="黑体" w:cs="黑体"/>
                <w:sz w:val="24"/>
                <w:szCs w:val="24"/>
                <w:lang w:val="en-US" w:eastAsia="zh-CN"/>
              </w:rPr>
              <w:t>9</w:t>
            </w:r>
            <w:r>
              <w:rPr>
                <w:rFonts w:hint="eastAsia" w:ascii="黑体" w:hAnsi="黑体" w:eastAsia="黑体" w:cs="黑体"/>
                <w:sz w:val="24"/>
                <w:szCs w:val="24"/>
              </w:rPr>
              <w:t>-</w:t>
            </w:r>
            <w:r>
              <w:rPr>
                <w:rFonts w:hint="eastAsia" w:ascii="黑体" w:hAnsi="黑体" w:eastAsia="黑体" w:cs="黑体"/>
                <w:sz w:val="24"/>
                <w:szCs w:val="24"/>
                <w:lang w:val="en-US" w:eastAsia="zh-CN"/>
              </w:rPr>
              <w:t>3</w:t>
            </w:r>
            <w:r>
              <w:rPr>
                <w:rFonts w:hint="eastAsia" w:ascii="黑体" w:hAnsi="黑体" w:eastAsia="黑体" w:cs="黑体"/>
                <w:sz w:val="24"/>
                <w:szCs w:val="24"/>
              </w:rPr>
              <w:t xml:space="preserve">  能源设施建设重点</w:t>
            </w:r>
            <w:r>
              <w:rPr>
                <w:rFonts w:hint="eastAsia" w:ascii="黑体" w:hAnsi="黑体" w:eastAsia="黑体" w:cs="黑体"/>
                <w:sz w:val="24"/>
                <w:szCs w:val="24"/>
                <w:lang w:val="en-US" w:eastAsia="zh-CN"/>
              </w:rPr>
              <w:t>工程</w:t>
            </w:r>
          </w:p>
        </w:tc>
      </w:tr>
      <w:tr w14:paraId="6A82D14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8335" w:type="dxa"/>
            <w:tcBorders>
              <w:top w:val="single" w:color="auto" w:sz="4" w:space="0"/>
            </w:tcBorders>
          </w:tcPr>
          <w:p w14:paraId="518223AA">
            <w:pPr>
              <w:pStyle w:val="8"/>
              <w:bidi w:val="0"/>
              <w:rPr>
                <w:rFonts w:hint="eastAsia" w:ascii="楷体_GB2312" w:hAnsi="楷体_GB2312" w:eastAsia="楷体_GB2312" w:cs="楷体_GB2312"/>
                <w:b/>
                <w:bCs/>
                <w:lang w:val="en-US" w:eastAsia="zh-CN"/>
              </w:rPr>
            </w:pPr>
            <w:r>
              <w:rPr>
                <w:rFonts w:hint="eastAsia" w:ascii="楷体_GB2312" w:hAnsi="楷体_GB2312" w:cs="楷体_GB2312"/>
                <w:b/>
                <w:bCs/>
                <w:lang w:val="en-US" w:eastAsia="zh-CN"/>
              </w:rPr>
              <w:t>1</w:t>
            </w:r>
            <w:r>
              <w:rPr>
                <w:rFonts w:hint="eastAsia" w:ascii="楷体_GB2312" w:hAnsi="楷体_GB2312" w:eastAsia="楷体_GB2312" w:cs="楷体_GB2312"/>
                <w:b/>
                <w:bCs/>
                <w:lang w:val="en-US" w:eastAsia="zh-CN"/>
              </w:rPr>
              <w:t>.清洁能源开发与利用工程</w:t>
            </w:r>
          </w:p>
          <w:p w14:paraId="0543A39F">
            <w:pPr>
              <w:pStyle w:val="8"/>
              <w:bidi w:val="0"/>
              <w:rPr>
                <w:rFonts w:hint="eastAsia" w:ascii="楷体_GB2312" w:hAnsi="楷体_GB2312" w:eastAsia="楷体_GB2312" w:cs="楷体_GB2312"/>
              </w:rPr>
            </w:pPr>
            <w:r>
              <w:rPr>
                <w:rFonts w:hint="eastAsia" w:ascii="楷体_GB2312" w:hAnsi="楷体_GB2312" w:eastAsia="楷体_GB2312" w:cs="楷体_GB2312"/>
                <w:lang w:val="en-US" w:eastAsia="zh-CN"/>
              </w:rPr>
              <w:t>（1）</w:t>
            </w:r>
            <w:r>
              <w:rPr>
                <w:rFonts w:hint="eastAsia" w:ascii="楷体_GB2312" w:hAnsi="楷体_GB2312" w:eastAsia="楷体_GB2312" w:cs="楷体_GB2312"/>
              </w:rPr>
              <w:t>富锦市电变新能源有限公司300MW风力发电平价上网项目。项目占地330700㎡，总装机规模30万千瓦，建设40台单机容量7.5MW风电机组及配套建设升压站、开关站、道路。</w:t>
            </w:r>
          </w:p>
          <w:p w14:paraId="7FC193EC">
            <w:pPr>
              <w:pStyle w:val="8"/>
              <w:bidi w:val="0"/>
              <w:rPr>
                <w:rFonts w:hint="eastAsia" w:ascii="楷体_GB2312" w:hAnsi="楷体_GB2312" w:eastAsia="楷体_GB2312" w:cs="楷体_GB2312"/>
              </w:rPr>
            </w:pPr>
            <w:r>
              <w:rPr>
                <w:rFonts w:hint="eastAsia" w:ascii="楷体_GB2312" w:hAnsi="楷体_GB2312" w:eastAsia="楷体_GB2312" w:cs="楷体_GB2312"/>
                <w:lang w:val="en-US" w:eastAsia="zh-CN"/>
              </w:rPr>
              <w:t>（2）</w:t>
            </w:r>
            <w:r>
              <w:rPr>
                <w:rFonts w:hint="eastAsia" w:ascii="楷体_GB2312" w:hAnsi="楷体_GB2312" w:eastAsia="楷体_GB2312" w:cs="楷体_GB2312"/>
              </w:rPr>
              <w:t>泰富能源富锦300MW风电项目。项目占地78271㎡，总装机规模30万千瓦，建设36台单机容量8.25MW风电机组及配套升压站、开关站、道路。</w:t>
            </w:r>
          </w:p>
          <w:p w14:paraId="0527FB71">
            <w:pPr>
              <w:pStyle w:val="8"/>
              <w:bidi w:val="0"/>
              <w:rPr>
                <w:rFonts w:hint="eastAsia" w:ascii="楷体_GB2312" w:hAnsi="楷体_GB2312" w:eastAsia="楷体_GB2312" w:cs="楷体_GB2312"/>
              </w:rPr>
            </w:pPr>
            <w:r>
              <w:rPr>
                <w:rFonts w:hint="eastAsia" w:ascii="楷体_GB2312" w:hAnsi="楷体_GB2312" w:eastAsia="楷体_GB2312" w:cs="楷体_GB2312"/>
                <w:lang w:val="en-US" w:eastAsia="zh-CN"/>
              </w:rPr>
              <w:t>（3）</w:t>
            </w:r>
            <w:r>
              <w:rPr>
                <w:rFonts w:hint="eastAsia" w:ascii="楷体_GB2312" w:hAnsi="楷体_GB2312" w:eastAsia="楷体_GB2312" w:cs="楷体_GB2312"/>
              </w:rPr>
              <w:t>富锦市中宇90MW风力发电以大代小等容改造项目。利用原有场地，总装机容量9万千瓦，具体建设9台单机容量10MW风力发电机组。</w:t>
            </w:r>
          </w:p>
          <w:p w14:paraId="5531A882">
            <w:pPr>
              <w:pStyle w:val="8"/>
              <w:bidi w:val="0"/>
              <w:rPr>
                <w:rFonts w:hint="eastAsia" w:ascii="楷体_GB2312" w:hAnsi="楷体_GB2312" w:eastAsia="楷体_GB2312" w:cs="楷体_GB2312"/>
                <w:lang w:val="en-US" w:eastAsia="zh-CN"/>
              </w:rPr>
            </w:pPr>
            <w:r>
              <w:rPr>
                <w:rFonts w:hint="eastAsia" w:ascii="楷体_GB2312" w:hAnsi="楷体_GB2312" w:eastAsia="楷体_GB2312" w:cs="楷体_GB2312"/>
                <w:lang w:eastAsia="zh-CN"/>
              </w:rPr>
              <w:t>（</w:t>
            </w:r>
            <w:r>
              <w:rPr>
                <w:rFonts w:hint="eastAsia" w:ascii="楷体_GB2312" w:hAnsi="楷体_GB2312" w:cs="楷体_GB2312"/>
                <w:lang w:val="en-US" w:eastAsia="zh-CN"/>
              </w:rPr>
              <w:t>4</w:t>
            </w:r>
            <w:r>
              <w:rPr>
                <w:rFonts w:hint="eastAsia" w:ascii="楷体_GB2312" w:hAnsi="楷体_GB2312" w:eastAsia="楷体_GB2312" w:cs="楷体_GB2312"/>
                <w:lang w:eastAsia="zh-CN"/>
              </w:rPr>
              <w:t>）</w:t>
            </w:r>
            <w:r>
              <w:rPr>
                <w:rFonts w:hint="eastAsia" w:ascii="楷体_GB2312" w:hAnsi="楷体_GB2312" w:cs="楷体_GB2312"/>
                <w:lang w:val="en-US" w:eastAsia="zh-CN"/>
              </w:rPr>
              <w:t>华灯</w:t>
            </w:r>
            <w:r>
              <w:rPr>
                <w:rFonts w:hint="eastAsia" w:ascii="楷体_GB2312" w:hAnsi="楷体_GB2312" w:eastAsia="楷体_GB2312" w:cs="楷体_GB2312"/>
                <w:lang w:val="en-US" w:eastAsia="zh-CN"/>
              </w:rPr>
              <w:t>300MW风力发电项目。由中电中国太阳能发电项目有限公司（华灯富锦新能源有限公司）投资建设。计划总投资23亿元，拟装机容量300MW，选用单机容量6.25MW风力发电机组48台，配套升压站及储能附属工程，</w:t>
            </w:r>
            <w:r>
              <w:rPr>
                <w:rFonts w:hint="eastAsia" w:ascii="楷体_GB2312" w:hAnsi="楷体_GB2312" w:cs="楷体_GB2312"/>
                <w:lang w:val="en-US" w:eastAsia="zh-CN"/>
              </w:rPr>
              <w:t>占</w:t>
            </w:r>
            <w:r>
              <w:rPr>
                <w:rFonts w:hint="eastAsia" w:ascii="楷体_GB2312" w:hAnsi="楷体_GB2312" w:eastAsia="楷体_GB2312" w:cs="楷体_GB2312"/>
                <w:lang w:val="en-US" w:eastAsia="zh-CN"/>
              </w:rPr>
              <w:t>地面积约6.48万平方米。</w:t>
            </w:r>
          </w:p>
          <w:p w14:paraId="1D1034CC">
            <w:pPr>
              <w:pStyle w:val="8"/>
              <w:bidi w:val="0"/>
              <w:rPr>
                <w:rFonts w:hint="eastAsia" w:ascii="楷体_GB2312" w:hAnsi="楷体_GB2312" w:cs="楷体_GB2312"/>
                <w:lang w:val="en-US" w:eastAsia="zh-CN"/>
              </w:rPr>
            </w:pPr>
            <w:r>
              <w:rPr>
                <w:rFonts w:hint="eastAsia" w:ascii="楷体_GB2312" w:hAnsi="楷体_GB2312" w:eastAsia="楷体_GB2312" w:cs="楷体_GB2312"/>
                <w:lang w:val="en-US" w:eastAsia="zh-CN"/>
              </w:rPr>
              <w:t>（</w:t>
            </w:r>
            <w:r>
              <w:rPr>
                <w:rFonts w:hint="eastAsia" w:ascii="楷体_GB2312" w:hAnsi="楷体_GB2312" w:cs="楷体_GB2312"/>
                <w:lang w:val="en-US" w:eastAsia="zh-CN"/>
              </w:rPr>
              <w:t>5</w:t>
            </w:r>
            <w:r>
              <w:rPr>
                <w:rFonts w:hint="eastAsia" w:ascii="楷体_GB2312" w:hAnsi="楷体_GB2312" w:eastAsia="楷体_GB2312" w:cs="楷体_GB2312"/>
                <w:lang w:val="en-US" w:eastAsia="zh-CN"/>
              </w:rPr>
              <w:t>）诺潽生物绿色智造高端氨基酸绿电直连项目。本项目以富锦市诺潽</w:t>
            </w:r>
            <w:r>
              <w:rPr>
                <w:rFonts w:hint="eastAsia" w:ascii="楷体_GB2312" w:hAnsi="楷体_GB2312" w:cs="楷体_GB2312"/>
                <w:lang w:val="en-US" w:eastAsia="zh-CN"/>
              </w:rPr>
              <w:t>生物制造</w:t>
            </w:r>
            <w:r>
              <w:rPr>
                <w:rFonts w:hint="eastAsia" w:ascii="楷体_GB2312" w:hAnsi="楷体_GB2312" w:eastAsia="楷体_GB2312" w:cs="楷体_GB2312"/>
                <w:lang w:val="en-US" w:eastAsia="zh-CN"/>
              </w:rPr>
              <w:t>产业园为载体，围绕实现高端氨基酸5万吨产能目标，聚焦解决工业园区供电不足问题，</w:t>
            </w:r>
            <w:r>
              <w:rPr>
                <w:rFonts w:hint="eastAsia" w:ascii="楷体_GB2312" w:hAnsi="楷体_GB2312" w:cs="楷体_GB2312"/>
                <w:lang w:val="en-US" w:eastAsia="zh-CN"/>
              </w:rPr>
              <w:t>建设</w:t>
            </w:r>
            <w:r>
              <w:rPr>
                <w:rFonts w:hint="eastAsia" w:ascii="楷体_GB2312" w:hAnsi="楷体_GB2312" w:eastAsia="楷体_GB2312" w:cs="楷体_GB2312"/>
                <w:lang w:val="en-US" w:eastAsia="zh-CN"/>
              </w:rPr>
              <w:t>风电装机50MW；储能配置60MW/120MWh（2小时）；配套工程66kV升压站1座、35kV集电线路、66kV专用直连线路、用户侧配电改造、能量管理与绿电溯源系统</w:t>
            </w:r>
            <w:r>
              <w:rPr>
                <w:rFonts w:hint="eastAsia" w:ascii="楷体_GB2312" w:hAnsi="楷体_GB2312" w:cs="楷体_GB2312"/>
                <w:lang w:val="en-US" w:eastAsia="zh-CN"/>
              </w:rPr>
              <w:t>。</w:t>
            </w:r>
          </w:p>
          <w:p w14:paraId="6BC4C2F4">
            <w:pPr>
              <w:pStyle w:val="8"/>
              <w:bidi w:val="0"/>
              <w:rPr>
                <w:rFonts w:hint="eastAsia" w:ascii="楷体_GB2312" w:hAnsi="楷体_GB2312" w:cs="楷体_GB2312"/>
                <w:lang w:val="en-US" w:eastAsia="zh-CN"/>
              </w:rPr>
            </w:pPr>
            <w:r>
              <w:rPr>
                <w:rFonts w:hint="eastAsia" w:ascii="楷体_GB2312" w:hAnsi="楷体_GB2312" w:eastAsia="楷体_GB2312" w:cs="楷体_GB2312"/>
                <w:lang w:val="en-US" w:eastAsia="zh-CN"/>
              </w:rPr>
              <w:t>（</w:t>
            </w:r>
            <w:r>
              <w:rPr>
                <w:rFonts w:hint="eastAsia" w:ascii="楷体_GB2312" w:hAnsi="楷体_GB2312" w:cs="楷体_GB2312"/>
                <w:lang w:val="en-US" w:eastAsia="zh-CN"/>
              </w:rPr>
              <w:t>6</w:t>
            </w:r>
            <w:r>
              <w:rPr>
                <w:rFonts w:hint="eastAsia" w:ascii="楷体_GB2312" w:hAnsi="楷体_GB2312" w:eastAsia="楷体_GB2312" w:cs="楷体_GB2312"/>
                <w:lang w:val="en-US" w:eastAsia="zh-CN"/>
              </w:rPr>
              <w:t>）</w:t>
            </w:r>
            <w:r>
              <w:rPr>
                <w:rFonts w:hint="eastAsia" w:ascii="楷体_GB2312" w:hAnsi="楷体_GB2312" w:cs="楷体_GB2312"/>
                <w:lang w:val="en-US" w:eastAsia="zh-CN"/>
              </w:rPr>
              <w:t>富锦市大榆树镇腰中村华能10MW驭风行动分散式风电项目，拟在大榆树镇腰中村建设2台5MW风机，总装机容量为10MW，计划总投资5000万元。</w:t>
            </w:r>
          </w:p>
          <w:p w14:paraId="6815BEA7">
            <w:pPr>
              <w:pStyle w:val="8"/>
              <w:bidi w:val="0"/>
              <w:rPr>
                <w:rFonts w:hint="eastAsia" w:ascii="楷体_GB2312" w:hAnsi="楷体_GB2312" w:cs="楷体_GB2312"/>
                <w:lang w:val="en-US" w:eastAsia="zh-CN"/>
              </w:rPr>
            </w:pPr>
            <w:r>
              <w:rPr>
                <w:rFonts w:hint="eastAsia" w:ascii="楷体_GB2312" w:hAnsi="楷体_GB2312" w:cs="楷体_GB2312"/>
                <w:lang w:val="en-US" w:eastAsia="zh-CN"/>
              </w:rPr>
              <w:t>（7）按照省政府统筹推进黑龙江省东部地区清洁能源基地外送通道（佳木斯区域）项目。</w:t>
            </w:r>
          </w:p>
          <w:p w14:paraId="65507E63">
            <w:pPr>
              <w:pStyle w:val="8"/>
              <w:bidi w:val="0"/>
              <w:rPr>
                <w:rFonts w:hint="eastAsia" w:ascii="楷体_GB2312" w:hAnsi="楷体_GB2312" w:eastAsia="楷体_GB2312" w:cs="楷体_GB2312"/>
                <w:b/>
                <w:bCs/>
                <w:lang w:val="en-US" w:eastAsia="zh-CN"/>
              </w:rPr>
            </w:pPr>
            <w:r>
              <w:rPr>
                <w:rFonts w:hint="eastAsia" w:ascii="楷体_GB2312" w:hAnsi="楷体_GB2312" w:cs="楷体_GB2312"/>
                <w:b/>
                <w:bCs/>
                <w:lang w:val="en-US" w:eastAsia="zh-CN"/>
              </w:rPr>
              <w:t>2</w:t>
            </w:r>
            <w:r>
              <w:rPr>
                <w:rFonts w:hint="eastAsia" w:ascii="楷体_GB2312" w:hAnsi="楷体_GB2312" w:eastAsia="楷体_GB2312" w:cs="楷体_GB2312"/>
                <w:b/>
                <w:bCs/>
                <w:lang w:val="en-US" w:eastAsia="zh-CN"/>
              </w:rPr>
              <w:t>.城市能源基础设施升级工程</w:t>
            </w:r>
          </w:p>
          <w:p w14:paraId="035D86D8">
            <w:pPr>
              <w:pStyle w:val="8"/>
              <w:bidi w:val="0"/>
              <w:rPr>
                <w:rFonts w:hint="eastAsia" w:ascii="楷体_GB2312" w:hAnsi="楷体_GB2312" w:eastAsia="楷体_GB2312" w:cs="楷体_GB2312"/>
              </w:rPr>
            </w:pPr>
            <w:r>
              <w:rPr>
                <w:rFonts w:hint="eastAsia" w:ascii="楷体_GB2312" w:hAnsi="楷体_GB2312" w:eastAsia="楷体_GB2312" w:cs="楷体_GB2312"/>
                <w:lang w:val="en-US" w:eastAsia="zh-CN"/>
              </w:rPr>
              <w:t>（</w:t>
            </w:r>
            <w:r>
              <w:rPr>
                <w:rFonts w:hint="eastAsia" w:ascii="楷体_GB2312" w:hAnsi="楷体_GB2312" w:cs="楷体_GB2312"/>
                <w:lang w:val="en-US" w:eastAsia="zh-CN"/>
              </w:rPr>
              <w:t>1</w:t>
            </w:r>
            <w:r>
              <w:rPr>
                <w:rFonts w:hint="eastAsia" w:ascii="楷体_GB2312" w:hAnsi="楷体_GB2312" w:eastAsia="楷体_GB2312" w:cs="楷体_GB2312"/>
                <w:lang w:val="en-US" w:eastAsia="zh-CN"/>
              </w:rPr>
              <w:t>）</w:t>
            </w:r>
            <w:r>
              <w:rPr>
                <w:rFonts w:hint="eastAsia" w:ascii="楷体_GB2312" w:hAnsi="楷体_GB2312" w:eastAsia="楷体_GB2312" w:cs="楷体_GB2312"/>
              </w:rPr>
              <w:t>富锦经开区基础设施建设项目（能源供给中心）。项目涉及经开区全域，主要建设能源供给中心。</w:t>
            </w:r>
          </w:p>
          <w:p w14:paraId="55EC734B">
            <w:pPr>
              <w:pStyle w:val="8"/>
              <w:bidi w:val="0"/>
              <w:rPr>
                <w:rFonts w:hint="eastAsia" w:ascii="楷体_GB2312" w:hAnsi="楷体_GB2312" w:eastAsia="楷体_GB2312" w:cs="楷体_GB2312"/>
                <w:highlight w:val="yellow"/>
              </w:rPr>
            </w:pPr>
            <w:r>
              <w:rPr>
                <w:rFonts w:hint="eastAsia" w:ascii="楷体_GB2312" w:hAnsi="楷体_GB2312" w:eastAsia="楷体_GB2312" w:cs="楷体_GB2312"/>
                <w:lang w:val="en-US" w:eastAsia="zh-CN"/>
              </w:rPr>
              <w:t>（</w:t>
            </w:r>
            <w:r>
              <w:rPr>
                <w:rFonts w:hint="eastAsia" w:ascii="楷体_GB2312" w:hAnsi="楷体_GB2312" w:cs="楷体_GB2312"/>
                <w:lang w:val="en-US" w:eastAsia="zh-CN"/>
              </w:rPr>
              <w:t>2</w:t>
            </w:r>
            <w:r>
              <w:rPr>
                <w:rFonts w:hint="eastAsia" w:ascii="楷体_GB2312" w:hAnsi="楷体_GB2312" w:eastAsia="楷体_GB2312" w:cs="楷体_GB2312"/>
                <w:lang w:val="en-US" w:eastAsia="zh-CN"/>
              </w:rPr>
              <w:t>）</w:t>
            </w:r>
            <w:r>
              <w:rPr>
                <w:rFonts w:hint="eastAsia" w:ascii="楷体_GB2312" w:hAnsi="楷体_GB2312" w:eastAsia="楷体_GB2312" w:cs="楷体_GB2312"/>
                <w:highlight w:val="none"/>
              </w:rPr>
              <w:t>推进中俄虎林--宝清--绥滨天然气管道支线节点工程建设，全面落实市区连接工程规划建设。</w:t>
            </w:r>
          </w:p>
          <w:p w14:paraId="23EC353F">
            <w:pPr>
              <w:pStyle w:val="8"/>
              <w:bidi w:val="0"/>
              <w:rPr>
                <w:rFonts w:hint="default" w:ascii="楷体_GB2312" w:hAnsi="楷体_GB2312" w:eastAsia="楷体_GB2312" w:cs="楷体_GB2312"/>
                <w:lang w:val="en-US" w:eastAsia="zh-CN"/>
              </w:rPr>
            </w:pPr>
            <w:r>
              <w:rPr>
                <w:rFonts w:hint="eastAsia" w:ascii="楷体_GB2312" w:hAnsi="楷体_GB2312" w:cs="楷体_GB2312"/>
                <w:b/>
                <w:bCs/>
                <w:lang w:val="en-US" w:eastAsia="zh-CN"/>
              </w:rPr>
              <w:t>3.双富煤矿项目。</w:t>
            </w:r>
            <w:r>
              <w:rPr>
                <w:rFonts w:hint="eastAsia" w:ascii="仿宋_GB2312" w:hAnsi="仿宋_GB2312" w:eastAsia="仿宋_GB2312" w:cs="仿宋_GB2312"/>
                <w:b w:val="0"/>
                <w:bCs w:val="0"/>
                <w:highlight w:val="none"/>
                <w:lang w:val="en-US" w:eastAsia="zh-CN"/>
              </w:rPr>
              <w:t>谋划</w:t>
            </w:r>
            <w:r>
              <w:rPr>
                <w:rFonts w:hint="eastAsia" w:ascii="楷体_GB2312" w:hAnsi="楷体_GB2312" w:cs="楷体_GB2312"/>
                <w:lang w:val="en-US" w:eastAsia="zh-CN"/>
              </w:rPr>
              <w:t>矿井设计储量 14083.13万吨，先期开采地段设计储量5067.12万吨，规划生产能力年产120万吨。同时，配套建设选煤厂，规划生产规模与矿井相同。</w:t>
            </w:r>
          </w:p>
        </w:tc>
      </w:tr>
    </w:tbl>
    <w:p w14:paraId="74943D67">
      <w:pPr>
        <w:pStyle w:val="3"/>
        <w:bidi w:val="0"/>
        <w:rPr>
          <w:rFonts w:hint="default"/>
          <w:lang w:val="en-US" w:eastAsia="zh-CN"/>
        </w:rPr>
      </w:pPr>
      <w:bookmarkStart w:id="64" w:name="_Toc13004"/>
      <w:r>
        <w:rPr>
          <w:rFonts w:hint="eastAsia"/>
          <w:lang w:val="en-US" w:eastAsia="zh-CN"/>
        </w:rPr>
        <w:t>第四节  建设“智融赋能”数据基础设施体系</w:t>
      </w:r>
      <w:bookmarkEnd w:id="64"/>
    </w:p>
    <w:p w14:paraId="6929D21C">
      <w:pPr>
        <w:bidi w:val="0"/>
        <w:rPr>
          <w:rFonts w:hint="eastAsia" w:ascii="仿宋_GB2312" w:hAnsi="仿宋_GB2312" w:eastAsia="仿宋_GB2312" w:cs="仿宋_GB2312"/>
          <w:lang w:val="en-US" w:eastAsia="zh-CN"/>
        </w:rPr>
      </w:pPr>
      <w:r>
        <w:rPr>
          <w:rFonts w:hint="eastAsia" w:ascii="仿宋_GB2312" w:hAnsi="仿宋_GB2312" w:cs="仿宋_GB2312"/>
          <w:b/>
          <w:bCs/>
          <w:lang w:val="en-US" w:eastAsia="zh-CN"/>
        </w:rPr>
        <w:t>加快</w:t>
      </w:r>
      <w:r>
        <w:rPr>
          <w:rFonts w:hint="eastAsia" w:ascii="仿宋_GB2312" w:hAnsi="仿宋_GB2312" w:eastAsia="仿宋_GB2312" w:cs="仿宋_GB2312"/>
          <w:b/>
          <w:bCs/>
          <w:lang w:val="en-US" w:eastAsia="zh-CN"/>
        </w:rPr>
        <w:t>推进新型数字基础设施建设。</w:t>
      </w:r>
      <w:r>
        <w:rPr>
          <w:rFonts w:hint="eastAsia" w:ascii="仿宋_GB2312" w:hAnsi="仿宋_GB2312" w:eastAsia="仿宋_GB2312" w:cs="仿宋_GB2312"/>
        </w:rPr>
        <w:t>适度超前建设智算节点、信息通信网络等新型基础设施，建设数据流通基础设施，夯实数据开发利用的基础承载。</w:t>
      </w:r>
      <w:r>
        <w:rPr>
          <w:rFonts w:hint="eastAsia" w:ascii="仿宋_GB2312" w:hAnsi="仿宋_GB2312" w:eastAsia="仿宋_GB2312" w:cs="仿宋_GB2312"/>
          <w:lang w:val="en-US" w:eastAsia="zh-CN"/>
        </w:rPr>
        <w:t>推进新一代网络基础设施建设，加快5G网络深度覆盖，推动富锦智算中心建设，</w:t>
      </w:r>
      <w:r>
        <w:rPr>
          <w:rFonts w:hint="eastAsia" w:ascii="仿宋_GB2312" w:hAnsi="仿宋_GB2312" w:eastAsia="仿宋_GB2312" w:cs="仿宋_GB2312"/>
        </w:rPr>
        <w:t>形成覆盖广泛、集约高效、自主可控的算力服务体系</w:t>
      </w:r>
      <w:r>
        <w:rPr>
          <w:rFonts w:hint="eastAsia" w:ascii="仿宋_GB2312" w:hAnsi="仿宋_GB2312" w:eastAsia="仿宋_GB2312" w:cs="仿宋_GB2312"/>
          <w:lang w:val="en-US" w:eastAsia="zh-CN"/>
        </w:rPr>
        <w:t>。</w:t>
      </w:r>
    </w:p>
    <w:p w14:paraId="7B6B67CF">
      <w:pPr>
        <w:bidi w:val="0"/>
        <w:rPr>
          <w:rFonts w:hint="eastAsia" w:eastAsia="宋体"/>
          <w:lang w:val="en-US" w:eastAsia="zh-CN"/>
        </w:rPr>
      </w:pPr>
      <w:r>
        <w:rPr>
          <w:rFonts w:hint="eastAsia"/>
          <w:b/>
          <w:bCs/>
          <w:lang w:val="en-US" w:eastAsia="zh-CN"/>
        </w:rPr>
        <w:t>提升数字化公共服务与社会治理</w:t>
      </w:r>
      <w:r>
        <w:rPr>
          <w:rFonts w:hint="eastAsia" w:ascii="仿宋_GB2312" w:hAnsi="仿宋_GB2312" w:eastAsia="仿宋_GB2312" w:cs="仿宋_GB2312"/>
          <w:b/>
          <w:bCs/>
          <w:lang w:val="en-US" w:eastAsia="zh-CN"/>
        </w:rPr>
        <w:t>能力。</w:t>
      </w:r>
      <w:r>
        <w:rPr>
          <w:rFonts w:hint="eastAsia" w:ascii="仿宋_GB2312" w:hAnsi="仿宋_GB2312" w:eastAsia="仿宋_GB2312" w:cs="仿宋_GB2312"/>
          <w:lang w:val="en-US" w:eastAsia="zh-CN"/>
        </w:rPr>
        <w:t>推进数字政府建设，推动政府决策科</w:t>
      </w:r>
      <w:r>
        <w:rPr>
          <w:rFonts w:hint="eastAsia"/>
          <w:lang w:val="en-US" w:eastAsia="zh-CN"/>
        </w:rPr>
        <w:t>学化、社会治理精准化、公共服务高效化。推进数字社会建设，构建普惠便捷、公平包容的数字化社会服务体系，提升社会运行效率。</w:t>
      </w:r>
    </w:p>
    <w:p w14:paraId="33447775">
      <w:pPr>
        <w:bidi w:val="0"/>
        <w:rPr>
          <w:rFonts w:hint="eastAsia" w:ascii="仿宋_GB2312" w:hAnsi="仿宋_GB2312" w:eastAsia="仿宋_GB2312" w:cs="仿宋_GB2312"/>
          <w:lang w:eastAsia="zh-CN"/>
        </w:rPr>
      </w:pPr>
      <w:r>
        <w:rPr>
          <w:rFonts w:hint="eastAsia" w:ascii="仿宋_GB2312" w:hAnsi="仿宋_GB2312" w:eastAsia="仿宋_GB2312" w:cs="仿宋_GB2312"/>
          <w:b/>
          <w:bCs/>
          <w:lang w:val="en-US" w:eastAsia="zh-CN"/>
        </w:rPr>
        <w:t>拓展智慧化融合</w:t>
      </w:r>
      <w:r>
        <w:rPr>
          <w:rFonts w:hint="eastAsia" w:ascii="仿宋_GB2312" w:hAnsi="仿宋_GB2312" w:cs="仿宋_GB2312"/>
          <w:b/>
          <w:bCs/>
          <w:lang w:val="en-US" w:eastAsia="zh-CN"/>
        </w:rPr>
        <w:t>化</w:t>
      </w:r>
      <w:r>
        <w:rPr>
          <w:rFonts w:hint="eastAsia" w:ascii="仿宋_GB2312" w:hAnsi="仿宋_GB2312" w:eastAsia="仿宋_GB2312" w:cs="仿宋_GB2312"/>
          <w:b/>
          <w:bCs/>
          <w:lang w:val="en-US" w:eastAsia="zh-CN"/>
        </w:rPr>
        <w:t>应用场景。</w:t>
      </w:r>
      <w:r>
        <w:rPr>
          <w:rFonts w:hint="eastAsia" w:ascii="仿宋_GB2312" w:hAnsi="仿宋_GB2312" w:eastAsia="仿宋_GB2312" w:cs="仿宋_GB2312"/>
          <w:lang w:val="en-US" w:eastAsia="zh-CN"/>
        </w:rPr>
        <w:t>拓展基础设施智慧化、数字化应用场景，推进智慧农业、智慧医疗、智慧城市等领域设施建设和场景应用。</w:t>
      </w:r>
      <w:r>
        <w:rPr>
          <w:rFonts w:hint="eastAsia" w:ascii="仿宋_GB2312" w:hAnsi="仿宋_GB2312" w:eastAsia="仿宋_GB2312" w:cs="仿宋_GB2312"/>
        </w:rPr>
        <w:t>推动数字经济与现代农业融合发展</w:t>
      </w:r>
      <w:r>
        <w:rPr>
          <w:rFonts w:hint="eastAsia" w:ascii="仿宋_GB2312" w:hAnsi="仿宋_GB2312" w:eastAsia="仿宋_GB2312" w:cs="仿宋_GB2312"/>
          <w:lang w:eastAsia="zh-CN"/>
        </w:rPr>
        <w:t>，</w:t>
      </w:r>
      <w:r>
        <w:rPr>
          <w:rFonts w:hint="eastAsia" w:ascii="仿宋_GB2312" w:hAnsi="仿宋_GB2312" w:eastAsia="仿宋_GB2312" w:cs="仿宋_GB2312"/>
        </w:rPr>
        <w:t>优化农业数字化基础设施，扩大数字农场、智慧农场建设，助力“农业上云”</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打造国家</w:t>
      </w:r>
      <w:r>
        <w:rPr>
          <w:rFonts w:hint="eastAsia" w:ascii="仿宋_GB2312" w:hAnsi="仿宋_GB2312" w:eastAsia="仿宋_GB2312" w:cs="仿宋_GB2312"/>
        </w:rPr>
        <w:t>农业产业数字化先导区</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加快发展</w:t>
      </w:r>
      <w:r>
        <w:rPr>
          <w:rFonts w:hint="eastAsia" w:ascii="仿宋_GB2312" w:hAnsi="仿宋_GB2312" w:eastAsia="仿宋_GB2312" w:cs="仿宋_GB2312"/>
        </w:rPr>
        <w:t>智慧医疗</w:t>
      </w:r>
      <w:r>
        <w:rPr>
          <w:rFonts w:hint="eastAsia" w:ascii="仿宋_GB2312" w:hAnsi="仿宋_GB2312" w:eastAsia="仿宋_GB2312" w:cs="仿宋_GB2312"/>
          <w:lang w:eastAsia="zh-CN"/>
        </w:rPr>
        <w:t>，</w:t>
      </w:r>
      <w:r>
        <w:rPr>
          <w:rFonts w:hint="eastAsia" w:ascii="仿宋_GB2312" w:hAnsi="仿宋_GB2312" w:eastAsia="仿宋_GB2312" w:cs="仿宋_GB2312"/>
        </w:rPr>
        <w:t>构建“预防</w:t>
      </w:r>
      <w:r>
        <w:rPr>
          <w:rFonts w:hint="eastAsia" w:ascii="仿宋_GB2312" w:hAnsi="仿宋_GB2312" w:cs="仿宋_GB2312"/>
          <w:lang w:eastAsia="zh-CN"/>
        </w:rPr>
        <w:t>－</w:t>
      </w:r>
      <w:r>
        <w:rPr>
          <w:rFonts w:hint="eastAsia" w:ascii="仿宋_GB2312" w:hAnsi="仿宋_GB2312" w:eastAsia="仿宋_GB2312" w:cs="仿宋_GB2312"/>
        </w:rPr>
        <w:t>诊疗</w:t>
      </w:r>
      <w:r>
        <w:rPr>
          <w:rFonts w:hint="eastAsia" w:ascii="仿宋_GB2312" w:hAnsi="仿宋_GB2312" w:cs="仿宋_GB2312"/>
          <w:lang w:eastAsia="zh-CN"/>
        </w:rPr>
        <w:t>－</w:t>
      </w:r>
      <w:r>
        <w:rPr>
          <w:rFonts w:hint="eastAsia" w:ascii="仿宋_GB2312" w:hAnsi="仿宋_GB2312" w:eastAsia="仿宋_GB2312" w:cs="仿宋_GB2312"/>
        </w:rPr>
        <w:t>康复</w:t>
      </w:r>
      <w:r>
        <w:rPr>
          <w:rFonts w:hint="eastAsia" w:ascii="仿宋_GB2312" w:hAnsi="仿宋_GB2312" w:cs="仿宋_GB2312"/>
          <w:lang w:eastAsia="zh-CN"/>
        </w:rPr>
        <w:t>－</w:t>
      </w:r>
      <w:r>
        <w:rPr>
          <w:rFonts w:hint="eastAsia" w:ascii="仿宋_GB2312" w:hAnsi="仿宋_GB2312" w:eastAsia="仿宋_GB2312" w:cs="仿宋_GB2312"/>
        </w:rPr>
        <w:t>养老”全周期智慧健康服务体系</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推动智慧交通</w:t>
      </w:r>
      <w:r>
        <w:rPr>
          <w:rFonts w:hint="eastAsia" w:ascii="仿宋_GB2312" w:hAnsi="仿宋_GB2312" w:eastAsia="仿宋_GB2312" w:cs="仿宋_GB2312"/>
        </w:rPr>
        <w:t>与</w:t>
      </w:r>
      <w:r>
        <w:rPr>
          <w:rFonts w:hint="eastAsia" w:ascii="仿宋_GB2312" w:hAnsi="仿宋_GB2312" w:eastAsia="仿宋_GB2312" w:cs="仿宋_GB2312"/>
          <w:lang w:val="en-US" w:eastAsia="zh-CN"/>
        </w:rPr>
        <w:t>文旅产业深度融合，建设文旅交通一体化智慧服务平台，为游客提供从行前规划到现场体验的一站式服务</w:t>
      </w:r>
      <w:r>
        <w:rPr>
          <w:rFonts w:hint="eastAsia" w:ascii="仿宋_GB2312" w:hAnsi="仿宋_GB2312" w:eastAsia="仿宋_GB2312" w:cs="仿宋_GB2312"/>
        </w:rPr>
        <w:t>。大力实施“人工智能+”行动，积极推动工业企业“智改数转”</w:t>
      </w:r>
      <w:r>
        <w:rPr>
          <w:rFonts w:hint="eastAsia" w:ascii="仿宋_GB2312" w:hAnsi="仿宋_GB2312" w:eastAsia="仿宋_GB2312" w:cs="仿宋_GB2312"/>
          <w:lang w:eastAsia="zh-CN"/>
        </w:rPr>
        <w:t>。</w:t>
      </w:r>
    </w:p>
    <w:tbl>
      <w:tblPr>
        <w:tblStyle w:val="19"/>
        <w:tblW w:w="8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6"/>
      </w:tblGrid>
      <w:tr w14:paraId="5FD6B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8296" w:type="dxa"/>
          </w:tcPr>
          <w:p w14:paraId="35DB9290">
            <w:pPr>
              <w:jc w:val="center"/>
              <w:rPr>
                <w:rFonts w:hint="default" w:ascii="仿宋" w:hAnsi="仿宋" w:eastAsia="黑体" w:cs="Times New Roman"/>
                <w:bCs/>
                <w:sz w:val="28"/>
                <w:szCs w:val="28"/>
                <w:lang w:val="en-US" w:eastAsia="zh-CN"/>
              </w:rPr>
            </w:pPr>
            <w:r>
              <w:rPr>
                <w:rFonts w:hint="eastAsia" w:ascii="黑体" w:hAnsi="黑体" w:eastAsia="黑体" w:cs="黑体"/>
                <w:sz w:val="24"/>
                <w:szCs w:val="24"/>
              </w:rPr>
              <w:t>专栏</w:t>
            </w:r>
            <w:r>
              <w:rPr>
                <w:rFonts w:hint="eastAsia" w:ascii="黑体" w:hAnsi="黑体" w:eastAsia="黑体" w:cs="黑体"/>
                <w:sz w:val="24"/>
                <w:szCs w:val="24"/>
                <w:lang w:val="en-US" w:eastAsia="zh-CN"/>
              </w:rPr>
              <w:t>9</w:t>
            </w:r>
            <w:r>
              <w:rPr>
                <w:rFonts w:hint="eastAsia" w:ascii="黑体" w:hAnsi="黑体" w:eastAsia="黑体" w:cs="黑体"/>
                <w:sz w:val="24"/>
                <w:szCs w:val="24"/>
              </w:rPr>
              <w:t>-</w:t>
            </w:r>
            <w:r>
              <w:rPr>
                <w:rFonts w:hint="eastAsia" w:ascii="黑体" w:hAnsi="黑体" w:eastAsia="黑体" w:cs="黑体"/>
                <w:sz w:val="24"/>
                <w:szCs w:val="24"/>
                <w:lang w:val="en-US" w:eastAsia="zh-CN"/>
              </w:rPr>
              <w:t>4</w:t>
            </w:r>
            <w:r>
              <w:rPr>
                <w:rFonts w:hint="eastAsia" w:ascii="黑体" w:hAnsi="黑体" w:eastAsia="黑体" w:cs="黑体"/>
                <w:sz w:val="24"/>
                <w:szCs w:val="24"/>
              </w:rPr>
              <w:t xml:space="preserve">  新型</w:t>
            </w:r>
            <w:r>
              <w:rPr>
                <w:rFonts w:hint="eastAsia" w:ascii="黑体" w:hAnsi="黑体" w:eastAsia="黑体" w:cs="黑体"/>
                <w:sz w:val="24"/>
                <w:szCs w:val="24"/>
                <w:lang w:val="en-US" w:eastAsia="zh-CN"/>
              </w:rPr>
              <w:t>数字</w:t>
            </w:r>
            <w:r>
              <w:rPr>
                <w:rFonts w:hint="eastAsia" w:ascii="黑体" w:hAnsi="黑体" w:eastAsia="黑体" w:cs="黑体"/>
                <w:sz w:val="24"/>
                <w:szCs w:val="24"/>
              </w:rPr>
              <w:t>基础设施建设</w:t>
            </w:r>
            <w:r>
              <w:rPr>
                <w:rFonts w:hint="eastAsia" w:ascii="黑体" w:hAnsi="黑体" w:eastAsia="黑体" w:cs="黑体"/>
                <w:sz w:val="24"/>
                <w:szCs w:val="24"/>
                <w:lang w:val="en-US" w:eastAsia="zh-CN"/>
              </w:rPr>
              <w:t>重点工程</w:t>
            </w:r>
          </w:p>
        </w:tc>
      </w:tr>
      <w:tr w14:paraId="6BB8B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tcPr>
          <w:p w14:paraId="1E3D5ED1">
            <w:pPr>
              <w:pStyle w:val="8"/>
              <w:bidi w:val="0"/>
              <w:rPr>
                <w:rFonts w:hint="eastAsia" w:ascii="楷体_GB2312" w:hAnsi="楷体_GB2312" w:eastAsia="楷体_GB2312" w:cs="楷体_GB2312"/>
                <w:b/>
                <w:bCs/>
                <w:lang w:val="en-US" w:eastAsia="zh-CN"/>
              </w:rPr>
            </w:pPr>
            <w:r>
              <w:rPr>
                <w:rFonts w:hint="eastAsia" w:ascii="楷体_GB2312" w:hAnsi="楷体_GB2312" w:eastAsia="楷体_GB2312" w:cs="楷体_GB2312"/>
                <w:b/>
                <w:bCs/>
                <w:lang w:val="en-US" w:eastAsia="zh-CN"/>
              </w:rPr>
              <w:t>1.智慧农业与算力基础设施建设工程</w:t>
            </w:r>
          </w:p>
          <w:p w14:paraId="1B25E23A">
            <w:pPr>
              <w:pStyle w:val="8"/>
              <w:bidi w:val="0"/>
              <w:rPr>
                <w:rFonts w:hint="eastAsia" w:ascii="楷体_GB2312" w:hAnsi="楷体_GB2312" w:eastAsia="楷体_GB2312" w:cs="楷体_GB2312"/>
              </w:rPr>
            </w:pPr>
            <w:r>
              <w:rPr>
                <w:rFonts w:hint="eastAsia" w:ascii="楷体_GB2312" w:hAnsi="楷体_GB2312" w:eastAsia="楷体_GB2312" w:cs="楷体_GB2312"/>
                <w:lang w:eastAsia="zh-CN"/>
              </w:rPr>
              <w:t>（</w:t>
            </w:r>
            <w:r>
              <w:rPr>
                <w:rFonts w:hint="eastAsia" w:ascii="楷体_GB2312" w:hAnsi="楷体_GB2312" w:eastAsia="楷体_GB2312" w:cs="楷体_GB2312"/>
                <w:lang w:val="en-US" w:eastAsia="zh-CN"/>
              </w:rPr>
              <w:t>1</w:t>
            </w:r>
            <w:r>
              <w:rPr>
                <w:rFonts w:hint="eastAsia" w:ascii="楷体_GB2312" w:hAnsi="楷体_GB2312" w:eastAsia="楷体_GB2312" w:cs="楷体_GB2312"/>
                <w:lang w:eastAsia="zh-CN"/>
              </w:rPr>
              <w:t>）</w:t>
            </w:r>
            <w:r>
              <w:rPr>
                <w:rFonts w:hint="eastAsia" w:ascii="楷体_GB2312" w:hAnsi="楷体_GB2312" w:cs="楷体_GB2312"/>
                <w:lang w:val="en-US" w:eastAsia="zh-CN"/>
              </w:rPr>
              <w:t>国家</w:t>
            </w:r>
            <w:r>
              <w:rPr>
                <w:rFonts w:hint="eastAsia" w:ascii="楷体_GB2312" w:hAnsi="楷体_GB2312" w:eastAsia="楷体_GB2312" w:cs="楷体_GB2312"/>
              </w:rPr>
              <w:t>农业大脑</w:t>
            </w:r>
            <w:r>
              <w:rPr>
                <w:rFonts w:hint="eastAsia" w:ascii="楷体_GB2312" w:hAnsi="楷体_GB2312" w:cs="楷体_GB2312"/>
                <w:lang w:eastAsia="zh-CN"/>
              </w:rPr>
              <w:t>（</w:t>
            </w:r>
            <w:r>
              <w:rPr>
                <w:rFonts w:hint="eastAsia" w:ascii="楷体_GB2312" w:hAnsi="楷体_GB2312" w:cs="楷体_GB2312"/>
                <w:lang w:val="en-US" w:eastAsia="zh-CN"/>
              </w:rPr>
              <w:t>富锦</w:t>
            </w:r>
            <w:r>
              <w:rPr>
                <w:rFonts w:hint="eastAsia" w:ascii="楷体_GB2312" w:hAnsi="楷体_GB2312" w:cs="楷体_GB2312"/>
                <w:lang w:eastAsia="zh-CN"/>
              </w:rPr>
              <w:t>）</w:t>
            </w:r>
            <w:r>
              <w:rPr>
                <w:rFonts w:hint="eastAsia" w:ascii="楷体_GB2312" w:hAnsi="楷体_GB2312" w:eastAsia="楷体_GB2312" w:cs="楷体_GB2312"/>
              </w:rPr>
              <w:t>现代农业数据港。</w:t>
            </w:r>
            <w:r>
              <w:rPr>
                <w:rFonts w:hint="eastAsia" w:ascii="楷体_GB2312" w:hAnsi="楷体_GB2312" w:cs="楷体_GB2312"/>
                <w:lang w:val="en-US" w:eastAsia="zh-CN"/>
              </w:rPr>
              <w:t>以数据驱动农业全产业链变革为核心，搭建集数据汇聚、模型分析、智能决策、产业服务于一体的区域性农业数字化中枢平台，建立</w:t>
            </w:r>
            <w:r>
              <w:rPr>
                <w:rFonts w:hint="eastAsia" w:ascii="楷体_GB2312" w:hAnsi="楷体_GB2312" w:eastAsia="楷体_GB2312" w:cs="楷体_GB2312"/>
              </w:rPr>
              <w:t>水、肥、药、光、温、热等农业生产要素和农业灾害精准管控的农业智慧大脑，实现大田生产作业、灾害防控和农机精准作业指挥调度服务。</w:t>
            </w:r>
          </w:p>
          <w:p w14:paraId="13F8243D">
            <w:pPr>
              <w:pStyle w:val="8"/>
              <w:bidi w:val="0"/>
              <w:rPr>
                <w:rFonts w:hint="eastAsia" w:ascii="楷体_GB2312" w:hAnsi="楷体_GB2312" w:eastAsia="楷体_GB2312" w:cs="楷体_GB2312"/>
              </w:rPr>
            </w:pPr>
            <w:r>
              <w:rPr>
                <w:rFonts w:hint="eastAsia" w:ascii="楷体_GB2312" w:hAnsi="楷体_GB2312" w:eastAsia="楷体_GB2312" w:cs="楷体_GB2312"/>
                <w:lang w:val="en-US" w:eastAsia="zh-CN"/>
              </w:rPr>
              <w:t>（2）富锦智算中心建设项目。</w:t>
            </w:r>
            <w:r>
              <w:rPr>
                <w:rFonts w:hint="eastAsia" w:ascii="楷体_GB2312" w:hAnsi="楷体_GB2312" w:eastAsia="楷体_GB2312" w:cs="楷体_GB2312"/>
              </w:rPr>
              <w:t>以算力基建化为主体，从基建、硬件、软件、算法、服务等全环节开展关键技术落地与应用。</w:t>
            </w:r>
          </w:p>
          <w:p w14:paraId="72BB153F">
            <w:pPr>
              <w:pStyle w:val="8"/>
              <w:bidi w:val="0"/>
              <w:rPr>
                <w:rFonts w:hint="eastAsia" w:ascii="楷体_GB2312" w:hAnsi="楷体_GB2312" w:eastAsia="楷体_GB2312" w:cs="楷体_GB2312"/>
                <w:b/>
                <w:bCs/>
                <w:lang w:val="en-US" w:eastAsia="zh-CN"/>
              </w:rPr>
            </w:pPr>
            <w:r>
              <w:rPr>
                <w:rFonts w:hint="eastAsia" w:ascii="楷体_GB2312" w:hAnsi="楷体_GB2312" w:eastAsia="楷体_GB2312" w:cs="楷体_GB2312"/>
                <w:b/>
                <w:bCs/>
                <w:lang w:val="en-US" w:eastAsia="zh-CN"/>
              </w:rPr>
              <w:t>2.智慧医疗与区域协同共享工程</w:t>
            </w:r>
          </w:p>
          <w:p w14:paraId="386929C7">
            <w:pPr>
              <w:pStyle w:val="8"/>
              <w:bidi w:val="0"/>
              <w:rPr>
                <w:rFonts w:hint="eastAsia" w:ascii="楷体_GB2312" w:hAnsi="楷体_GB2312" w:eastAsia="楷体_GB2312" w:cs="楷体_GB2312"/>
              </w:rPr>
            </w:pPr>
            <w:r>
              <w:rPr>
                <w:rFonts w:hint="eastAsia" w:ascii="楷体_GB2312" w:hAnsi="楷体_GB2312" w:eastAsia="楷体_GB2312" w:cs="楷体_GB2312"/>
                <w:lang w:eastAsia="zh-CN"/>
              </w:rPr>
              <w:t>（</w:t>
            </w:r>
            <w:r>
              <w:rPr>
                <w:rFonts w:hint="eastAsia" w:ascii="楷体_GB2312" w:hAnsi="楷体_GB2312" w:eastAsia="楷体_GB2312" w:cs="楷体_GB2312"/>
                <w:lang w:val="en-US" w:eastAsia="zh-CN"/>
              </w:rPr>
              <w:t>1</w:t>
            </w:r>
            <w:r>
              <w:rPr>
                <w:rFonts w:hint="eastAsia" w:ascii="楷体_GB2312" w:hAnsi="楷体_GB2312" w:eastAsia="楷体_GB2312" w:cs="楷体_GB2312"/>
                <w:lang w:eastAsia="zh-CN"/>
              </w:rPr>
              <w:t>）</w:t>
            </w:r>
            <w:r>
              <w:rPr>
                <w:rFonts w:hint="eastAsia" w:ascii="楷体_GB2312" w:hAnsi="楷体_GB2312" w:eastAsia="楷体_GB2312" w:cs="楷体_GB2312"/>
              </w:rPr>
              <w:t>智慧医疗平台扩容工程。整合富锦市公立与民营医疗机构数据，构建全域健康大数据中心，推动县级医院向“全流程AI医院”转型。</w:t>
            </w:r>
          </w:p>
          <w:p w14:paraId="6E168458">
            <w:pPr>
              <w:pStyle w:val="8"/>
              <w:bidi w:val="0"/>
              <w:rPr>
                <w:rFonts w:hint="eastAsia" w:ascii="仿宋" w:hAnsi="仿宋" w:eastAsia="仿宋"/>
              </w:rPr>
            </w:pPr>
            <w:r>
              <w:rPr>
                <w:rFonts w:hint="eastAsia" w:ascii="楷体_GB2312" w:hAnsi="楷体_GB2312" w:eastAsia="楷体_GB2312" w:cs="楷体_GB2312"/>
                <w:lang w:val="en-US" w:eastAsia="zh-CN"/>
              </w:rPr>
              <w:t>（2）</w:t>
            </w:r>
            <w:r>
              <w:rPr>
                <w:rFonts w:hint="eastAsia" w:ascii="楷体_GB2312" w:hAnsi="楷体_GB2312" w:cs="楷体_GB2312"/>
                <w:lang w:val="en-US" w:eastAsia="zh-CN"/>
              </w:rPr>
              <w:t>区域</w:t>
            </w:r>
            <w:r>
              <w:rPr>
                <w:rFonts w:hint="eastAsia" w:ascii="楷体_GB2312" w:hAnsi="楷体_GB2312" w:eastAsia="楷体_GB2312" w:cs="楷体_GB2312"/>
              </w:rPr>
              <w:t>医疗协同</w:t>
            </w:r>
            <w:r>
              <w:rPr>
                <w:rFonts w:hint="eastAsia" w:ascii="楷体_GB2312" w:hAnsi="楷体_GB2312" w:cs="楷体_GB2312"/>
                <w:lang w:val="en-US" w:eastAsia="zh-CN"/>
              </w:rPr>
              <w:t>深化项目</w:t>
            </w:r>
            <w:r>
              <w:rPr>
                <w:rFonts w:hint="eastAsia" w:ascii="楷体_GB2312" w:hAnsi="楷体_GB2312" w:eastAsia="楷体_GB2312" w:cs="楷体_GB2312"/>
              </w:rPr>
              <w:t>。建设跨市县医学影像云平台，</w:t>
            </w:r>
            <w:r>
              <w:rPr>
                <w:rFonts w:hint="eastAsia" w:ascii="楷体_GB2312" w:hAnsi="楷体_GB2312" w:cs="楷体_GB2312"/>
                <w:lang w:val="en-US" w:eastAsia="zh-CN"/>
              </w:rPr>
              <w:t>按照“市内贯通、辐射周边”的步骤推进，推动检查检验结果共享互认，</w:t>
            </w:r>
            <w:r>
              <w:rPr>
                <w:rFonts w:hint="eastAsia" w:ascii="楷体_GB2312" w:hAnsi="楷体_GB2312" w:eastAsia="楷体_GB2312" w:cs="楷体_GB2312"/>
              </w:rPr>
              <w:t>实现区域医疗资源共享</w:t>
            </w:r>
            <w:r>
              <w:rPr>
                <w:rFonts w:hint="eastAsia" w:ascii="楷体_GB2312" w:hAnsi="楷体_GB2312" w:cs="楷体_GB2312"/>
                <w:lang w:eastAsia="zh-CN"/>
              </w:rPr>
              <w:t>，</w:t>
            </w:r>
            <w:r>
              <w:rPr>
                <w:rFonts w:hint="eastAsia" w:ascii="楷体_GB2312" w:hAnsi="楷体_GB2312" w:cs="楷体_GB2312"/>
                <w:lang w:val="en-US" w:eastAsia="zh-CN"/>
              </w:rPr>
              <w:t>支撑富锦打造佳木斯东部区域医疗中心</w:t>
            </w:r>
            <w:r>
              <w:rPr>
                <w:rFonts w:hint="eastAsia" w:ascii="楷体_GB2312" w:hAnsi="楷体_GB2312" w:eastAsia="楷体_GB2312" w:cs="楷体_GB2312"/>
              </w:rPr>
              <w:t>。</w:t>
            </w:r>
          </w:p>
        </w:tc>
      </w:tr>
    </w:tbl>
    <w:p w14:paraId="3EC8D71A">
      <w:pPr>
        <w:pStyle w:val="3"/>
        <w:keepNext w:val="0"/>
        <w:keepLines w:val="0"/>
        <w:widowControl/>
        <w:spacing w:line="240" w:lineRule="auto"/>
        <w:ind w:left="0" w:leftChars="0" w:firstLine="0" w:firstLineChars="0"/>
        <w:jc w:val="center"/>
        <w:rPr>
          <w:rFonts w:hint="default" w:ascii="Times New Roman" w:hAnsi="Times New Roman" w:eastAsia="楷体_GB2312" w:cs="楷体_GB2312"/>
          <w:lang w:val="en-US" w:eastAsia="zh-CN"/>
        </w:rPr>
      </w:pPr>
      <w:bookmarkStart w:id="65" w:name="_Toc506"/>
      <w:r>
        <w:rPr>
          <w:rFonts w:hint="eastAsia" w:ascii="Times New Roman" w:hAnsi="Times New Roman" w:eastAsia="楷体_GB2312" w:cs="楷体_GB2312"/>
        </w:rPr>
        <w:t>第</w:t>
      </w:r>
      <w:r>
        <w:rPr>
          <w:rFonts w:hint="eastAsia" w:ascii="Times New Roman" w:hAnsi="Times New Roman" w:cs="楷体_GB2312"/>
          <w:lang w:val="en-US" w:eastAsia="zh-CN"/>
        </w:rPr>
        <w:t>五</w:t>
      </w:r>
      <w:r>
        <w:rPr>
          <w:rFonts w:hint="eastAsia" w:ascii="Times New Roman" w:hAnsi="Times New Roman" w:eastAsia="楷体_GB2312" w:cs="楷体_GB2312"/>
        </w:rPr>
        <w:t xml:space="preserve">节  </w:t>
      </w:r>
      <w:r>
        <w:rPr>
          <w:rFonts w:hint="eastAsia" w:ascii="Times New Roman" w:hAnsi="Times New Roman" w:cs="楷体_GB2312"/>
          <w:lang w:val="en-US" w:eastAsia="zh-CN"/>
        </w:rPr>
        <w:t>完善</w:t>
      </w:r>
      <w:r>
        <w:rPr>
          <w:rFonts w:hint="eastAsia" w:ascii="Times New Roman" w:hAnsi="Times New Roman" w:eastAsia="楷体_GB2312" w:cs="楷体_GB2312"/>
          <w:lang w:val="en-US" w:eastAsia="zh-CN"/>
        </w:rPr>
        <w:t>城市</w:t>
      </w:r>
      <w:r>
        <w:rPr>
          <w:rFonts w:hint="eastAsia" w:ascii="Times New Roman" w:hAnsi="Times New Roman" w:eastAsia="楷体_GB2312" w:cs="楷体_GB2312"/>
        </w:rPr>
        <w:t>生命线</w:t>
      </w:r>
      <w:r>
        <w:rPr>
          <w:rFonts w:hint="eastAsia" w:ascii="Times New Roman" w:hAnsi="Times New Roman" w:cs="楷体_GB2312"/>
          <w:lang w:val="en-US" w:eastAsia="zh-CN"/>
        </w:rPr>
        <w:t>基础设施</w:t>
      </w:r>
      <w:bookmarkEnd w:id="65"/>
    </w:p>
    <w:p w14:paraId="23BEDD06">
      <w:pPr>
        <w:bidi w:val="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推动</w:t>
      </w:r>
      <w:r>
        <w:rPr>
          <w:rFonts w:hint="eastAsia" w:ascii="仿宋_GB2312" w:hAnsi="仿宋_GB2312" w:eastAsia="仿宋_GB2312" w:cs="仿宋_GB2312"/>
        </w:rPr>
        <w:t>城市</w:t>
      </w:r>
      <w:r>
        <w:rPr>
          <w:rFonts w:hint="eastAsia" w:ascii="仿宋_GB2312" w:hAnsi="仿宋_GB2312" w:eastAsia="仿宋_GB2312" w:cs="仿宋_GB2312"/>
          <w:lang w:val="en-US" w:eastAsia="zh-CN"/>
        </w:rPr>
        <w:t>生命线</w:t>
      </w:r>
      <w:r>
        <w:rPr>
          <w:rFonts w:hint="eastAsia" w:ascii="仿宋_GB2312" w:hAnsi="仿宋_GB2312" w:eastAsia="仿宋_GB2312" w:cs="仿宋_GB2312"/>
        </w:rPr>
        <w:t>基础设施</w:t>
      </w:r>
      <w:r>
        <w:rPr>
          <w:rFonts w:hint="eastAsia" w:ascii="仿宋_GB2312" w:hAnsi="仿宋_GB2312" w:eastAsia="仿宋_GB2312" w:cs="仿宋_GB2312"/>
          <w:lang w:val="en-US" w:eastAsia="zh-CN"/>
        </w:rPr>
        <w:t>智能化、数字化升级</w:t>
      </w:r>
      <w:r>
        <w:rPr>
          <w:rFonts w:hint="eastAsia" w:ascii="仿宋_GB2312" w:hAnsi="仿宋_GB2312" w:eastAsia="仿宋_GB2312" w:cs="仿宋_GB2312"/>
        </w:rPr>
        <w:t>，完善</w:t>
      </w:r>
      <w:r>
        <w:rPr>
          <w:rFonts w:hint="eastAsia" w:ascii="仿宋_GB2312" w:hAnsi="仿宋_GB2312" w:eastAsia="仿宋_GB2312" w:cs="仿宋_GB2312"/>
          <w:lang w:val="en-US" w:eastAsia="zh-CN"/>
        </w:rPr>
        <w:t>全市</w:t>
      </w:r>
      <w:r>
        <w:rPr>
          <w:rFonts w:hint="eastAsia" w:ascii="仿宋_GB2312" w:hAnsi="仿宋_GB2312" w:eastAsia="仿宋_GB2312" w:cs="仿宋_GB2312"/>
        </w:rPr>
        <w:t>供水、排水、燃气、供电、供热等基础设施网络</w:t>
      </w:r>
      <w:r>
        <w:rPr>
          <w:rFonts w:hint="eastAsia" w:ascii="仿宋_GB2312" w:hAnsi="仿宋_GB2312" w:eastAsia="仿宋_GB2312" w:cs="仿宋_GB2312"/>
          <w:lang w:eastAsia="zh-CN"/>
        </w:rPr>
        <w:t>，</w:t>
      </w:r>
      <w:r>
        <w:rPr>
          <w:rFonts w:hint="eastAsia" w:ascii="仿宋_GB2312" w:hAnsi="仿宋_GB2312" w:eastAsia="仿宋_GB2312" w:cs="仿宋_GB2312"/>
        </w:rPr>
        <w:t>提升城市韧性和</w:t>
      </w:r>
      <w:r>
        <w:rPr>
          <w:rFonts w:hint="eastAsia" w:ascii="仿宋_GB2312" w:hAnsi="仿宋_GB2312" w:eastAsia="仿宋_GB2312" w:cs="仿宋_GB2312"/>
          <w:lang w:val="en-US" w:eastAsia="zh-CN"/>
        </w:rPr>
        <w:t>抗风险能力。筑牢城市饮水安全生命线，通过安全韧性设施升级和智慧水务建设，到2030年，实现供水管网漏损率≤6.5%，城市集中式饮用水出厂水水质达标率保持100%，智慧水务平台覆盖率达100%的具体目标，建成“安全韧性、智慧高效”的现代化城市供水设施体系。提高市政排水基础设施服务能力，以“对外联通、内部畅通、做强枢纽、补齐短板、融合升级”为目标，完善城市排水防涝体系，推进城区、镇区及农村污水处理设施及配套管网建设，新建污水泵站1座，布设智能化感知终端，构建智慧调度平台，打造覆盖全市易涝点、关键管网、泵站的智能化监测排水系统。推动老旧燃气管道智慧化改造，加快燃气管道老化更新改造，改造老旧燃气管网5公里以上，同步部署物联感知设施，打造智慧燃气监测平台，全面提升燃气安全管理服务水平。</w:t>
      </w:r>
      <w:r>
        <w:rPr>
          <w:rFonts w:hint="eastAsia" w:ascii="仿宋_GB2312" w:hAnsi="仿宋_GB2312" w:cs="仿宋_GB2312"/>
          <w:lang w:val="en-US" w:eastAsia="zh-CN"/>
        </w:rPr>
        <w:t>开展</w:t>
      </w:r>
      <w:r>
        <w:rPr>
          <w:rFonts w:hint="eastAsia" w:ascii="仿宋_GB2312" w:hAnsi="仿宋_GB2312" w:eastAsia="仿宋_GB2312" w:cs="仿宋_GB2312"/>
          <w:lang w:val="en-US" w:eastAsia="zh-CN"/>
        </w:rPr>
        <w:t>市政管网更新改造</w:t>
      </w:r>
      <w:r>
        <w:rPr>
          <w:rFonts w:hint="eastAsia" w:ascii="仿宋_GB2312" w:hAnsi="仿宋_GB2312" w:cs="仿宋_GB2312"/>
          <w:lang w:val="en-US" w:eastAsia="zh-CN"/>
        </w:rPr>
        <w:t>攻坚</w:t>
      </w:r>
      <w:r>
        <w:rPr>
          <w:rFonts w:hint="eastAsia" w:ascii="仿宋_GB2312" w:hAnsi="仿宋_GB2312" w:eastAsia="仿宋_GB2312" w:cs="仿宋_GB2312"/>
          <w:lang w:val="en-US" w:eastAsia="zh-CN"/>
        </w:rPr>
        <w:t>，计划改造供水管网18.7公里、排水管网6.5公里、供热管网7.3公里，</w:t>
      </w:r>
      <w:r>
        <w:rPr>
          <w:rFonts w:hint="eastAsia" w:ascii="仿宋_GB2312" w:hAnsi="仿宋_GB2312" w:cs="仿宋_GB2312"/>
          <w:lang w:val="en-US" w:eastAsia="zh-CN"/>
        </w:rPr>
        <w:t>同步推进</w:t>
      </w:r>
      <w:r>
        <w:rPr>
          <w:rFonts w:hint="eastAsia" w:ascii="仿宋_GB2312" w:hAnsi="仿宋_GB2312" w:eastAsia="仿宋_GB2312" w:cs="仿宋_GB2312"/>
          <w:lang w:val="en-US" w:eastAsia="zh-CN"/>
        </w:rPr>
        <w:t>5公里以上老旧燃气管网改造，</w:t>
      </w:r>
      <w:r>
        <w:rPr>
          <w:rFonts w:hint="eastAsia" w:ascii="仿宋_GB2312" w:hAnsi="仿宋_GB2312" w:cs="仿宋_GB2312"/>
          <w:lang w:val="en-US" w:eastAsia="zh-CN"/>
        </w:rPr>
        <w:t>系统性</w:t>
      </w:r>
      <w:r>
        <w:rPr>
          <w:rFonts w:hint="eastAsia" w:ascii="仿宋_GB2312" w:hAnsi="仿宋_GB2312" w:eastAsia="仿宋_GB2312" w:cs="仿宋_GB2312"/>
          <w:lang w:val="en-US" w:eastAsia="zh-CN"/>
        </w:rPr>
        <w:t>筑牢城市生命线。</w:t>
      </w:r>
    </w:p>
    <w:tbl>
      <w:tblPr>
        <w:tblStyle w:val="20"/>
        <w:tblW w:w="8335"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335"/>
      </w:tblGrid>
      <w:tr w14:paraId="6B066E5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82" w:hRule="atLeast"/>
          <w:jc w:val="center"/>
        </w:trPr>
        <w:tc>
          <w:tcPr>
            <w:tcW w:w="8335" w:type="dxa"/>
            <w:tcBorders>
              <w:top w:val="single" w:color="auto" w:sz="4" w:space="0"/>
              <w:bottom w:val="single" w:color="auto" w:sz="4" w:space="0"/>
            </w:tcBorders>
            <w:vAlign w:val="center"/>
          </w:tcPr>
          <w:p w14:paraId="1BDEC417">
            <w:pPr>
              <w:spacing w:line="340" w:lineRule="exact"/>
              <w:jc w:val="center"/>
              <w:rPr>
                <w:rFonts w:hint="default" w:ascii="仿宋" w:hAnsi="仿宋" w:eastAsia="黑体"/>
                <w:color w:val="000000" w:themeColor="text1"/>
                <w:sz w:val="28"/>
                <w:szCs w:val="28"/>
                <w:lang w:val="en-US" w:eastAsia="zh-CN"/>
                <w14:textFill>
                  <w14:solidFill>
                    <w14:schemeClr w14:val="tx1"/>
                  </w14:solidFill>
                </w14:textFill>
              </w:rPr>
            </w:pPr>
            <w:bookmarkStart w:id="66" w:name="_Hlk203395658"/>
            <w:r>
              <w:rPr>
                <w:rFonts w:hint="eastAsia" w:ascii="黑体" w:hAnsi="黑体" w:eastAsia="黑体" w:cs="黑体"/>
                <w:sz w:val="24"/>
                <w:szCs w:val="24"/>
              </w:rPr>
              <w:t>专栏</w:t>
            </w:r>
            <w:r>
              <w:rPr>
                <w:rFonts w:hint="eastAsia" w:ascii="黑体" w:hAnsi="黑体" w:eastAsia="黑体" w:cs="黑体"/>
                <w:sz w:val="24"/>
                <w:szCs w:val="24"/>
                <w:lang w:val="en-US" w:eastAsia="zh-CN"/>
              </w:rPr>
              <w:t>9</w:t>
            </w:r>
            <w:r>
              <w:rPr>
                <w:rFonts w:hint="eastAsia" w:ascii="黑体" w:hAnsi="黑体" w:eastAsia="黑体" w:cs="黑体"/>
                <w:sz w:val="24"/>
                <w:szCs w:val="24"/>
              </w:rPr>
              <w:t>-</w:t>
            </w:r>
            <w:r>
              <w:rPr>
                <w:rFonts w:hint="eastAsia" w:ascii="黑体" w:hAnsi="黑体" w:eastAsia="黑体" w:cs="黑体"/>
                <w:sz w:val="24"/>
                <w:szCs w:val="24"/>
                <w:lang w:val="en-US" w:eastAsia="zh-CN"/>
              </w:rPr>
              <w:t>5</w:t>
            </w:r>
            <w:r>
              <w:rPr>
                <w:rFonts w:hint="eastAsia" w:ascii="黑体" w:hAnsi="黑体" w:eastAsia="黑体" w:cs="黑体"/>
                <w:sz w:val="24"/>
                <w:szCs w:val="24"/>
              </w:rPr>
              <w:t xml:space="preserve">  </w:t>
            </w:r>
            <w:r>
              <w:rPr>
                <w:rFonts w:hint="eastAsia" w:ascii="黑体" w:hAnsi="黑体" w:eastAsia="黑体" w:cs="黑体"/>
                <w:sz w:val="24"/>
                <w:szCs w:val="24"/>
                <w:lang w:val="en-US" w:eastAsia="zh-CN"/>
              </w:rPr>
              <w:t>城市韧性“生命线”系统提升重点工程</w:t>
            </w:r>
          </w:p>
        </w:tc>
      </w:tr>
      <w:tr w14:paraId="694E329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01" w:hRule="atLeast"/>
          <w:jc w:val="center"/>
        </w:trPr>
        <w:tc>
          <w:tcPr>
            <w:tcW w:w="8335" w:type="dxa"/>
            <w:tcBorders>
              <w:top w:val="single" w:color="auto" w:sz="4" w:space="0"/>
            </w:tcBorders>
          </w:tcPr>
          <w:p w14:paraId="57A278E6">
            <w:pPr>
              <w:pStyle w:val="8"/>
              <w:bidi w:val="0"/>
              <w:rPr>
                <w:rFonts w:hint="eastAsia" w:ascii="楷体_GB2312" w:hAnsi="楷体_GB2312" w:eastAsia="楷体_GB2312" w:cs="楷体_GB2312"/>
                <w:b/>
                <w:bCs/>
                <w:lang w:val="en-US" w:eastAsia="zh-CN"/>
              </w:rPr>
            </w:pPr>
            <w:r>
              <w:rPr>
                <w:rFonts w:hint="eastAsia" w:ascii="楷体_GB2312" w:hAnsi="楷体_GB2312" w:eastAsia="楷体_GB2312" w:cs="楷体_GB2312"/>
                <w:b/>
                <w:bCs/>
                <w:lang w:val="en-US" w:eastAsia="zh-CN"/>
              </w:rPr>
              <w:t>1.城市排水防涝能力提升工程</w:t>
            </w:r>
          </w:p>
          <w:p w14:paraId="39DDD013">
            <w:pPr>
              <w:pStyle w:val="8"/>
              <w:bidi w:val="0"/>
              <w:rPr>
                <w:rFonts w:hint="eastAsia" w:ascii="楷体_GB2312" w:hAnsi="楷体_GB2312" w:eastAsia="楷体_GB2312" w:cs="楷体_GB2312"/>
              </w:rPr>
            </w:pPr>
            <w:r>
              <w:rPr>
                <w:rFonts w:hint="eastAsia" w:ascii="楷体_GB2312" w:hAnsi="楷体_GB2312" w:eastAsia="楷体_GB2312" w:cs="楷体_GB2312"/>
                <w:lang w:eastAsia="zh-CN"/>
              </w:rPr>
              <w:t>（</w:t>
            </w:r>
            <w:r>
              <w:rPr>
                <w:rFonts w:hint="eastAsia" w:ascii="楷体_GB2312" w:hAnsi="楷体_GB2312" w:eastAsia="楷体_GB2312" w:cs="楷体_GB2312"/>
                <w:lang w:val="en-US" w:eastAsia="zh-CN"/>
              </w:rPr>
              <w:t>1</w:t>
            </w:r>
            <w:r>
              <w:rPr>
                <w:rFonts w:hint="eastAsia" w:ascii="楷体_GB2312" w:hAnsi="楷体_GB2312" w:eastAsia="楷体_GB2312" w:cs="楷体_GB2312"/>
                <w:lang w:eastAsia="zh-CN"/>
              </w:rPr>
              <w:t>）</w:t>
            </w:r>
            <w:r>
              <w:rPr>
                <w:rFonts w:hint="eastAsia" w:ascii="楷体_GB2312" w:hAnsi="楷体_GB2312" w:eastAsia="楷体_GB2312" w:cs="楷体_GB2312"/>
              </w:rPr>
              <w:t>城区排水管网改造工程。项目为改造提升，主要改造给排水设备，具体改造污水4372m，雨水管线13691.7m，检查井468座，雨水口 652 座等。</w:t>
            </w:r>
          </w:p>
          <w:p w14:paraId="5A876568">
            <w:pPr>
              <w:pStyle w:val="8"/>
              <w:bidi w:val="0"/>
              <w:rPr>
                <w:rFonts w:hint="eastAsia" w:ascii="楷体_GB2312" w:hAnsi="楷体_GB2312" w:eastAsia="楷体_GB2312" w:cs="楷体_GB2312"/>
              </w:rPr>
            </w:pPr>
            <w:r>
              <w:rPr>
                <w:rFonts w:hint="eastAsia" w:ascii="楷体_GB2312" w:hAnsi="楷体_GB2312" w:eastAsia="楷体_GB2312" w:cs="楷体_GB2312"/>
                <w:lang w:eastAsia="zh-CN"/>
              </w:rPr>
              <w:t>（</w:t>
            </w:r>
            <w:r>
              <w:rPr>
                <w:rFonts w:hint="eastAsia" w:ascii="楷体_GB2312" w:hAnsi="楷体_GB2312" w:eastAsia="楷体_GB2312" w:cs="楷体_GB2312"/>
                <w:lang w:val="en-US" w:eastAsia="zh-CN"/>
              </w:rPr>
              <w:t>2</w:t>
            </w:r>
            <w:r>
              <w:rPr>
                <w:rFonts w:hint="eastAsia" w:ascii="楷体_GB2312" w:hAnsi="楷体_GB2312" w:eastAsia="楷体_GB2312" w:cs="楷体_GB2312"/>
                <w:lang w:eastAsia="zh-CN"/>
              </w:rPr>
              <w:t>）</w:t>
            </w:r>
            <w:r>
              <w:rPr>
                <w:rFonts w:hint="eastAsia" w:ascii="楷体_GB2312" w:hAnsi="楷体_GB2312" w:eastAsia="楷体_GB2312" w:cs="楷体_GB2312"/>
              </w:rPr>
              <w:t>雨水行泄通道建设项目（学府路段）。学府路</w:t>
            </w:r>
            <w:r>
              <w:rPr>
                <w:rFonts w:hint="eastAsia" w:ascii="楷体_GB2312" w:hAnsi="楷体_GB2312" w:cs="楷体_GB2312"/>
                <w:lang w:eastAsia="zh-CN"/>
              </w:rPr>
              <w:t>（</w:t>
            </w:r>
            <w:r>
              <w:rPr>
                <w:rFonts w:hint="eastAsia" w:ascii="楷体_GB2312" w:hAnsi="楷体_GB2312" w:eastAsia="楷体_GB2312" w:cs="楷体_GB2312"/>
              </w:rPr>
              <w:t>南六街</w:t>
            </w:r>
            <w:r>
              <w:rPr>
                <w:rFonts w:hint="eastAsia" w:ascii="楷体_GB2312" w:hAnsi="楷体_GB2312" w:cs="楷体_GB2312"/>
                <w:lang w:eastAsia="zh-CN"/>
              </w:rPr>
              <w:t>－</w:t>
            </w:r>
            <w:r>
              <w:rPr>
                <w:rFonts w:hint="eastAsia" w:ascii="楷体_GB2312" w:hAnsi="楷体_GB2312" w:eastAsia="楷体_GB2312" w:cs="楷体_GB2312"/>
              </w:rPr>
              <w:t>滨江大街</w:t>
            </w:r>
            <w:r>
              <w:rPr>
                <w:rFonts w:hint="eastAsia" w:ascii="楷体_GB2312" w:hAnsi="楷体_GB2312" w:cs="楷体_GB2312"/>
                <w:lang w:eastAsia="zh-CN"/>
              </w:rPr>
              <w:t>）</w:t>
            </w:r>
            <w:r>
              <w:rPr>
                <w:rFonts w:hint="eastAsia" w:ascii="楷体_GB2312" w:hAnsi="楷体_GB2312" w:eastAsia="楷体_GB2312" w:cs="楷体_GB2312"/>
              </w:rPr>
              <w:t>雨水干线，管径</w:t>
            </w:r>
            <w:r>
              <w:rPr>
                <w:rFonts w:hint="eastAsia" w:ascii="楷体_GB2312" w:hAnsi="楷体_GB2312" w:eastAsia="楷体_GB2312" w:cs="楷体_GB2312"/>
                <w:lang w:val="en-US" w:eastAsia="zh-CN"/>
              </w:rPr>
              <w:t>d</w:t>
            </w:r>
            <w:r>
              <w:rPr>
                <w:rFonts w:hint="eastAsia" w:ascii="楷体_GB2312" w:hAnsi="楷体_GB2312" w:eastAsia="楷体_GB2312" w:cs="楷体_GB2312"/>
              </w:rPr>
              <w:t>300及方渠2500x2000～3400x2200建设雨水管道0.804公里等。</w:t>
            </w:r>
          </w:p>
          <w:p w14:paraId="1971FE32">
            <w:pPr>
              <w:pStyle w:val="8"/>
              <w:bidi w:val="0"/>
              <w:rPr>
                <w:rFonts w:hint="eastAsia" w:ascii="楷体_GB2312" w:hAnsi="楷体_GB2312" w:eastAsia="楷体_GB2312" w:cs="楷体_GB2312"/>
              </w:rPr>
            </w:pPr>
            <w:r>
              <w:rPr>
                <w:rFonts w:hint="eastAsia" w:ascii="楷体_GB2312" w:hAnsi="楷体_GB2312" w:eastAsia="楷体_GB2312" w:cs="楷体_GB2312"/>
                <w:lang w:eastAsia="zh-CN"/>
              </w:rPr>
              <w:t>（</w:t>
            </w:r>
            <w:r>
              <w:rPr>
                <w:rFonts w:hint="eastAsia" w:ascii="楷体_GB2312" w:hAnsi="楷体_GB2312" w:eastAsia="楷体_GB2312" w:cs="楷体_GB2312"/>
                <w:lang w:val="en-US" w:eastAsia="zh-CN"/>
              </w:rPr>
              <w:t>3</w:t>
            </w:r>
            <w:r>
              <w:rPr>
                <w:rFonts w:hint="eastAsia" w:ascii="楷体_GB2312" w:hAnsi="楷体_GB2312" w:eastAsia="楷体_GB2312" w:cs="楷体_GB2312"/>
                <w:lang w:eastAsia="zh-CN"/>
              </w:rPr>
              <w:t>）</w:t>
            </w:r>
            <w:r>
              <w:rPr>
                <w:rFonts w:hint="eastAsia" w:ascii="楷体_GB2312" w:hAnsi="楷体_GB2312" w:eastAsia="楷体_GB2312" w:cs="楷体_GB2312"/>
              </w:rPr>
              <w:t>雨水行泄通道建设项目（中央大街段）。新建中央大街（新开路</w:t>
            </w:r>
            <w:r>
              <w:rPr>
                <w:rFonts w:hint="eastAsia" w:ascii="楷体_GB2312" w:hAnsi="楷体_GB2312" w:cs="楷体_GB2312"/>
                <w:lang w:eastAsia="zh-CN"/>
              </w:rPr>
              <w:t>－</w:t>
            </w:r>
            <w:r>
              <w:rPr>
                <w:rFonts w:hint="eastAsia" w:ascii="楷体_GB2312" w:hAnsi="楷体_GB2312" w:eastAsia="楷体_GB2312" w:cs="楷体_GB2312"/>
              </w:rPr>
              <w:t>东平路）雨水干线，管径 d300 及方渠 2500x2000～3400x2200建设雨水管道0.88公里等。</w:t>
            </w:r>
          </w:p>
          <w:p w14:paraId="261F0AEF">
            <w:pPr>
              <w:pStyle w:val="8"/>
              <w:bidi w:val="0"/>
              <w:rPr>
                <w:rFonts w:hint="eastAsia" w:ascii="楷体_GB2312" w:hAnsi="楷体_GB2312" w:eastAsia="楷体_GB2312" w:cs="楷体_GB2312"/>
              </w:rPr>
            </w:pPr>
            <w:r>
              <w:rPr>
                <w:rFonts w:hint="eastAsia" w:ascii="楷体_GB2312" w:hAnsi="楷体_GB2312" w:eastAsia="楷体_GB2312" w:cs="楷体_GB2312"/>
                <w:lang w:eastAsia="zh-CN"/>
              </w:rPr>
              <w:t>（</w:t>
            </w:r>
            <w:r>
              <w:rPr>
                <w:rFonts w:hint="eastAsia" w:ascii="楷体_GB2312" w:hAnsi="楷体_GB2312" w:eastAsia="楷体_GB2312" w:cs="楷体_GB2312"/>
                <w:lang w:val="en-US" w:eastAsia="zh-CN"/>
              </w:rPr>
              <w:t>4</w:t>
            </w:r>
            <w:r>
              <w:rPr>
                <w:rFonts w:hint="eastAsia" w:ascii="楷体_GB2312" w:hAnsi="楷体_GB2312" w:eastAsia="楷体_GB2312" w:cs="楷体_GB2312"/>
                <w:lang w:eastAsia="zh-CN"/>
              </w:rPr>
              <w:t>）</w:t>
            </w:r>
            <w:r>
              <w:rPr>
                <w:rFonts w:hint="eastAsia" w:ascii="楷体_GB2312" w:hAnsi="楷体_GB2312" w:eastAsia="楷体_GB2312" w:cs="楷体_GB2312"/>
              </w:rPr>
              <w:t>雨水行泄通道建设项目（东平路段）。东平路（中央大街</w:t>
            </w:r>
            <w:r>
              <w:rPr>
                <w:rFonts w:hint="eastAsia" w:ascii="楷体_GB2312" w:hAnsi="楷体_GB2312" w:cs="楷体_GB2312"/>
                <w:lang w:eastAsia="zh-CN"/>
              </w:rPr>
              <w:t>－</w:t>
            </w:r>
            <w:r>
              <w:rPr>
                <w:rFonts w:hint="eastAsia" w:ascii="楷体_GB2312" w:hAnsi="楷体_GB2312" w:eastAsia="楷体_GB2312" w:cs="楷体_GB2312"/>
              </w:rPr>
              <w:t>南六街）雨水干线，管径 d300 及方渠 2500x2000～3400x2200建设雨水管道0.921公里等。</w:t>
            </w:r>
          </w:p>
          <w:p w14:paraId="3B9C2C3C">
            <w:pPr>
              <w:pStyle w:val="8"/>
              <w:bidi w:val="0"/>
              <w:rPr>
                <w:rFonts w:hint="eastAsia" w:ascii="楷体_GB2312" w:hAnsi="楷体_GB2312" w:eastAsia="楷体_GB2312" w:cs="楷体_GB2312"/>
              </w:rPr>
            </w:pPr>
            <w:r>
              <w:rPr>
                <w:rFonts w:hint="eastAsia" w:ascii="楷体_GB2312" w:hAnsi="楷体_GB2312" w:eastAsia="楷体_GB2312" w:cs="楷体_GB2312"/>
                <w:lang w:eastAsia="zh-CN"/>
              </w:rPr>
              <w:t>（</w:t>
            </w:r>
            <w:r>
              <w:rPr>
                <w:rFonts w:hint="eastAsia" w:ascii="楷体_GB2312" w:hAnsi="楷体_GB2312" w:eastAsia="楷体_GB2312" w:cs="楷体_GB2312"/>
                <w:lang w:val="en-US" w:eastAsia="zh-CN"/>
              </w:rPr>
              <w:t>5</w:t>
            </w:r>
            <w:r>
              <w:rPr>
                <w:rFonts w:hint="eastAsia" w:ascii="楷体_GB2312" w:hAnsi="楷体_GB2312" w:eastAsia="楷体_GB2312" w:cs="楷体_GB2312"/>
                <w:lang w:eastAsia="zh-CN"/>
              </w:rPr>
              <w:t>）</w:t>
            </w:r>
            <w:r>
              <w:rPr>
                <w:rFonts w:hint="eastAsia" w:ascii="楷体_GB2312" w:hAnsi="楷体_GB2312" w:eastAsia="楷体_GB2312" w:cs="楷体_GB2312"/>
              </w:rPr>
              <w:t>雨水行泄通道建设项目（南六街段）。南六街（东平路</w:t>
            </w:r>
            <w:r>
              <w:rPr>
                <w:rFonts w:hint="eastAsia" w:ascii="楷体_GB2312" w:hAnsi="楷体_GB2312" w:cs="楷体_GB2312"/>
                <w:lang w:eastAsia="zh-CN"/>
              </w:rPr>
              <w:t>－</w:t>
            </w:r>
            <w:r>
              <w:rPr>
                <w:rFonts w:hint="eastAsia" w:ascii="楷体_GB2312" w:hAnsi="楷体_GB2312" w:eastAsia="楷体_GB2312" w:cs="楷体_GB2312"/>
              </w:rPr>
              <w:t>学府路）雨水干线，管径 d300 及方渠 2500x2000～3400x2200改造末端东平泵站（规模 18m3 /s）等。</w:t>
            </w:r>
          </w:p>
          <w:p w14:paraId="5E1835B9">
            <w:pPr>
              <w:pStyle w:val="8"/>
              <w:bidi w:val="0"/>
              <w:rPr>
                <w:rFonts w:hint="eastAsia" w:ascii="楷体_GB2312" w:hAnsi="楷体_GB2312" w:eastAsia="楷体_GB2312" w:cs="楷体_GB2312"/>
              </w:rPr>
            </w:pPr>
            <w:r>
              <w:rPr>
                <w:rFonts w:hint="eastAsia" w:ascii="楷体_GB2312" w:hAnsi="楷体_GB2312" w:eastAsia="楷体_GB2312" w:cs="楷体_GB2312"/>
                <w:lang w:eastAsia="zh-CN"/>
              </w:rPr>
              <w:t>（</w:t>
            </w:r>
            <w:r>
              <w:rPr>
                <w:rFonts w:hint="eastAsia" w:ascii="楷体_GB2312" w:hAnsi="楷体_GB2312" w:eastAsia="楷体_GB2312" w:cs="楷体_GB2312"/>
                <w:lang w:val="en-US" w:eastAsia="zh-CN"/>
              </w:rPr>
              <w:t>6</w:t>
            </w:r>
            <w:r>
              <w:rPr>
                <w:rFonts w:hint="eastAsia" w:ascii="楷体_GB2312" w:hAnsi="楷体_GB2312" w:eastAsia="楷体_GB2312" w:cs="楷体_GB2312"/>
                <w:lang w:eastAsia="zh-CN"/>
              </w:rPr>
              <w:t>）</w:t>
            </w:r>
            <w:r>
              <w:rPr>
                <w:rFonts w:hint="eastAsia" w:ascii="楷体_GB2312" w:hAnsi="楷体_GB2312" w:eastAsia="楷体_GB2312" w:cs="楷体_GB2312"/>
              </w:rPr>
              <w:t>老旧排水管线更新改造项目。项目总长度24.91km，主要改造排水管道、永兴泵站雨水设施，同步建设一体化污水泵站，改扩建幸福泵站。</w:t>
            </w:r>
          </w:p>
          <w:p w14:paraId="4AF85184">
            <w:pPr>
              <w:pStyle w:val="8"/>
              <w:bidi w:val="0"/>
              <w:rPr>
                <w:rFonts w:hint="eastAsia" w:ascii="楷体_GB2312" w:hAnsi="楷体_GB2312" w:cs="楷体_GB2312"/>
                <w:lang w:val="en-US" w:eastAsia="zh-CN"/>
              </w:rPr>
            </w:pPr>
            <w:r>
              <w:rPr>
                <w:rFonts w:hint="eastAsia" w:ascii="楷体_GB2312" w:hAnsi="楷体_GB2312" w:cs="楷体_GB2312"/>
                <w:lang w:eastAsia="zh-CN"/>
              </w:rPr>
              <w:t>（</w:t>
            </w:r>
            <w:r>
              <w:rPr>
                <w:rFonts w:hint="eastAsia" w:ascii="楷体_GB2312" w:hAnsi="楷体_GB2312" w:cs="楷体_GB2312"/>
                <w:lang w:val="en-US" w:eastAsia="zh-CN"/>
              </w:rPr>
              <w:t>7</w:t>
            </w:r>
            <w:r>
              <w:rPr>
                <w:rFonts w:hint="eastAsia" w:ascii="楷体_GB2312" w:hAnsi="楷体_GB2312" w:cs="楷体_GB2312"/>
                <w:lang w:eastAsia="zh-CN"/>
              </w:rPr>
              <w:t>）</w:t>
            </w:r>
            <w:r>
              <w:rPr>
                <w:rFonts w:hint="eastAsia" w:ascii="楷体_GB2312" w:hAnsi="楷体_GB2312" w:cs="楷体_GB2312"/>
                <w:lang w:val="en-US" w:eastAsia="zh-CN"/>
              </w:rPr>
              <w:t>富锦市中心城区排水防涝设施建设工程。分为九个部分，即管网前端物联网设备，现状泵站信息化改造，数字化排水应用软件系统，数据中心建设，指挥调度中心，城市时空大数据模型，现状科技楼污水泵站改造，新一街南侧地块排水管网改造和现状排水管网检测评估。</w:t>
            </w:r>
          </w:p>
          <w:p w14:paraId="5AD09D7D">
            <w:pPr>
              <w:pStyle w:val="8"/>
              <w:bidi w:val="0"/>
              <w:rPr>
                <w:rFonts w:hint="default" w:ascii="楷体_GB2312" w:hAnsi="楷体_GB2312" w:cs="楷体_GB2312"/>
                <w:lang w:val="en-US" w:eastAsia="zh-CN"/>
              </w:rPr>
            </w:pPr>
            <w:r>
              <w:rPr>
                <w:rFonts w:hint="eastAsia" w:ascii="楷体_GB2312" w:hAnsi="楷体_GB2312" w:cs="楷体_GB2312"/>
                <w:lang w:val="en-US" w:eastAsia="zh-CN"/>
              </w:rPr>
              <w:t>（8）富锦市城区排水管网末端改造项目。涉及31个子项，新建排水管道6172.5米，新建排水检查井227座，新建雨水口122座，检查井维修及更换井盖75座，顶管110米，废井填埋6座，管道封堵2处，暗渠维修58米，路面恢复12935平方米。</w:t>
            </w:r>
          </w:p>
          <w:p w14:paraId="498C7911">
            <w:pPr>
              <w:pStyle w:val="8"/>
              <w:bidi w:val="0"/>
              <w:rPr>
                <w:rFonts w:hint="eastAsia" w:ascii="楷体_GB2312" w:hAnsi="楷体_GB2312" w:eastAsia="楷体_GB2312" w:cs="楷体_GB2312"/>
                <w:b/>
                <w:bCs/>
                <w:lang w:val="en-US" w:eastAsia="zh-CN"/>
              </w:rPr>
            </w:pPr>
            <w:r>
              <w:rPr>
                <w:rFonts w:hint="eastAsia" w:ascii="楷体_GB2312" w:hAnsi="楷体_GB2312" w:eastAsia="楷体_GB2312" w:cs="楷体_GB2312"/>
                <w:b/>
                <w:bCs/>
                <w:lang w:val="en-US" w:eastAsia="zh-CN"/>
              </w:rPr>
              <w:t>2.供水保障与漏损治理工程</w:t>
            </w:r>
          </w:p>
          <w:p w14:paraId="12C5986D">
            <w:pPr>
              <w:pStyle w:val="8"/>
              <w:bidi w:val="0"/>
              <w:rPr>
                <w:rFonts w:hint="eastAsia" w:ascii="楷体_GB2312" w:hAnsi="楷体_GB2312" w:eastAsia="楷体_GB2312" w:cs="楷体_GB2312"/>
              </w:rPr>
            </w:pPr>
            <w:r>
              <w:rPr>
                <w:rFonts w:hint="eastAsia" w:ascii="楷体_GB2312" w:hAnsi="楷体_GB2312" w:eastAsia="楷体_GB2312" w:cs="楷体_GB2312"/>
                <w:lang w:eastAsia="zh-CN"/>
              </w:rPr>
              <w:t>（</w:t>
            </w:r>
            <w:r>
              <w:rPr>
                <w:rFonts w:hint="eastAsia" w:ascii="楷体_GB2312" w:hAnsi="楷体_GB2312" w:eastAsia="楷体_GB2312" w:cs="楷体_GB2312"/>
                <w:lang w:val="en-US" w:eastAsia="zh-CN"/>
              </w:rPr>
              <w:t>1</w:t>
            </w:r>
            <w:r>
              <w:rPr>
                <w:rFonts w:hint="eastAsia" w:ascii="楷体_GB2312" w:hAnsi="楷体_GB2312" w:eastAsia="楷体_GB2312" w:cs="楷体_GB2312"/>
                <w:lang w:eastAsia="zh-CN"/>
              </w:rPr>
              <w:t>）</w:t>
            </w:r>
            <w:r>
              <w:rPr>
                <w:rFonts w:hint="eastAsia" w:ascii="楷体_GB2312" w:hAnsi="楷体_GB2312" w:eastAsia="楷体_GB2312" w:cs="楷体_GB2312"/>
              </w:rPr>
              <w:t>公共供水管网漏损治理项目。项目为设备改造，主要改造老旧供水管网及水厂、小区二次供水，同步建设智慧水务系统。</w:t>
            </w:r>
          </w:p>
          <w:p w14:paraId="4CF5BE6D">
            <w:pPr>
              <w:pStyle w:val="8"/>
              <w:bidi w:val="0"/>
              <w:rPr>
                <w:rFonts w:hint="default" w:ascii="楷体_GB2312" w:hAnsi="楷体_GB2312" w:eastAsia="楷体_GB2312" w:cs="楷体_GB2312"/>
                <w:lang w:val="en-US" w:eastAsia="zh-CN"/>
              </w:rPr>
            </w:pPr>
            <w:r>
              <w:rPr>
                <w:rFonts w:hint="eastAsia" w:ascii="楷体_GB2312" w:hAnsi="楷体_GB2312" w:cs="楷体_GB2312"/>
                <w:lang w:val="en-US" w:eastAsia="zh-CN"/>
              </w:rPr>
              <w:t>（2）富锦市老旧供水管网更新改造项目。本项目对富锦市城区内8个村屯现有老旧给水管线，进行改造更换，共计改造De25-De315 给水管线116267米，改造智能远传水表2642块，配套建设管道阀门井及流量计井等设施；购置供水应急抢险车1台。</w:t>
            </w:r>
          </w:p>
          <w:p w14:paraId="7B0D4CFB">
            <w:pPr>
              <w:pStyle w:val="8"/>
              <w:bidi w:val="0"/>
              <w:rPr>
                <w:rFonts w:hint="eastAsia" w:ascii="楷体_GB2312" w:hAnsi="楷体_GB2312" w:eastAsia="楷体_GB2312" w:cs="楷体_GB2312"/>
              </w:rPr>
            </w:pPr>
            <w:r>
              <w:rPr>
                <w:rFonts w:hint="eastAsia" w:ascii="楷体_GB2312" w:hAnsi="楷体_GB2312" w:eastAsia="楷体_GB2312" w:cs="楷体_GB2312"/>
                <w:lang w:val="en-US" w:eastAsia="zh-CN"/>
              </w:rPr>
              <w:t>（</w:t>
            </w:r>
            <w:r>
              <w:rPr>
                <w:rFonts w:hint="eastAsia" w:ascii="楷体_GB2312" w:hAnsi="楷体_GB2312" w:cs="楷体_GB2312"/>
                <w:lang w:val="en-US" w:eastAsia="zh-CN"/>
              </w:rPr>
              <w:t>3</w:t>
            </w:r>
            <w:r>
              <w:rPr>
                <w:rFonts w:hint="eastAsia" w:ascii="楷体_GB2312" w:hAnsi="楷体_GB2312" w:eastAsia="楷体_GB2312" w:cs="楷体_GB2312"/>
                <w:lang w:val="en-US" w:eastAsia="zh-CN"/>
              </w:rPr>
              <w:t>）</w:t>
            </w:r>
            <w:r>
              <w:rPr>
                <w:rFonts w:hint="eastAsia" w:ascii="楷体_GB2312" w:hAnsi="楷体_GB2312" w:eastAsia="楷体_GB2312" w:cs="楷体_GB2312"/>
              </w:rPr>
              <w:t>二龙山镇水资源配置（中闽热电至伟明环保段）工程项目。项目利用原有场地，主要在中闽热电厂区建设500㎥清水池1座，设置加压水泵2台。</w:t>
            </w:r>
          </w:p>
          <w:p w14:paraId="6D5E9AC2">
            <w:pPr>
              <w:pStyle w:val="8"/>
              <w:bidi w:val="0"/>
              <w:rPr>
                <w:rFonts w:hint="eastAsia" w:ascii="楷体_GB2312" w:hAnsi="楷体_GB2312" w:eastAsia="楷体_GB2312" w:cs="楷体_GB2312"/>
              </w:rPr>
            </w:pPr>
            <w:r>
              <w:rPr>
                <w:rFonts w:hint="eastAsia" w:ascii="楷体_GB2312" w:hAnsi="楷体_GB2312" w:eastAsia="楷体_GB2312" w:cs="楷体_GB2312"/>
                <w:lang w:eastAsia="zh-CN"/>
              </w:rPr>
              <w:t>（</w:t>
            </w:r>
            <w:r>
              <w:rPr>
                <w:rFonts w:hint="eastAsia" w:ascii="楷体_GB2312" w:hAnsi="楷体_GB2312" w:cs="楷体_GB2312"/>
                <w:lang w:val="en-US" w:eastAsia="zh-CN"/>
              </w:rPr>
              <w:t>4</w:t>
            </w:r>
            <w:r>
              <w:rPr>
                <w:rFonts w:hint="eastAsia" w:ascii="楷体_GB2312" w:hAnsi="楷体_GB2312" w:eastAsia="楷体_GB2312" w:cs="楷体_GB2312"/>
                <w:lang w:eastAsia="zh-CN"/>
              </w:rPr>
              <w:t>）</w:t>
            </w:r>
            <w:r>
              <w:rPr>
                <w:rFonts w:hint="eastAsia" w:ascii="楷体_GB2312" w:hAnsi="楷体_GB2312" w:eastAsia="楷体_GB2312" w:cs="楷体_GB2312"/>
              </w:rPr>
              <w:t>富锦经开区净水厂项目。设计规模4.5万吨/日</w:t>
            </w:r>
            <w:r>
              <w:rPr>
                <w:rFonts w:hint="eastAsia" w:ascii="楷体_GB2312" w:hAnsi="楷体_GB2312" w:cs="楷体_GB2312"/>
                <w:lang w:eastAsia="zh-CN"/>
              </w:rPr>
              <w:t>，</w:t>
            </w:r>
            <w:r>
              <w:rPr>
                <w:rFonts w:hint="eastAsia" w:ascii="楷体_GB2312" w:hAnsi="楷体_GB2312" w:eastAsia="楷体_GB2312" w:cs="楷体_GB2312"/>
              </w:rPr>
              <w:t>主要建构筑物包含：稳压井一座，常规处理间一座，清水池一座，吸水井一座，送水泵房等。</w:t>
            </w:r>
          </w:p>
          <w:p w14:paraId="64266EA4">
            <w:pPr>
              <w:pStyle w:val="8"/>
              <w:bidi w:val="0"/>
              <w:rPr>
                <w:rFonts w:hint="eastAsia" w:ascii="楷体_GB2312" w:hAnsi="楷体_GB2312" w:eastAsia="楷体_GB2312" w:cs="楷体_GB2312"/>
                <w:b/>
                <w:bCs/>
                <w:lang w:val="en-US" w:eastAsia="zh-CN"/>
              </w:rPr>
            </w:pPr>
            <w:r>
              <w:rPr>
                <w:rFonts w:hint="eastAsia" w:ascii="楷体_GB2312" w:hAnsi="楷体_GB2312" w:eastAsia="楷体_GB2312" w:cs="楷体_GB2312"/>
                <w:b/>
                <w:bCs/>
                <w:lang w:val="en-US" w:eastAsia="zh-CN"/>
              </w:rPr>
              <w:t>3.能源供应与资源循环利用工程</w:t>
            </w:r>
          </w:p>
          <w:p w14:paraId="7511F8F5">
            <w:pPr>
              <w:pStyle w:val="8"/>
              <w:bidi w:val="0"/>
              <w:rPr>
                <w:rFonts w:hint="eastAsia" w:ascii="楷体_GB2312" w:hAnsi="楷体_GB2312" w:eastAsia="楷体_GB2312" w:cs="楷体_GB2312"/>
              </w:rPr>
            </w:pPr>
            <w:r>
              <w:rPr>
                <w:rFonts w:hint="eastAsia" w:ascii="楷体_GB2312" w:hAnsi="楷体_GB2312" w:eastAsia="楷体_GB2312" w:cs="楷体_GB2312"/>
                <w:lang w:eastAsia="zh-CN"/>
              </w:rPr>
              <w:t>（</w:t>
            </w:r>
            <w:r>
              <w:rPr>
                <w:rFonts w:hint="eastAsia" w:ascii="楷体_GB2312" w:hAnsi="楷体_GB2312" w:eastAsia="楷体_GB2312" w:cs="楷体_GB2312"/>
                <w:lang w:val="en-US" w:eastAsia="zh-CN"/>
              </w:rPr>
              <w:t>1</w:t>
            </w:r>
            <w:r>
              <w:rPr>
                <w:rFonts w:hint="eastAsia" w:ascii="楷体_GB2312" w:hAnsi="楷体_GB2312" w:eastAsia="楷体_GB2312" w:cs="楷体_GB2312"/>
                <w:lang w:eastAsia="zh-CN"/>
              </w:rPr>
              <w:t>）</w:t>
            </w:r>
            <w:r>
              <w:rPr>
                <w:rFonts w:hint="eastAsia" w:ascii="楷体_GB2312" w:hAnsi="楷体_GB2312" w:eastAsia="楷体_GB2312" w:cs="楷体_GB2312"/>
              </w:rPr>
              <w:t>1×30MW农林生物质热电联产项目外网中水供水管线和场区环岛路面改造工程项目。项目总长度9500m，主要建设中水供水管网施工， 生活供水管线用水长5000m，厂区污水管线接至二龙山镇污水处理厂长4500m。</w:t>
            </w:r>
          </w:p>
          <w:p w14:paraId="0DC91EFD">
            <w:pPr>
              <w:pStyle w:val="8"/>
              <w:numPr>
                <w:ilvl w:val="0"/>
                <w:numId w:val="0"/>
              </w:numPr>
              <w:bidi w:val="0"/>
              <w:ind w:firstLine="480" w:firstLineChars="200"/>
              <w:rPr>
                <w:rFonts w:hint="eastAsia" w:ascii="楷体_GB2312" w:hAnsi="楷体_GB2312" w:eastAsia="楷体_GB2312" w:cs="楷体_GB2312"/>
              </w:rPr>
            </w:pPr>
            <w:r>
              <w:rPr>
                <w:rFonts w:hint="eastAsia" w:ascii="楷体_GB2312" w:hAnsi="楷体_GB2312" w:eastAsia="楷体_GB2312" w:cs="楷体_GB2312"/>
                <w:kern w:val="0"/>
                <w:sz w:val="24"/>
                <w:szCs w:val="24"/>
                <w:lang w:val="en-US" w:eastAsia="zh-CN" w:bidi="ar-SA"/>
              </w:rPr>
              <w:t>（2）</w:t>
            </w:r>
            <w:r>
              <w:rPr>
                <w:rFonts w:hint="eastAsia" w:ascii="楷体_GB2312" w:hAnsi="楷体_GB2312" w:eastAsia="楷体_GB2312" w:cs="楷体_GB2312"/>
              </w:rPr>
              <w:t>东方热电迁建配套设施建设项目。项目占地80000㎡，主要建设热源到东方热电1级管线；将现有城区低温直供系统改为间供系统；建设智慧供热管理系统等。</w:t>
            </w:r>
          </w:p>
          <w:p w14:paraId="1C1847D0">
            <w:pPr>
              <w:pStyle w:val="8"/>
              <w:numPr>
                <w:ilvl w:val="0"/>
                <w:numId w:val="0"/>
              </w:numPr>
              <w:bidi w:val="0"/>
              <w:rPr>
                <w:rFonts w:hint="default" w:ascii="楷体_GB2312" w:hAnsi="楷体_GB2312" w:eastAsia="楷体_GB2312" w:cs="楷体_GB2312"/>
                <w:lang w:val="en-US" w:eastAsia="zh-CN"/>
              </w:rPr>
            </w:pPr>
            <w:r>
              <w:rPr>
                <w:rFonts w:hint="eastAsia" w:ascii="楷体_GB2312" w:hAnsi="楷体_GB2312" w:cs="楷体_GB2312"/>
                <w:lang w:val="en-US" w:eastAsia="zh-CN"/>
              </w:rPr>
              <w:t xml:space="preserve">    （3）富锦市污泥处置项目。在富锦市北方水泥西侧市政料场院内新建一座污泥处理厂，建设规模为55t/d，主要包括新建污泥处理主厂房，成品堆场，物料堆场，消防泵房/消防水池等。</w:t>
            </w:r>
          </w:p>
          <w:p w14:paraId="291E53A4">
            <w:pPr>
              <w:pStyle w:val="8"/>
              <w:bidi w:val="0"/>
              <w:rPr>
                <w:rFonts w:hint="eastAsia" w:ascii="楷体_GB2312" w:hAnsi="楷体_GB2312" w:eastAsia="楷体_GB2312" w:cs="楷体_GB2312"/>
                <w:b/>
                <w:bCs/>
                <w:lang w:val="en-US" w:eastAsia="zh-CN"/>
              </w:rPr>
            </w:pPr>
            <w:r>
              <w:rPr>
                <w:rFonts w:hint="eastAsia" w:ascii="楷体_GB2312" w:hAnsi="楷体_GB2312" w:eastAsia="楷体_GB2312" w:cs="楷体_GB2312"/>
                <w:b/>
                <w:bCs/>
                <w:lang w:val="en-US" w:eastAsia="zh-CN"/>
              </w:rPr>
              <w:t>4.城市安全与应急保障工程</w:t>
            </w:r>
          </w:p>
          <w:p w14:paraId="5E561B50">
            <w:pPr>
              <w:pStyle w:val="8"/>
              <w:bidi w:val="0"/>
              <w:rPr>
                <w:rFonts w:hint="eastAsia" w:ascii="仿宋" w:hAnsi="仿宋" w:eastAsia="仿宋"/>
                <w:bCs/>
                <w:szCs w:val="28"/>
              </w:rPr>
            </w:pPr>
            <w:r>
              <w:rPr>
                <w:rFonts w:hint="eastAsia" w:ascii="楷体_GB2312" w:hAnsi="楷体_GB2312" w:eastAsia="楷体_GB2312" w:cs="楷体_GB2312"/>
                <w:lang w:eastAsia="zh-CN"/>
              </w:rPr>
              <w:t>（</w:t>
            </w:r>
            <w:r>
              <w:rPr>
                <w:rFonts w:hint="eastAsia" w:ascii="楷体_GB2312" w:hAnsi="楷体_GB2312" w:eastAsia="楷体_GB2312" w:cs="楷体_GB2312"/>
                <w:lang w:val="en-US" w:eastAsia="zh-CN"/>
              </w:rPr>
              <w:t>1</w:t>
            </w:r>
            <w:r>
              <w:rPr>
                <w:rFonts w:hint="eastAsia" w:ascii="楷体_GB2312" w:hAnsi="楷体_GB2312" w:eastAsia="楷体_GB2312" w:cs="楷体_GB2312"/>
                <w:lang w:eastAsia="zh-CN"/>
              </w:rPr>
              <w:t>）</w:t>
            </w:r>
            <w:r>
              <w:rPr>
                <w:rFonts w:hint="eastAsia" w:ascii="楷体_GB2312" w:hAnsi="楷体_GB2312" w:eastAsia="楷体_GB2312" w:cs="楷体_GB2312"/>
              </w:rPr>
              <w:t>黑龙江省应急救灾物资储备中心富锦中心库。项目占地6600㎡，主要建设物资储备库3200㎡，同步建设办公楼1100㎡。</w:t>
            </w:r>
          </w:p>
        </w:tc>
      </w:tr>
      <w:bookmarkEnd w:id="66"/>
    </w:tbl>
    <w:p w14:paraId="3FF22E5C">
      <w:pPr>
        <w:bidi w:val="0"/>
        <w:rPr>
          <w:rFonts w:hint="eastAsia"/>
          <w:lang w:val="en-US" w:eastAsia="zh-CN"/>
        </w:rPr>
      </w:pPr>
    </w:p>
    <w:p w14:paraId="3A1860CE">
      <w:pPr>
        <w:bidi w:val="0"/>
        <w:rPr>
          <w:rFonts w:hint="eastAsia"/>
          <w:lang w:val="en-US" w:eastAsia="zh-CN"/>
        </w:rPr>
      </w:pPr>
    </w:p>
    <w:p w14:paraId="2198D441">
      <w:pPr>
        <w:rPr>
          <w:rFonts w:hint="eastAsia"/>
          <w:lang w:val="en-US" w:eastAsia="zh-CN"/>
        </w:rPr>
      </w:pPr>
      <w:r>
        <w:rPr>
          <w:rFonts w:hint="eastAsia" w:ascii="黑体" w:hAnsi="黑体" w:eastAsia="黑体" w:cs="黑体"/>
          <w:sz w:val="36"/>
          <w:szCs w:val="48"/>
          <w:lang w:val="en-US" w:eastAsia="zh-CN"/>
        </w:rPr>
        <w:br w:type="page"/>
      </w:r>
    </w:p>
    <w:p w14:paraId="12D5D652">
      <w:pPr>
        <w:pStyle w:val="2"/>
        <w:bidi w:val="0"/>
        <w:ind w:left="0" w:leftChars="0" w:firstLine="0" w:firstLineChars="0"/>
        <w:jc w:val="center"/>
        <w:rPr>
          <w:rFonts w:hint="default" w:ascii="黑体" w:hAnsi="黑体" w:eastAsia="黑体" w:cs="黑体"/>
          <w:sz w:val="36"/>
          <w:szCs w:val="48"/>
          <w:lang w:val="en-US" w:eastAsia="zh-CN"/>
        </w:rPr>
      </w:pPr>
      <w:bookmarkStart w:id="67" w:name="_Toc6109"/>
      <w:r>
        <w:rPr>
          <w:rFonts w:hint="eastAsia" w:ascii="黑体" w:hAnsi="黑体" w:eastAsia="黑体" w:cs="黑体"/>
          <w:sz w:val="36"/>
          <w:szCs w:val="48"/>
          <w:lang w:val="en-US" w:eastAsia="zh-CN"/>
        </w:rPr>
        <w:t>第十章  优化区域协调发展布局，谱写富锦城乡融合发展新篇章</w:t>
      </w:r>
      <w:bookmarkEnd w:id="67"/>
    </w:p>
    <w:p w14:paraId="3A8BC2C5">
      <w:pPr>
        <w:bidi w:val="0"/>
        <w:rPr>
          <w:rFonts w:hint="eastAsia"/>
          <w:lang w:val="en-US" w:eastAsia="zh-CN"/>
        </w:rPr>
      </w:pPr>
      <w:r>
        <w:rPr>
          <w:rFonts w:hint="default"/>
          <w:lang w:val="en-US" w:eastAsia="zh-CN"/>
        </w:rPr>
        <w:t>落实区域协调发展战略、区域重大战略、主体功能区战略、新型城镇化战略，构建优势互补、高质量发展的区域经济布局和国土空间体系，增强城市辐射带动能力和服务承载能力</w:t>
      </w:r>
      <w:r>
        <w:rPr>
          <w:rFonts w:hint="eastAsia"/>
          <w:lang w:val="en-US" w:eastAsia="zh-CN"/>
        </w:rPr>
        <w:t>，</w:t>
      </w:r>
      <w:r>
        <w:rPr>
          <w:rFonts w:hint="default"/>
          <w:lang w:val="en-US" w:eastAsia="zh-CN"/>
        </w:rPr>
        <w:t>高标准</w:t>
      </w:r>
      <w:r>
        <w:rPr>
          <w:rFonts w:hint="eastAsia"/>
          <w:lang w:val="en-US" w:eastAsia="zh-CN"/>
        </w:rPr>
        <w:t>实施城市更新行动，</w:t>
      </w:r>
      <w:r>
        <w:rPr>
          <w:rFonts w:hint="default"/>
          <w:lang w:val="en-US" w:eastAsia="zh-CN"/>
        </w:rPr>
        <w:t>谱写城乡互促共荣、融合发展的富锦新篇章</w:t>
      </w:r>
      <w:r>
        <w:rPr>
          <w:rFonts w:hint="eastAsia"/>
          <w:lang w:val="en-US" w:eastAsia="zh-CN"/>
        </w:rPr>
        <w:t>。</w:t>
      </w:r>
    </w:p>
    <w:p w14:paraId="57251257">
      <w:pPr>
        <w:pStyle w:val="3"/>
        <w:bidi w:val="0"/>
        <w:rPr>
          <w:rFonts w:hint="default"/>
          <w:lang w:val="en-US" w:eastAsia="zh-CN"/>
        </w:rPr>
      </w:pPr>
      <w:bookmarkStart w:id="68" w:name="_Toc32415"/>
      <w:r>
        <w:rPr>
          <w:rFonts w:hint="eastAsia"/>
          <w:lang w:val="en-US" w:eastAsia="zh-CN"/>
        </w:rPr>
        <w:t>第一节  深入落实国省区域发展战略</w:t>
      </w:r>
      <w:bookmarkEnd w:id="68"/>
    </w:p>
    <w:p w14:paraId="5DF2BF9A">
      <w:pPr>
        <w:bidi w:val="0"/>
        <w:rPr>
          <w:rFonts w:hint="eastAsia" w:ascii="仿宋_GB2312" w:hAnsi="仿宋_GB2312" w:eastAsia="仿宋_GB2312" w:cs="仿宋_GB2312"/>
          <w:lang w:val="en-US" w:eastAsia="zh-CN"/>
        </w:rPr>
      </w:pPr>
      <w:r>
        <w:rPr>
          <w:rFonts w:hint="eastAsia" w:ascii="仿宋_GB2312" w:hAnsi="仿宋_GB2312" w:eastAsia="仿宋_GB2312" w:cs="仿宋_GB2312"/>
          <w:b/>
          <w:bCs/>
          <w:lang w:val="en-US" w:eastAsia="zh-CN"/>
        </w:rPr>
        <w:t>落实重大发展战略。</w:t>
      </w:r>
      <w:r>
        <w:rPr>
          <w:rFonts w:hint="eastAsia" w:ascii="仿宋_GB2312" w:hAnsi="仿宋_GB2312" w:eastAsia="仿宋_GB2312" w:cs="仿宋_GB2312"/>
          <w:lang w:val="en-US" w:eastAsia="zh-CN"/>
        </w:rPr>
        <w:t>主动同京津冀协同发展、长江经济带发展、长三角一体化发展、粤港澳大湾区建设等国家重大战略对接，</w:t>
      </w:r>
      <w:r>
        <w:rPr>
          <w:rFonts w:hint="eastAsia" w:ascii="仿宋_GB2312" w:hAnsi="仿宋_GB2312" w:cs="仿宋_GB2312"/>
          <w:lang w:val="en-US" w:eastAsia="zh-CN"/>
        </w:rPr>
        <w:t>抢抓全国生产力布局优化调整机遇，</w:t>
      </w:r>
      <w:r>
        <w:rPr>
          <w:rFonts w:hint="eastAsia" w:ascii="仿宋_GB2312" w:hAnsi="仿宋_GB2312" w:eastAsia="仿宋_GB2312" w:cs="仿宋_GB2312"/>
          <w:lang w:val="en-US" w:eastAsia="zh-CN"/>
        </w:rPr>
        <w:t>坚持优势互补、合作共赢，积极承接发达地区产业、技术、资金、人才转移，更好融入全国统一大市场。主动融入和推动松花江流域经济建设，强化与周边资源型城市资源共享和协同创新，在推动“藏粮于地、藏粮于技”战略核心区中赢得优势。扎实做好援疆援藏工作，推动合作共赢发展。</w:t>
      </w:r>
    </w:p>
    <w:p w14:paraId="4C0D7A02">
      <w:pPr>
        <w:bidi w:val="0"/>
        <w:rPr>
          <w:rFonts w:hint="default" w:ascii="Times New Roman" w:hAnsi="Times New Roman" w:eastAsia="仿宋_GB2312" w:cs="Times New Roman"/>
          <w:color w:val="000000"/>
          <w:sz w:val="32"/>
          <w:szCs w:val="32"/>
          <w:u w:val="none"/>
          <w:lang w:val="en-US" w:eastAsia="zh-CN"/>
        </w:rPr>
      </w:pPr>
      <w:r>
        <w:rPr>
          <w:rFonts w:hint="eastAsia" w:ascii="仿宋_GB2312" w:hAnsi="仿宋_GB2312" w:eastAsia="仿宋_GB2312" w:cs="仿宋_GB2312"/>
          <w:b/>
          <w:bCs/>
          <w:sz w:val="32"/>
          <w:szCs w:val="32"/>
        </w:rPr>
        <w:t>融入区域发展</w:t>
      </w:r>
      <w:r>
        <w:rPr>
          <w:rFonts w:hint="eastAsia" w:ascii="仿宋_GB2312" w:hAnsi="仿宋_GB2312" w:eastAsia="仿宋_GB2312" w:cs="仿宋_GB2312"/>
          <w:b/>
          <w:bCs/>
          <w:sz w:val="32"/>
          <w:szCs w:val="32"/>
          <w:lang w:val="en-US" w:eastAsia="zh-CN"/>
        </w:rPr>
        <w:t>格局</w:t>
      </w:r>
      <w:r>
        <w:rPr>
          <w:rFonts w:hint="eastAsia" w:ascii="仿宋_GB2312" w:hAnsi="仿宋_GB2312" w:eastAsia="仿宋_GB2312" w:cs="仿宋_GB2312"/>
          <w:b/>
          <w:bCs/>
          <w:sz w:val="32"/>
          <w:szCs w:val="32"/>
        </w:rPr>
        <w:t>。</w:t>
      </w:r>
      <w:r>
        <w:rPr>
          <w:rFonts w:hint="eastAsia" w:ascii="仿宋_GB2312" w:hAnsi="仿宋_GB2312" w:eastAsia="仿宋_GB2312" w:cs="仿宋_GB2312"/>
          <w:sz w:val="32"/>
          <w:szCs w:val="32"/>
        </w:rPr>
        <w:t>依托哈佳同抚发展轴，强化富锦市与哈尔滨市都市圈的联动发展。</w:t>
      </w:r>
      <w:bookmarkStart w:id="69" w:name="OLE_LINK40"/>
      <w:bookmarkStart w:id="70" w:name="OLE_LINK41"/>
      <w:r>
        <w:rPr>
          <w:rFonts w:hint="eastAsia" w:ascii="仿宋_GB2312" w:hAnsi="仿宋_GB2312" w:eastAsia="仿宋_GB2312" w:cs="仿宋_GB2312"/>
          <w:sz w:val="32"/>
          <w:szCs w:val="32"/>
        </w:rPr>
        <w:t>主动融入哈长城市群，积极参与跨省域产业分工。</w:t>
      </w:r>
      <w:bookmarkEnd w:id="69"/>
      <w:bookmarkEnd w:id="70"/>
      <w:r>
        <w:rPr>
          <w:rFonts w:hint="eastAsia" w:ascii="仿宋_GB2312" w:hAnsi="仿宋_GB2312" w:eastAsia="仿宋_GB2312" w:cs="仿宋_GB2312"/>
          <w:sz w:val="32"/>
          <w:szCs w:val="32"/>
        </w:rPr>
        <w:t>推动与鸡西市、双鸭山市、鹤岗市、七台河市以及伊春市</w:t>
      </w:r>
      <w:r>
        <w:rPr>
          <w:rFonts w:hint="eastAsia" w:ascii="仿宋_GB2312" w:hAnsi="仿宋_GB2312" w:eastAsia="仿宋_GB2312" w:cs="仿宋_GB2312"/>
          <w:sz w:val="32"/>
          <w:szCs w:val="32"/>
          <w:lang w:val="en-US" w:eastAsia="zh-CN"/>
        </w:rPr>
        <w:t>等</w:t>
      </w:r>
      <w:r>
        <w:rPr>
          <w:rFonts w:hint="eastAsia" w:ascii="仿宋_GB2312" w:hAnsi="仿宋_GB2312" w:eastAsia="仿宋_GB2312" w:cs="仿宋_GB2312"/>
          <w:sz w:val="32"/>
          <w:szCs w:val="32"/>
        </w:rPr>
        <w:t>黑龙江省东部城市群资源型城市的协同互补，提供优质农产品供应。加强与长三角、珠三角等发达地区的产业合作，</w:t>
      </w:r>
      <w:r>
        <w:rPr>
          <w:rFonts w:hint="eastAsia" w:ascii="仿宋_GB2312" w:hAnsi="仿宋_GB2312" w:cs="仿宋_GB2312"/>
          <w:sz w:val="32"/>
          <w:szCs w:val="32"/>
          <w:lang w:val="en-US" w:eastAsia="zh-CN"/>
        </w:rPr>
        <w:t>争取国家重大生产力布局，</w:t>
      </w:r>
      <w:r>
        <w:rPr>
          <w:rFonts w:hint="eastAsia" w:ascii="仿宋_GB2312" w:hAnsi="仿宋_GB2312" w:eastAsia="仿宋_GB2312" w:cs="仿宋_GB2312"/>
          <w:sz w:val="32"/>
          <w:szCs w:val="32"/>
        </w:rPr>
        <w:t>抢抓佳木斯与中山市对口合作的机会，推动对口合作示范园区在富锦市落地。加强与山东禹城、浙江新昌、江西抚州等友好城市的沟通，力争承接上述地区产业转移和对外扩张的项目。</w:t>
      </w:r>
    </w:p>
    <w:p w14:paraId="18322AAB">
      <w:pPr>
        <w:pStyle w:val="3"/>
        <w:bidi w:val="0"/>
        <w:rPr>
          <w:rFonts w:hint="default"/>
          <w:lang w:val="en-US" w:eastAsia="zh-CN"/>
        </w:rPr>
      </w:pPr>
      <w:bookmarkStart w:id="71" w:name="_Toc30988"/>
      <w:r>
        <w:rPr>
          <w:rFonts w:hint="eastAsia"/>
          <w:lang w:val="en-US" w:eastAsia="zh-CN"/>
        </w:rPr>
        <w:t>第二节  优化区域一体化协同发展格局</w:t>
      </w:r>
      <w:bookmarkEnd w:id="71"/>
    </w:p>
    <w:p w14:paraId="20BB9495">
      <w:pPr>
        <w:bidi w:val="0"/>
        <w:rPr>
          <w:rFonts w:hint="eastAsia" w:eastAsia="仿宋_GB2312"/>
          <w:lang w:val="en-US" w:eastAsia="zh-CN"/>
        </w:rPr>
      </w:pPr>
      <w:r>
        <w:rPr>
          <w:rFonts w:hint="eastAsia"/>
          <w:b/>
          <w:bCs/>
          <w:lang w:val="en-US" w:eastAsia="zh-CN"/>
        </w:rPr>
        <w:t>健全国土空间开发保护制度。</w:t>
      </w:r>
      <w:r>
        <w:rPr>
          <w:rFonts w:hint="default"/>
          <w:lang w:val="en-US" w:eastAsia="zh-CN"/>
        </w:rPr>
        <w:t>认真执行国土空间规划，落实优化耕地和永久基本农田、生态保护红线、城镇开发边界等控制线，分区分类实施差别化、精细化用途管制</w:t>
      </w:r>
      <w:r>
        <w:rPr>
          <w:rFonts w:hint="eastAsia"/>
          <w:lang w:val="en-US" w:eastAsia="zh-CN"/>
        </w:rPr>
        <w:t>。</w:t>
      </w:r>
      <w:r>
        <w:rPr>
          <w:rFonts w:hint="eastAsia" w:ascii="仿宋_GB2312" w:hAnsi="仿宋_GB2312" w:eastAsia="仿宋_GB2312" w:cs="仿宋_GB2312"/>
        </w:rPr>
        <w:t>优化农业空间，保障优质耕地数量和质量</w:t>
      </w:r>
      <w:r>
        <w:rPr>
          <w:rFonts w:hint="eastAsia" w:ascii="仿宋_GB2312" w:hAnsi="仿宋_GB2312" w:cs="仿宋_GB2312"/>
          <w:lang w:eastAsia="zh-CN"/>
        </w:rPr>
        <w:t>，</w:t>
      </w:r>
      <w:r>
        <w:rPr>
          <w:rFonts w:hint="eastAsia" w:ascii="仿宋_GB2312" w:hAnsi="仿宋_GB2312" w:eastAsia="仿宋_GB2312" w:cs="仿宋_GB2312"/>
        </w:rPr>
        <w:t>保护生态空间，构建生态</w:t>
      </w:r>
      <w:r>
        <w:rPr>
          <w:rFonts w:hint="eastAsia" w:ascii="仿宋_GB2312" w:hAnsi="仿宋_GB2312" w:cs="仿宋_GB2312"/>
          <w:lang w:val="en-US" w:eastAsia="zh-CN"/>
        </w:rPr>
        <w:t>安全</w:t>
      </w:r>
      <w:r>
        <w:rPr>
          <w:rFonts w:hint="eastAsia" w:ascii="仿宋_GB2312" w:hAnsi="仿宋_GB2312" w:eastAsia="仿宋_GB2312" w:cs="仿宋_GB2312"/>
        </w:rPr>
        <w:t>屏障</w:t>
      </w:r>
      <w:r>
        <w:rPr>
          <w:rFonts w:hint="eastAsia" w:ascii="仿宋_GB2312" w:hAnsi="仿宋_GB2312" w:cs="仿宋_GB2312"/>
          <w:lang w:eastAsia="zh-CN"/>
        </w:rPr>
        <w:t>，</w:t>
      </w:r>
      <w:r>
        <w:rPr>
          <w:rFonts w:hint="eastAsia" w:ascii="仿宋_GB2312" w:hAnsi="仿宋_GB2312" w:eastAsia="仿宋_GB2312" w:cs="仿宋_GB2312"/>
        </w:rPr>
        <w:t>严守城镇空间，保障中心城区和重点镇的合理发展需求</w:t>
      </w:r>
      <w:r>
        <w:rPr>
          <w:rFonts w:hint="eastAsia" w:ascii="仿宋_GB2312" w:hAnsi="仿宋_GB2312" w:cs="仿宋_GB2312"/>
          <w:lang w:eastAsia="zh-CN"/>
        </w:rPr>
        <w:t>，</w:t>
      </w:r>
      <w:r>
        <w:rPr>
          <w:rFonts w:hint="eastAsia" w:ascii="仿宋_GB2312" w:hAnsi="仿宋_GB2312" w:eastAsia="仿宋_GB2312" w:cs="仿宋_GB2312"/>
        </w:rPr>
        <w:t>形成科学合理的生产、生活、生态空间布局</w:t>
      </w:r>
      <w:r>
        <w:rPr>
          <w:rFonts w:hint="eastAsia" w:ascii="仿宋_GB2312" w:hAnsi="仿宋_GB2312" w:cs="仿宋_GB2312"/>
          <w:lang w:eastAsia="zh-CN"/>
        </w:rPr>
        <w:t>。</w:t>
      </w:r>
    </w:p>
    <w:p w14:paraId="256A57D2">
      <w:pPr>
        <w:bidi w:val="0"/>
        <w:rPr>
          <w:rFonts w:hint="eastAsia"/>
          <w:lang w:val="en-US" w:eastAsia="zh-CN"/>
        </w:rPr>
      </w:pPr>
      <w:r>
        <w:rPr>
          <w:rFonts w:hint="default"/>
          <w:b/>
          <w:bCs/>
          <w:lang w:val="en-US" w:eastAsia="zh-CN"/>
        </w:rPr>
        <w:t>积极融入发展流域经济</w:t>
      </w:r>
      <w:r>
        <w:rPr>
          <w:rFonts w:hint="eastAsia"/>
          <w:b/>
          <w:bCs/>
          <w:lang w:val="en-US" w:eastAsia="zh-CN"/>
        </w:rPr>
        <w:t>。</w:t>
      </w:r>
      <w:r>
        <w:rPr>
          <w:rFonts w:hint="eastAsia"/>
          <w:lang w:val="en-US" w:eastAsia="zh-CN"/>
        </w:rPr>
        <w:t>立足沿江资源与区位优势，积极融入松花江流域经济带建设，</w:t>
      </w:r>
      <w:r>
        <w:t>协同推进沿江生态保护与环境治理</w:t>
      </w:r>
      <w:r>
        <w:rPr>
          <w:rFonts w:hint="eastAsia"/>
          <w:lang w:eastAsia="zh-CN"/>
        </w:rPr>
        <w:t>，</w:t>
      </w:r>
      <w:r>
        <w:t>强化</w:t>
      </w:r>
      <w:r>
        <w:rPr>
          <w:rFonts w:hint="eastAsia"/>
          <w:lang w:val="en-US" w:eastAsia="zh-CN"/>
        </w:rPr>
        <w:t>沿江</w:t>
      </w:r>
      <w:r>
        <w:t>基础设施互联互通</w:t>
      </w:r>
      <w:r>
        <w:rPr>
          <w:rFonts w:hint="eastAsia"/>
          <w:lang w:eastAsia="zh-CN"/>
        </w:rPr>
        <w:t>，</w:t>
      </w:r>
      <w:r>
        <w:rPr>
          <w:rFonts w:hint="eastAsia"/>
          <w:lang w:val="en-US" w:eastAsia="zh-CN"/>
        </w:rPr>
        <w:t>推动</w:t>
      </w:r>
      <w:r>
        <w:t>人才、技术、资本、数据等资源在区域内高效流动与</w:t>
      </w:r>
      <w:r>
        <w:rPr>
          <w:rFonts w:hint="eastAsia"/>
          <w:lang w:val="en-US" w:eastAsia="zh-CN"/>
        </w:rPr>
        <w:t>共享，</w:t>
      </w:r>
      <w:r>
        <w:t>深化</w:t>
      </w:r>
      <w:r>
        <w:rPr>
          <w:rFonts w:hint="eastAsia"/>
          <w:lang w:val="en-US" w:eastAsia="zh-CN"/>
        </w:rPr>
        <w:t>沿江</w:t>
      </w:r>
      <w:r>
        <w:t>产业错位协同与链式合作</w:t>
      </w:r>
      <w:r>
        <w:rPr>
          <w:rFonts w:hint="eastAsia"/>
          <w:lang w:eastAsia="zh-CN"/>
        </w:rPr>
        <w:t>，</w:t>
      </w:r>
      <w:r>
        <w:rPr>
          <w:rFonts w:hint="default"/>
          <w:lang w:val="en-US" w:eastAsia="zh-CN"/>
        </w:rPr>
        <w:t>打造生态优美、交通顺畅、要素共享、产业协作的松花江经济带</w:t>
      </w:r>
      <w:r>
        <w:rPr>
          <w:rFonts w:hint="eastAsia"/>
          <w:lang w:val="en-US" w:eastAsia="zh-CN"/>
        </w:rPr>
        <w:t>。</w:t>
      </w:r>
    </w:p>
    <w:p w14:paraId="75D5C076">
      <w:pPr>
        <w:bidi w:val="0"/>
        <w:rPr>
          <w:rFonts w:hint="eastAsia" w:ascii="仿宋_GB2312" w:hAnsi="仿宋_GB2312" w:eastAsia="仿宋_GB2312" w:cs="仿宋_GB2312"/>
          <w:lang w:val="en-US" w:eastAsia="zh-CN"/>
        </w:rPr>
      </w:pPr>
      <w:r>
        <w:rPr>
          <w:rFonts w:hint="eastAsia" w:ascii="仿宋_GB2312" w:hAnsi="仿宋_GB2312" w:eastAsia="仿宋_GB2312" w:cs="仿宋_GB2312"/>
          <w:b/>
          <w:bCs/>
          <w:lang w:val="en-US" w:eastAsia="zh-CN"/>
        </w:rPr>
        <w:t>构建“大三江一体化”协作体。</w:t>
      </w:r>
      <w:r>
        <w:rPr>
          <w:rFonts w:hint="eastAsia" w:ascii="仿宋_GB2312" w:hAnsi="仿宋_GB2312" w:eastAsia="仿宋_GB2312" w:cs="仿宋_GB2312"/>
          <w:lang w:val="en-US" w:eastAsia="zh-CN"/>
        </w:rPr>
        <w:t>推动市域范围内垦地资源要素的协同联动与一体化发展，强化“中心城区—建三江副中心”发展格局。完善垦地产业联动机制，深化与佳木斯农高区的科技农业合作，创新“垦地融合”富锦模式，</w:t>
      </w:r>
      <w:r>
        <w:rPr>
          <w:rFonts w:hint="eastAsia" w:ascii="仿宋_GB2312" w:hAnsi="仿宋_GB2312" w:eastAsia="仿宋_GB2312" w:cs="仿宋_GB2312"/>
        </w:rPr>
        <w:t>共建国家现代农业示范区、三江平原</w:t>
      </w:r>
      <w:r>
        <w:rPr>
          <w:rFonts w:hint="eastAsia" w:ascii="仿宋_GB2312" w:hAnsi="仿宋_GB2312" w:cs="仿宋_GB2312"/>
          <w:lang w:eastAsia="zh-CN"/>
        </w:rPr>
        <w:t>生态绿色一体化发展示范区</w:t>
      </w:r>
      <w:r>
        <w:rPr>
          <w:rFonts w:hint="eastAsia" w:ascii="仿宋_GB2312" w:hAnsi="仿宋_GB2312" w:eastAsia="仿宋_GB2312" w:cs="仿宋_GB2312"/>
        </w:rPr>
        <w:t>，与建三江管理局合作建设寒地水稻信息化园区，共享农机调度平台</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推动农机装备、绿色食品产业链跨区域分工。推进垦地公共服务一体化发展，</w:t>
      </w:r>
      <w:r>
        <w:rPr>
          <w:rFonts w:hint="eastAsia" w:ascii="仿宋_GB2312" w:hAnsi="仿宋_GB2312" w:cs="仿宋_GB2312"/>
          <w:lang w:val="en-US" w:eastAsia="zh-CN"/>
        </w:rPr>
        <w:t>促进资源要素跨区域优化配置，形成区域协同发展的民生共同体</w:t>
      </w:r>
      <w:r>
        <w:rPr>
          <w:rFonts w:hint="eastAsia" w:ascii="仿宋_GB2312" w:hAnsi="仿宋_GB2312" w:eastAsia="仿宋_GB2312" w:cs="仿宋_GB2312"/>
        </w:rPr>
        <w:t>。</w:t>
      </w:r>
      <w:r>
        <w:rPr>
          <w:rFonts w:hint="eastAsia" w:ascii="仿宋_GB2312" w:hAnsi="仿宋_GB2312" w:eastAsia="仿宋_GB2312" w:cs="仿宋_GB2312"/>
          <w:lang w:val="en-US" w:eastAsia="zh-CN"/>
        </w:rPr>
        <w:t>完善区域生态共治机制，建立跨垦地的“河-湖长”协作机制，</w:t>
      </w:r>
      <w:r>
        <w:rPr>
          <w:rFonts w:hint="eastAsia" w:ascii="仿宋_GB2312" w:hAnsi="仿宋_GB2312" w:eastAsia="仿宋_GB2312" w:cs="仿宋_GB2312"/>
        </w:rPr>
        <w:t>推进富锦沿江湿地、挠力河国家级自然保护区跨区域自然保护地的协同建设、保护与修复</w:t>
      </w:r>
      <w:r>
        <w:rPr>
          <w:rFonts w:hint="eastAsia" w:ascii="仿宋_GB2312" w:hAnsi="仿宋_GB2312" w:eastAsia="仿宋_GB2312" w:cs="仿宋_GB2312"/>
          <w:lang w:eastAsia="zh-CN"/>
        </w:rPr>
        <w:t>，</w:t>
      </w:r>
      <w:r>
        <w:rPr>
          <w:rFonts w:hint="eastAsia" w:ascii="仿宋_GB2312" w:hAnsi="仿宋_GB2312" w:eastAsia="仿宋_GB2312" w:cs="仿宋_GB2312"/>
        </w:rPr>
        <w:t>协同推进森林资源保育与森林火灾联防联控，强化</w:t>
      </w:r>
      <w:r>
        <w:rPr>
          <w:rFonts w:hint="eastAsia" w:ascii="仿宋_GB2312" w:hAnsi="仿宋_GB2312" w:eastAsia="仿宋_GB2312" w:cs="仿宋_GB2312"/>
          <w:lang w:val="en-US" w:eastAsia="zh-CN"/>
        </w:rPr>
        <w:t>三江平原</w:t>
      </w:r>
      <w:r>
        <w:rPr>
          <w:rFonts w:hint="eastAsia" w:ascii="仿宋_GB2312" w:hAnsi="仿宋_GB2312" w:eastAsia="仿宋_GB2312" w:cs="仿宋_GB2312"/>
        </w:rPr>
        <w:t>生态屏障功能。</w:t>
      </w:r>
    </w:p>
    <w:p w14:paraId="75CF7B1E">
      <w:pPr>
        <w:pStyle w:val="3"/>
        <w:bidi w:val="0"/>
        <w:rPr>
          <w:rFonts w:hint="default"/>
          <w:lang w:val="en-US" w:eastAsia="zh-CN"/>
        </w:rPr>
      </w:pPr>
      <w:bookmarkStart w:id="72" w:name="_Toc17882"/>
      <w:r>
        <w:rPr>
          <w:rFonts w:hint="eastAsia"/>
          <w:lang w:val="en-US" w:eastAsia="zh-CN"/>
        </w:rPr>
        <w:t>第三节  以高品质城市更新引领新型城镇化发展</w:t>
      </w:r>
      <w:bookmarkEnd w:id="72"/>
    </w:p>
    <w:p w14:paraId="3D92D510">
      <w:pPr>
        <w:bidi w:val="0"/>
        <w:rPr>
          <w:rFonts w:hint="default"/>
          <w:b/>
          <w:bCs/>
          <w:lang w:val="en-US" w:eastAsia="zh-CN"/>
        </w:rPr>
      </w:pPr>
      <w:r>
        <w:rPr>
          <w:rFonts w:hint="eastAsia"/>
          <w:b/>
          <w:bCs/>
          <w:lang w:val="en-US" w:eastAsia="zh-CN"/>
        </w:rPr>
        <w:t>一、大力实施城市更新行动</w:t>
      </w:r>
    </w:p>
    <w:p w14:paraId="0251548E">
      <w:pPr>
        <w:bidi w:val="0"/>
        <w:rPr>
          <w:rFonts w:hint="eastAsia"/>
          <w:lang w:val="en-US" w:eastAsia="zh-CN"/>
        </w:rPr>
      </w:pPr>
      <w:r>
        <w:rPr>
          <w:rFonts w:hint="eastAsia"/>
          <w:lang w:val="en-US" w:eastAsia="zh-CN"/>
        </w:rPr>
        <w:t>认真践行人民城市理念，坚持城市内涵式发展，大力实施城市更新行动，推动城市结构优化、动能转换、品质提升、绿色转型、文脉赓续、治理增效，牢牢守住城市安全底线，走出一条具有富锦特色的城市现代化新路子。</w:t>
      </w:r>
    </w:p>
    <w:p w14:paraId="5FCE44C3">
      <w:pPr>
        <w:ind w:firstLine="643" w:firstLineChars="200"/>
        <w:rPr>
          <w:rFonts w:hint="eastAsia" w:ascii="仿宋_GB2312" w:hAnsi="仿宋_GB2312" w:eastAsia="仿宋_GB2312" w:cs="仿宋_GB2312"/>
          <w:sz w:val="32"/>
          <w:szCs w:val="40"/>
        </w:rPr>
      </w:pPr>
      <w:r>
        <w:rPr>
          <w:rFonts w:hint="eastAsia" w:ascii="仿宋_GB2312" w:hAnsi="仿宋_GB2312" w:eastAsia="仿宋_GB2312" w:cs="仿宋_GB2312"/>
          <w:b/>
          <w:bCs/>
          <w:sz w:val="32"/>
          <w:szCs w:val="40"/>
        </w:rPr>
        <w:t>实施城市更新行动，提升城市整体面貌。</w:t>
      </w:r>
      <w:r>
        <w:rPr>
          <w:rFonts w:hint="eastAsia" w:ascii="仿宋_GB2312" w:hAnsi="仿宋_GB2312" w:eastAsia="仿宋_GB2312" w:cs="仿宋_GB2312"/>
          <w:b w:val="0"/>
          <w:bCs w:val="0"/>
          <w:sz w:val="32"/>
          <w:szCs w:val="40"/>
          <w:lang w:val="en-US" w:eastAsia="zh-CN"/>
        </w:rPr>
        <w:t>坚持以城市体检为基础，</w:t>
      </w:r>
      <w:r>
        <w:rPr>
          <w:rFonts w:hint="eastAsia" w:ascii="仿宋_GB2312" w:hAnsi="仿宋_GB2312" w:eastAsia="仿宋_GB2312" w:cs="仿宋_GB2312"/>
          <w:sz w:val="32"/>
          <w:szCs w:val="40"/>
        </w:rPr>
        <w:t>实施城市更新行动，建设高品质生活空间。以创建“幸福富锦”为引领，以巩固提升花园城市创建成果为抓手，加强城市设计和风貌管控，积极推动滨江片区、老城区、城东片区、城西片区改造。持续推动老旧社区微改精提，实施</w:t>
      </w:r>
      <w:r>
        <w:rPr>
          <w:rFonts w:hint="eastAsia" w:ascii="仿宋_GB2312" w:hAnsi="仿宋_GB2312" w:eastAsia="仿宋_GB2312" w:cs="仿宋_GB2312"/>
          <w:sz w:val="32"/>
          <w:szCs w:val="40"/>
          <w:lang w:val="en-US" w:eastAsia="zh-CN"/>
        </w:rPr>
        <w:t>60个</w:t>
      </w:r>
      <w:r>
        <w:rPr>
          <w:rFonts w:hint="eastAsia" w:ascii="仿宋_GB2312" w:hAnsi="仿宋_GB2312" w:eastAsia="仿宋_GB2312" w:cs="仿宋_GB2312"/>
          <w:sz w:val="32"/>
          <w:szCs w:val="40"/>
        </w:rPr>
        <w:t>老旧小区改造项目和</w:t>
      </w:r>
      <w:r>
        <w:rPr>
          <w:rFonts w:hint="eastAsia" w:ascii="仿宋_GB2312" w:hAnsi="仿宋_GB2312" w:eastAsia="仿宋_GB2312" w:cs="仿宋_GB2312"/>
          <w:sz w:val="32"/>
          <w:szCs w:val="40"/>
          <w:lang w:val="en-US" w:eastAsia="zh-CN"/>
        </w:rPr>
        <w:t>500套</w:t>
      </w:r>
      <w:r>
        <w:rPr>
          <w:rFonts w:hint="eastAsia" w:ascii="仿宋_GB2312" w:hAnsi="仿宋_GB2312" w:eastAsia="仿宋_GB2312" w:cs="仿宋_GB2312"/>
          <w:sz w:val="32"/>
          <w:szCs w:val="40"/>
        </w:rPr>
        <w:t>新建</w:t>
      </w:r>
      <w:r>
        <w:rPr>
          <w:rFonts w:hint="eastAsia" w:ascii="仿宋_GB2312" w:hAnsi="仿宋_GB2312" w:eastAsia="仿宋_GB2312" w:cs="仿宋_GB2312"/>
          <w:sz w:val="32"/>
          <w:szCs w:val="40"/>
          <w:lang w:val="en-US" w:eastAsia="zh-CN"/>
        </w:rPr>
        <w:t>保障性租赁住房</w:t>
      </w:r>
      <w:r>
        <w:rPr>
          <w:rFonts w:hint="eastAsia" w:ascii="仿宋_GB2312" w:hAnsi="仿宋_GB2312" w:eastAsia="仿宋_GB2312" w:cs="仿宋_GB2312"/>
          <w:sz w:val="32"/>
          <w:szCs w:val="40"/>
        </w:rPr>
        <w:t>项</w:t>
      </w:r>
      <w:r>
        <w:rPr>
          <w:rFonts w:hint="eastAsia" w:ascii="仿宋_GB2312" w:hAnsi="仿宋_GB2312" w:eastAsia="仿宋_GB2312" w:cs="仿宋_GB2312"/>
          <w:sz w:val="32"/>
          <w:szCs w:val="40"/>
          <w:lang w:val="en-US" w:eastAsia="zh-CN"/>
        </w:rPr>
        <w:t>目。建立健全既有房屋建筑使用安全管理责任体系，完善既有房屋建筑安全鉴定和C、D级危险房屋建筑解危整治保障措施，推动老旧平房区更新改造，推进低效片区征收整治，释放空间改善居住安全与环境质量。</w:t>
      </w:r>
      <w:r>
        <w:rPr>
          <w:rFonts w:hint="eastAsia" w:ascii="仿宋_GB2312" w:hAnsi="仿宋_GB2312" w:eastAsia="仿宋_GB2312" w:cs="仿宋_GB2312"/>
          <w:sz w:val="32"/>
          <w:szCs w:val="40"/>
        </w:rPr>
        <w:t>探索“公园+”创新实践，打造“社区+公园”幸福场景；推动老旧商区文绿赋能，打造“商区+公园”活力场景，打造四个活力主题商街，形成三大</w:t>
      </w:r>
      <w:r>
        <w:rPr>
          <w:rFonts w:hint="eastAsia" w:ascii="仿宋_GB2312" w:hAnsi="仿宋_GB2312" w:eastAsia="仿宋_GB2312" w:cs="仿宋_GB2312"/>
          <w:sz w:val="32"/>
          <w:szCs w:val="40"/>
          <w:lang w:val="en-US" w:eastAsia="zh-CN"/>
        </w:rPr>
        <w:t>现代化</w:t>
      </w:r>
      <w:r>
        <w:rPr>
          <w:rFonts w:hint="eastAsia" w:ascii="仿宋_GB2312" w:hAnsi="仿宋_GB2312" w:eastAsia="仿宋_GB2312" w:cs="仿宋_GB2312"/>
          <w:sz w:val="32"/>
          <w:szCs w:val="40"/>
        </w:rPr>
        <w:t>商圈；强化要素支撑保障，补足各类公共设施短板弱项。加强社区嵌入式服务设施建设，打造15分钟便民生活圈，让群众在“家门口”享受到优质普惠便捷的公共服务。坚持老城区“出功”、新城区“出彩”，运用整治改善、修补修复、保存保护、微治理及空间再生等多种方式进行综合改造更新，突出抓好以精品街巷打造</w:t>
      </w:r>
      <w:r>
        <w:rPr>
          <w:rFonts w:hint="eastAsia" w:ascii="仿宋_GB2312" w:hAnsi="仿宋_GB2312" w:eastAsia="仿宋_GB2312" w:cs="仿宋_GB2312"/>
          <w:sz w:val="32"/>
          <w:szCs w:val="40"/>
          <w:lang w:eastAsia="zh-CN"/>
        </w:rPr>
        <w:t>、</w:t>
      </w:r>
      <w:r>
        <w:rPr>
          <w:rFonts w:hint="eastAsia" w:ascii="仿宋_GB2312" w:hAnsi="仿宋_GB2312" w:eastAsia="仿宋_GB2312" w:cs="仿宋_GB2312"/>
          <w:sz w:val="32"/>
          <w:szCs w:val="40"/>
        </w:rPr>
        <w:t xml:space="preserve">公园公交公厕升级为主的公共服务建设，以河湖绿堤、内河治理、街道绿化为主的公共绿色空间建设，以社区服务中心、养老中心等为主的社会综合服务设施建设。谋划建设一批高品质便民商业服务设施，延续城市居民原有生活记忆。进一步提升城市品位，保留富锦本土文化、建筑特色和城市风貌，营造体现城市精神的高质量城市人文环境。 </w:t>
      </w:r>
    </w:p>
    <w:p w14:paraId="336BBCEB">
      <w:pPr>
        <w:bidi w:val="0"/>
        <w:ind w:left="0" w:leftChars="0" w:firstLine="643" w:firstLineChars="200"/>
        <w:rPr>
          <w:rFonts w:hint="default"/>
          <w:b/>
          <w:bCs/>
          <w:lang w:val="en-US" w:eastAsia="zh-CN"/>
        </w:rPr>
      </w:pPr>
      <w:r>
        <w:rPr>
          <w:rFonts w:hint="eastAsia"/>
          <w:b/>
          <w:bCs/>
          <w:lang w:val="en-US" w:eastAsia="zh-CN"/>
        </w:rPr>
        <w:t>二、打造滨江魅力花园城市</w:t>
      </w:r>
    </w:p>
    <w:p w14:paraId="0CE218FD">
      <w:pPr>
        <w:bidi w:val="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加强停车位、充电桩等便民基础设施建设，加快城中村、危旧房和老旧街区改造，建设改造地下管网，完善</w:t>
      </w:r>
      <w:r>
        <w:rPr>
          <w:rFonts w:hint="eastAsia" w:ascii="仿宋_GB2312" w:hAnsi="仿宋_GB2312" w:cs="仿宋_GB2312"/>
          <w:lang w:val="en-US" w:eastAsia="zh-CN"/>
        </w:rPr>
        <w:t>“平急两用”</w:t>
      </w:r>
      <w:r>
        <w:rPr>
          <w:rFonts w:hint="eastAsia" w:ascii="仿宋_GB2312" w:hAnsi="仿宋_GB2312" w:eastAsia="仿宋_GB2312" w:cs="仿宋_GB2312"/>
          <w:lang w:val="en-US" w:eastAsia="zh-CN"/>
        </w:rPr>
        <w:t>公共基础设施，盘活利用好城市闲置建筑资源，建设创新、宜居、美丽、韧性、文明、智慧的现代化人民城市，全力打造“滨江魅力花园城市”。</w:t>
      </w:r>
    </w:p>
    <w:p w14:paraId="619654BB">
      <w:pPr>
        <w:adjustRightInd w:val="0"/>
        <w:spacing w:line="360" w:lineRule="auto"/>
        <w:ind w:firstLine="643" w:firstLineChars="200"/>
        <w:rPr>
          <w:rFonts w:hint="eastAsia" w:ascii="仿宋_GB2312" w:hAnsi="仿宋_GB2312" w:eastAsia="仿宋_GB2312" w:cs="仿宋_GB2312"/>
          <w:szCs w:val="21"/>
        </w:rPr>
      </w:pPr>
      <w:r>
        <w:rPr>
          <w:rFonts w:hint="eastAsia" w:ascii="仿宋_GB2312" w:hAnsi="仿宋_GB2312" w:eastAsia="仿宋_GB2312" w:cs="仿宋_GB2312"/>
          <w:b/>
          <w:bCs/>
          <w:sz w:val="32"/>
          <w:szCs w:val="40"/>
        </w:rPr>
        <w:t>聚焦补短板强弱项，完善基础设施建设。</w:t>
      </w:r>
      <w:r>
        <w:rPr>
          <w:rFonts w:hint="eastAsia" w:ascii="仿宋_GB2312" w:hAnsi="仿宋_GB2312" w:eastAsia="仿宋_GB2312" w:cs="仿宋_GB2312"/>
          <w:sz w:val="32"/>
          <w:szCs w:val="40"/>
        </w:rPr>
        <w:t>推进市政及安全设施提升、公共服务更新建设等工作。完善城市排水管网系统</w:t>
      </w:r>
      <w:r>
        <w:rPr>
          <w:rFonts w:hint="eastAsia" w:ascii="仿宋_GB2312" w:hAnsi="仿宋_GB2312" w:eastAsia="仿宋_GB2312" w:cs="仿宋_GB2312"/>
          <w:sz w:val="32"/>
          <w:szCs w:val="40"/>
          <w:lang w:val="en-US" w:eastAsia="zh-CN"/>
        </w:rPr>
        <w:t>工程</w:t>
      </w:r>
      <w:r>
        <w:rPr>
          <w:rFonts w:hint="eastAsia" w:ascii="仿宋_GB2312" w:hAnsi="仿宋_GB2312" w:eastAsia="仿宋_GB2312" w:cs="仿宋_GB2312"/>
          <w:sz w:val="32"/>
          <w:szCs w:val="40"/>
        </w:rPr>
        <w:t>，加快实施滨江地区雨污水管网及配套设施建设</w:t>
      </w:r>
      <w:r>
        <w:rPr>
          <w:rFonts w:hint="eastAsia" w:ascii="仿宋_GB2312" w:hAnsi="仿宋_GB2312" w:eastAsia="仿宋_GB2312" w:cs="仿宋_GB2312"/>
          <w:sz w:val="32"/>
          <w:szCs w:val="40"/>
          <w:lang w:eastAsia="zh-CN"/>
        </w:rPr>
        <w:t>，</w:t>
      </w:r>
      <w:r>
        <w:rPr>
          <w:rFonts w:hint="eastAsia" w:ascii="仿宋_GB2312" w:hAnsi="仿宋_GB2312" w:eastAsia="仿宋_GB2312" w:cs="仿宋_GB2312"/>
          <w:sz w:val="32"/>
          <w:szCs w:val="40"/>
          <w:lang w:val="en-US" w:eastAsia="zh-CN"/>
        </w:rPr>
        <w:t>同时，逐步启动</w:t>
      </w:r>
      <w:r>
        <w:rPr>
          <w:rFonts w:hint="eastAsia" w:ascii="仿宋_GB2312" w:hAnsi="仿宋_GB2312" w:eastAsia="仿宋_GB2312" w:cs="仿宋_GB2312"/>
          <w:sz w:val="32"/>
          <w:szCs w:val="40"/>
        </w:rPr>
        <w:t>中心城区管网综合</w:t>
      </w:r>
      <w:r>
        <w:rPr>
          <w:rFonts w:hint="eastAsia" w:ascii="仿宋_GB2312" w:hAnsi="仿宋_GB2312" w:eastAsia="仿宋_GB2312" w:cs="仿宋_GB2312"/>
          <w:sz w:val="32"/>
          <w:szCs w:val="40"/>
          <w:lang w:val="en-US" w:eastAsia="zh-CN"/>
        </w:rPr>
        <w:t>改造</w:t>
      </w:r>
      <w:r>
        <w:rPr>
          <w:rFonts w:hint="eastAsia" w:ascii="仿宋_GB2312" w:hAnsi="仿宋_GB2312" w:eastAsia="仿宋_GB2312" w:cs="仿宋_GB2312"/>
          <w:sz w:val="32"/>
          <w:szCs w:val="40"/>
        </w:rPr>
        <w:t>工程。推进海绵城市</w:t>
      </w:r>
      <w:r>
        <w:rPr>
          <w:rFonts w:hint="eastAsia" w:ascii="仿宋_GB2312" w:hAnsi="仿宋_GB2312" w:eastAsia="仿宋_GB2312" w:cs="仿宋_GB2312"/>
          <w:sz w:val="32"/>
          <w:szCs w:val="40"/>
          <w:lang w:val="en-US" w:eastAsia="zh-CN"/>
        </w:rPr>
        <w:t>工程项目</w:t>
      </w:r>
      <w:r>
        <w:rPr>
          <w:rFonts w:hint="eastAsia" w:ascii="仿宋_GB2312" w:hAnsi="仿宋_GB2312" w:eastAsia="仿宋_GB2312" w:cs="仿宋_GB2312"/>
          <w:sz w:val="32"/>
          <w:szCs w:val="40"/>
        </w:rPr>
        <w:t>建设，减少城市</w:t>
      </w:r>
      <w:r>
        <w:rPr>
          <w:rFonts w:hint="eastAsia" w:ascii="仿宋_GB2312" w:hAnsi="仿宋_GB2312" w:eastAsia="仿宋_GB2312" w:cs="仿宋_GB2312"/>
          <w:sz w:val="32"/>
          <w:szCs w:val="40"/>
          <w:lang w:val="en-US" w:eastAsia="zh-CN"/>
        </w:rPr>
        <w:t>洪涝灾害</w:t>
      </w:r>
      <w:r>
        <w:rPr>
          <w:rFonts w:hint="eastAsia" w:ascii="仿宋_GB2312" w:hAnsi="仿宋_GB2312" w:eastAsia="仿宋_GB2312" w:cs="仿宋_GB2312"/>
          <w:sz w:val="32"/>
          <w:szCs w:val="40"/>
        </w:rPr>
        <w:t>发生。实施老旧小区基础设施更新改造项目</w:t>
      </w:r>
      <w:r>
        <w:rPr>
          <w:rFonts w:hint="eastAsia" w:ascii="仿宋_GB2312" w:hAnsi="仿宋_GB2312" w:eastAsia="仿宋_GB2312" w:cs="仿宋_GB2312"/>
          <w:szCs w:val="21"/>
        </w:rPr>
        <w:t>，</w:t>
      </w:r>
      <w:r>
        <w:rPr>
          <w:rFonts w:hint="eastAsia" w:ascii="仿宋_GB2312" w:hAnsi="仿宋_GB2312" w:eastAsia="仿宋_GB2312" w:cs="仿宋_GB2312"/>
          <w:sz w:val="32"/>
          <w:szCs w:val="40"/>
        </w:rPr>
        <w:t>填补老城区和</w:t>
      </w:r>
      <w:r>
        <w:rPr>
          <w:rFonts w:hint="eastAsia" w:ascii="仿宋_GB2312" w:hAnsi="仿宋_GB2312" w:eastAsia="仿宋_GB2312" w:cs="仿宋_GB2312"/>
          <w:sz w:val="32"/>
          <w:szCs w:val="40"/>
          <w:lang w:val="en-US" w:eastAsia="zh-CN"/>
        </w:rPr>
        <w:t>经开区</w:t>
      </w:r>
      <w:r>
        <w:rPr>
          <w:rFonts w:hint="eastAsia" w:ascii="仿宋_GB2312" w:hAnsi="仿宋_GB2312" w:eastAsia="仿宋_GB2312" w:cs="仿宋_GB2312"/>
          <w:sz w:val="32"/>
          <w:szCs w:val="40"/>
        </w:rPr>
        <w:t>消防盲区，完善消防、应急避难、排涝等工程建设，稳步提升城市防灾减灾的底线管控能力。推进职业技术学校综合楼改建工程，与象屿集团、大锦农集团共建实训基地，将企业车间搬入校园，实现“教学即生产”。继续推进第二幼儿园、第十二小学旧址改建项目，实施中小学、幼儿园等配套设施建设，补充基础教育短板。积极谋划实施城市微更新改造工程，将第七小学西侧地块改造为综合活动空间，焕发街区活力</w:t>
      </w:r>
      <w:r>
        <w:rPr>
          <w:rFonts w:hint="eastAsia" w:ascii="仿宋_GB2312" w:hAnsi="仿宋_GB2312" w:cs="仿宋_GB2312"/>
          <w:sz w:val="32"/>
          <w:szCs w:val="40"/>
          <w:lang w:eastAsia="zh-CN"/>
        </w:rPr>
        <w:t>，</w:t>
      </w:r>
      <w:r>
        <w:rPr>
          <w:rFonts w:hint="eastAsia" w:ascii="仿宋_GB2312" w:hAnsi="仿宋_GB2312" w:eastAsia="仿宋_GB2312" w:cs="仿宋_GB2312"/>
          <w:sz w:val="32"/>
          <w:szCs w:val="40"/>
        </w:rPr>
        <w:t>打造高品质宜居城市生活圈。</w:t>
      </w:r>
    </w:p>
    <w:p w14:paraId="0564B9BE">
      <w:pPr>
        <w:ind w:firstLine="643"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rPr>
        <w:t>深挖道路通行潜力</w:t>
      </w:r>
      <w:r>
        <w:rPr>
          <w:rFonts w:hint="eastAsia" w:ascii="仿宋_GB2312" w:hAnsi="仿宋_GB2312" w:cs="仿宋_GB2312"/>
          <w:b/>
          <w:bCs/>
          <w:sz w:val="32"/>
          <w:szCs w:val="32"/>
          <w:lang w:eastAsia="zh-CN"/>
        </w:rPr>
        <w:t>，</w:t>
      </w:r>
      <w:r>
        <w:rPr>
          <w:rFonts w:hint="eastAsia" w:ascii="仿宋_GB2312" w:hAnsi="仿宋_GB2312" w:eastAsia="仿宋_GB2312" w:cs="仿宋_GB2312"/>
          <w:b/>
          <w:bCs/>
          <w:color w:val="1C3B6C"/>
          <w:sz w:val="32"/>
          <w:szCs w:val="32"/>
        </w:rPr>
        <w:t xml:space="preserve"> </w:t>
      </w:r>
      <w:r>
        <w:rPr>
          <w:rFonts w:hint="eastAsia" w:ascii="仿宋_GB2312" w:hAnsi="仿宋_GB2312" w:eastAsia="仿宋_GB2312" w:cs="仿宋_GB2312"/>
          <w:b/>
          <w:bCs/>
          <w:sz w:val="32"/>
          <w:szCs w:val="32"/>
        </w:rPr>
        <w:t>畅通城市</w:t>
      </w:r>
      <w:r>
        <w:rPr>
          <w:rFonts w:hint="eastAsia" w:ascii="仿宋_GB2312" w:hAnsi="仿宋_GB2312" w:eastAsia="仿宋_GB2312" w:cs="仿宋_GB2312"/>
          <w:b/>
          <w:bCs/>
          <w:sz w:val="32"/>
          <w:szCs w:val="32"/>
          <w:lang w:val="en-US" w:eastAsia="zh-CN"/>
        </w:rPr>
        <w:t>微循环</w:t>
      </w:r>
      <w:r>
        <w:rPr>
          <w:rFonts w:hint="eastAsia" w:ascii="仿宋_GB2312" w:hAnsi="仿宋_GB2312" w:eastAsia="仿宋_GB2312" w:cs="仿宋_GB2312"/>
          <w:b/>
          <w:bCs/>
          <w:sz w:val="32"/>
          <w:szCs w:val="32"/>
        </w:rPr>
        <w:t>。</w:t>
      </w:r>
      <w:r>
        <w:rPr>
          <w:rFonts w:hint="eastAsia" w:ascii="仿宋_GB2312" w:hAnsi="仿宋_GB2312" w:eastAsia="仿宋_GB2312" w:cs="仿宋_GB2312"/>
          <w:sz w:val="32"/>
          <w:szCs w:val="32"/>
        </w:rPr>
        <w:t>推进道路交通改造提升，大力实施一批城区道路改扩建工程项目。完善城市路网建设，</w:t>
      </w:r>
      <w:r>
        <w:rPr>
          <w:rFonts w:hint="eastAsia" w:ascii="仿宋_GB2312" w:hAnsi="仿宋_GB2312" w:eastAsia="仿宋_GB2312" w:cs="仿宋_GB2312"/>
          <w:sz w:val="32"/>
          <w:szCs w:val="32"/>
          <w:lang w:val="en-US" w:eastAsia="zh-CN"/>
        </w:rPr>
        <w:t>实施路网优化工程，改造升级城市道路12公里，</w:t>
      </w:r>
      <w:r>
        <w:rPr>
          <w:rFonts w:hint="eastAsia" w:ascii="仿宋_GB2312" w:hAnsi="仿宋_GB2312" w:eastAsia="仿宋_GB2312" w:cs="仿宋_GB2312"/>
          <w:sz w:val="32"/>
          <w:szCs w:val="32"/>
        </w:rPr>
        <w:t>推进城中村、城郊村、外围镇区主次干路建设，</w:t>
      </w:r>
      <w:r>
        <w:rPr>
          <w:rFonts w:hint="eastAsia" w:ascii="仿宋_GB2312" w:hAnsi="仿宋_GB2312" w:eastAsia="仿宋_GB2312" w:cs="仿宋_GB2312"/>
          <w:sz w:val="32"/>
          <w:szCs w:val="32"/>
          <w:highlight w:val="none"/>
        </w:rPr>
        <w:t>加强各组团间交通联系</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lang w:val="en-US" w:eastAsia="zh-CN"/>
        </w:rPr>
        <w:t>构建“三横五纵”路网体系</w:t>
      </w:r>
      <w:r>
        <w:rPr>
          <w:rFonts w:hint="eastAsia" w:ascii="仿宋_GB2312" w:hAnsi="仿宋_GB2312" w:eastAsia="仿宋_GB2312" w:cs="仿宋_GB2312"/>
          <w:sz w:val="32"/>
          <w:szCs w:val="32"/>
        </w:rPr>
        <w:t>。加强老城区、经开区支路建设，提升道路网密度，推进老城道路拓宽改造，有序贯通城区“断头路”、优化错口路，打通欣悦名都小区内桥路段与金茂府小区之间的道路。新增南北向道路，强化中心城区南北向的交通联系，实施中心城区道路更新改造工程。补齐城市公共停车设施短板，加大城区公共停车设施建设，</w:t>
      </w:r>
      <w:r>
        <w:rPr>
          <w:rFonts w:hint="eastAsia" w:ascii="仿宋_GB2312" w:hAnsi="仿宋_GB2312" w:eastAsia="仿宋_GB2312" w:cs="仿宋_GB2312"/>
          <w:sz w:val="32"/>
          <w:szCs w:val="32"/>
          <w:lang w:val="en-US" w:eastAsia="zh-CN"/>
        </w:rPr>
        <w:t>调整停车资源配置，增设规范泊位，推进立体停车设施建设，推行共享停车机制</w:t>
      </w:r>
      <w:r>
        <w:rPr>
          <w:rFonts w:hint="eastAsia" w:ascii="仿宋_GB2312" w:hAnsi="仿宋_GB2312" w:eastAsia="仿宋_GB2312" w:cs="仿宋_GB2312"/>
          <w:sz w:val="32"/>
          <w:szCs w:val="32"/>
        </w:rPr>
        <w:t>，挖潜公园广场内部</w:t>
      </w:r>
      <w:r>
        <w:rPr>
          <w:rFonts w:hint="eastAsia" w:ascii="仿宋_GB2312" w:hAnsi="仿宋_GB2312" w:eastAsia="仿宋_GB2312" w:cs="仿宋_GB2312"/>
          <w:sz w:val="32"/>
          <w:szCs w:val="32"/>
          <w:lang w:val="en-US" w:eastAsia="zh-CN"/>
        </w:rPr>
        <w:t>空间增建</w:t>
      </w:r>
      <w:r>
        <w:rPr>
          <w:rFonts w:hint="eastAsia" w:ascii="仿宋_GB2312" w:hAnsi="仿宋_GB2312" w:eastAsia="仿宋_GB2312" w:cs="仿宋_GB2312"/>
          <w:sz w:val="32"/>
          <w:szCs w:val="32"/>
        </w:rPr>
        <w:t>停车设施，</w:t>
      </w:r>
      <w:r>
        <w:rPr>
          <w:rFonts w:hint="eastAsia" w:ascii="仿宋_GB2312" w:hAnsi="仿宋_GB2312" w:eastAsia="仿宋_GB2312" w:cs="仿宋_GB2312"/>
          <w:sz w:val="32"/>
          <w:szCs w:val="32"/>
          <w:lang w:val="en-US" w:eastAsia="zh-CN"/>
        </w:rPr>
        <w:t>计划新增停车位1500个，配建</w:t>
      </w:r>
      <w:r>
        <w:rPr>
          <w:rFonts w:hint="eastAsia" w:ascii="仿宋_GB2312" w:hAnsi="仿宋_GB2312" w:eastAsia="仿宋_GB2312" w:cs="仿宋_GB2312"/>
          <w:sz w:val="32"/>
          <w:szCs w:val="32"/>
        </w:rPr>
        <w:t>充电桩等设施。</w:t>
      </w:r>
    </w:p>
    <w:p w14:paraId="3305C349">
      <w:pPr>
        <w:ind w:firstLine="643" w:firstLineChars="200"/>
        <w:rPr>
          <w:rFonts w:hint="eastAsia" w:ascii="仿宋" w:hAnsi="仿宋" w:eastAsia="仿宋"/>
          <w:sz w:val="32"/>
          <w:szCs w:val="40"/>
        </w:rPr>
      </w:pPr>
      <w:r>
        <w:rPr>
          <w:rFonts w:hint="eastAsia" w:ascii="仿宋_GB2312" w:hAnsi="仿宋_GB2312" w:eastAsia="仿宋_GB2312" w:cs="仿宋_GB2312"/>
          <w:b/>
          <w:bCs/>
          <w:sz w:val="32"/>
          <w:szCs w:val="40"/>
        </w:rPr>
        <w:t>塑造蓝绿交融空间，建设“滨江魅力花园城市”。</w:t>
      </w:r>
      <w:r>
        <w:rPr>
          <w:rFonts w:hint="eastAsia" w:ascii="仿宋_GB2312" w:hAnsi="仿宋_GB2312" w:eastAsia="仿宋_GB2312" w:cs="仿宋_GB2312"/>
          <w:sz w:val="32"/>
          <w:szCs w:val="40"/>
        </w:rPr>
        <w:t>推动蓝绿空间品质提升，加快推进沿江景观带建设项目、中心城区既有公园绿地广场改造工程以及新建公园绿地广场工程，全力打造“滨江魅力花园城市”。开展湿地保护修复工作，实施以自然恢复为主，人工修复为辅的湿地修复工程，推进富锦国家湿地公园修复保育。整合水系、绿带、重点街道等线性空间的更新提升，串通联结城市功能与各类开放空间，开展城区绿道体系建设，推动景观廊道互联互通。以“公园+”为理念，实施现状公园改造提升工程，完善全龄友好的游憩活动设施配置，植入多元功能，营造特色化主题场景。</w:t>
      </w:r>
      <w:r>
        <w:rPr>
          <w:rFonts w:hint="eastAsia" w:ascii="仿宋_GB2312" w:hAnsi="仿宋_GB2312" w:eastAsia="仿宋_GB2312" w:cs="仿宋_GB2312"/>
          <w:sz w:val="32"/>
          <w:szCs w:val="40"/>
          <w:lang w:val="en-US" w:eastAsia="zh-CN"/>
        </w:rPr>
        <w:t>按照整体规划布局</w:t>
      </w:r>
      <w:r>
        <w:rPr>
          <w:rFonts w:hint="eastAsia" w:ascii="仿宋_GB2312" w:hAnsi="仿宋_GB2312" w:eastAsia="仿宋_GB2312" w:cs="仿宋_GB2312"/>
          <w:sz w:val="32"/>
          <w:szCs w:val="40"/>
        </w:rPr>
        <w:t>，统筹落实绿色开敞空间，补充完善公园体系</w:t>
      </w:r>
      <w:r>
        <w:rPr>
          <w:rFonts w:hint="eastAsia" w:ascii="仿宋_GB2312" w:hAnsi="仿宋_GB2312" w:eastAsia="仿宋_GB2312" w:cs="仿宋_GB2312"/>
          <w:sz w:val="32"/>
          <w:szCs w:val="40"/>
          <w:lang w:eastAsia="zh-CN"/>
        </w:rPr>
        <w:t>，</w:t>
      </w:r>
      <w:r>
        <w:rPr>
          <w:rFonts w:hint="eastAsia" w:ascii="仿宋_GB2312" w:hAnsi="仿宋_GB2312" w:eastAsia="仿宋_GB2312" w:cs="仿宋_GB2312"/>
          <w:sz w:val="32"/>
          <w:szCs w:val="40"/>
        </w:rPr>
        <w:t>积极</w:t>
      </w:r>
      <w:r>
        <w:rPr>
          <w:rFonts w:hint="eastAsia" w:ascii="仿宋_GB2312" w:hAnsi="仿宋_GB2312" w:eastAsia="仿宋_GB2312" w:cs="仿宋_GB2312"/>
          <w:sz w:val="32"/>
          <w:szCs w:val="40"/>
          <w:lang w:val="en-US" w:eastAsia="zh-CN"/>
        </w:rPr>
        <w:t>实施</w:t>
      </w:r>
      <w:r>
        <w:rPr>
          <w:rFonts w:hint="eastAsia" w:ascii="仿宋_GB2312" w:hAnsi="仿宋_GB2312" w:eastAsia="仿宋_GB2312" w:cs="仿宋_GB2312"/>
          <w:sz w:val="32"/>
          <w:szCs w:val="40"/>
        </w:rPr>
        <w:t>体育公园</w:t>
      </w:r>
      <w:r>
        <w:rPr>
          <w:rFonts w:hint="eastAsia" w:ascii="仿宋_GB2312" w:hAnsi="仿宋_GB2312" w:eastAsia="仿宋_GB2312" w:cs="仿宋_GB2312"/>
          <w:sz w:val="32"/>
          <w:szCs w:val="40"/>
          <w:lang w:val="en-US" w:eastAsia="zh-CN"/>
        </w:rPr>
        <w:t>建设</w:t>
      </w:r>
      <w:r>
        <w:rPr>
          <w:rFonts w:hint="eastAsia" w:ascii="仿宋_GB2312" w:hAnsi="仿宋_GB2312" w:eastAsia="仿宋_GB2312" w:cs="仿宋_GB2312"/>
          <w:sz w:val="32"/>
          <w:szCs w:val="40"/>
        </w:rPr>
        <w:t>项目，</w:t>
      </w:r>
      <w:r>
        <w:rPr>
          <w:rFonts w:hint="eastAsia" w:ascii="仿宋_GB2312" w:hAnsi="仿宋_GB2312" w:eastAsia="仿宋_GB2312" w:cs="仿宋_GB2312"/>
          <w:sz w:val="32"/>
          <w:szCs w:val="40"/>
          <w:lang w:val="en-US" w:eastAsia="zh-CN"/>
        </w:rPr>
        <w:t>优化公园绿地布局，谋划新建通江公园、新开广场南侧等“口袋公园”15座</w:t>
      </w:r>
      <w:r>
        <w:rPr>
          <w:rFonts w:hint="eastAsia" w:ascii="仿宋_GB2312" w:hAnsi="仿宋_GB2312" w:eastAsia="仿宋_GB2312" w:cs="仿宋_GB2312"/>
          <w:sz w:val="32"/>
          <w:szCs w:val="40"/>
        </w:rPr>
        <w:t>，</w:t>
      </w:r>
      <w:r>
        <w:rPr>
          <w:rFonts w:hint="eastAsia" w:ascii="仿宋_GB2312" w:hAnsi="仿宋_GB2312" w:eastAsia="仿宋_GB2312" w:cs="仿宋_GB2312"/>
          <w:sz w:val="32"/>
          <w:szCs w:val="40"/>
          <w:lang w:val="en-US" w:eastAsia="zh-CN"/>
        </w:rPr>
        <w:t>打造“15分钟绿色生活圈”，</w:t>
      </w:r>
      <w:r>
        <w:rPr>
          <w:rFonts w:hint="eastAsia" w:ascii="仿宋_GB2312" w:hAnsi="仿宋_GB2312" w:eastAsia="仿宋_GB2312" w:cs="仿宋_GB2312"/>
          <w:sz w:val="32"/>
          <w:szCs w:val="40"/>
        </w:rPr>
        <w:t xml:space="preserve">让群众推窗见绿、开门见景、抬脚进园。让城市融入大自然，延续城市历史文脉，打造功能齐全、格局舒朗、宜居宜养的现代化品质之城。坚持以人民为中心，共建共享“花园城市”。 </w:t>
      </w:r>
      <w:r>
        <w:rPr>
          <w:rFonts w:hint="eastAsia" w:ascii="仿宋" w:hAnsi="仿宋" w:eastAsia="仿宋"/>
          <w:sz w:val="32"/>
          <w:szCs w:val="40"/>
        </w:rPr>
        <w:t xml:space="preserve"> </w:t>
      </w:r>
    </w:p>
    <w:p w14:paraId="1567B949">
      <w:pPr>
        <w:ind w:firstLine="643" w:firstLineChars="200"/>
        <w:rPr>
          <w:rFonts w:hint="default" w:ascii="仿宋" w:hAnsi="仿宋" w:eastAsia="仿宋"/>
          <w:b/>
          <w:bCs/>
          <w:sz w:val="32"/>
          <w:szCs w:val="40"/>
          <w:lang w:val="en-US" w:eastAsia="zh-CN"/>
        </w:rPr>
      </w:pPr>
      <w:r>
        <w:rPr>
          <w:rFonts w:hint="eastAsia" w:ascii="仿宋" w:hAnsi="仿宋" w:eastAsia="仿宋"/>
          <w:b/>
          <w:bCs/>
          <w:sz w:val="32"/>
          <w:szCs w:val="40"/>
        </w:rPr>
        <w:t xml:space="preserve"> </w:t>
      </w:r>
      <w:r>
        <w:rPr>
          <w:rFonts w:hint="eastAsia" w:ascii="仿宋" w:hAnsi="仿宋" w:eastAsia="仿宋"/>
          <w:b/>
          <w:bCs/>
          <w:sz w:val="32"/>
          <w:szCs w:val="40"/>
          <w:lang w:val="en-US" w:eastAsia="zh-CN"/>
        </w:rPr>
        <w:t>三、完善城市精细化管理长效机制</w:t>
      </w:r>
    </w:p>
    <w:p w14:paraId="57ACAC9C">
      <w:pPr>
        <w:bidi w:val="0"/>
        <w:rPr>
          <w:rFonts w:hint="eastAsia"/>
          <w:lang w:eastAsia="zh-CN"/>
        </w:rPr>
      </w:pPr>
      <w:r>
        <w:rPr>
          <w:rFonts w:hint="default"/>
          <w:lang w:val="en-US" w:eastAsia="zh-CN"/>
        </w:rPr>
        <w:t>完善城市精细化管理长效机制，推进智慧城管建设，提高城市管理效率。</w:t>
      </w:r>
      <w:r>
        <w:rPr>
          <w:rFonts w:hint="eastAsia"/>
        </w:rPr>
        <w:t>开展城市街巷整治行动，实施治堵、治脏、治乱、治景、治损“五治”攻坚。全面实行环卫一体化保洁，有序规范经营点和便民市场，重点整治违规占道经营、机动车和非机动车无序停放等。</w:t>
      </w:r>
      <w:r>
        <w:t>推动完善城市精细化管理的长效机制</w:t>
      </w:r>
      <w:r>
        <w:rPr>
          <w:rFonts w:hint="eastAsia"/>
        </w:rPr>
        <w:t>，进一步加强城市精细化管理，加大环卫保洁、市容市貌、违章建筑查处力度，严控户外广告、乱开乱挖、占道经营等违法行为。</w:t>
      </w:r>
      <w:r>
        <w:t>依法建立城市管理综合执法部门权力清单、责任清单，增强基层综合执法力度，让城市管理更有温度</w:t>
      </w:r>
      <w:r>
        <w:rPr>
          <w:rFonts w:hint="eastAsia"/>
          <w:lang w:eastAsia="zh-CN"/>
        </w:rPr>
        <w:t>、</w:t>
      </w:r>
      <w:r>
        <w:t>更有力度。强化城市</w:t>
      </w:r>
      <w:r>
        <w:rPr>
          <w:rFonts w:hint="eastAsia"/>
        </w:rPr>
        <w:t>管理</w:t>
      </w:r>
      <w:r>
        <w:t>执法部门与法院非诉执行的无缝对接。</w:t>
      </w:r>
      <w:r>
        <w:rPr>
          <w:rFonts w:hint="eastAsia"/>
          <w:lang w:eastAsia="zh-CN"/>
        </w:rPr>
        <w:t>推进智慧城管系统升级改造，升级建设集感知、分析、指挥、协同、评价于一体的城市运行管理指挥中枢，增补高点全景、无人机、移动布控球、车载相机、手持执法终端等智能采集设备，形成“空天地”一体化监测网络。探索整合智慧供水、智慧排水、智慧供热、智慧燃气等数据资源，打造城市运行管理可视化平台，实现“一屏观全城、一网管全域”。完善</w:t>
      </w:r>
      <w:r>
        <w:rPr>
          <w:rFonts w:hint="eastAsia"/>
          <w:lang w:val="en-US" w:eastAsia="zh-CN"/>
        </w:rPr>
        <w:t>城市治理</w:t>
      </w:r>
      <w:r>
        <w:rPr>
          <w:rFonts w:hint="eastAsia"/>
          <w:lang w:eastAsia="zh-CN"/>
        </w:rPr>
        <w:t>公众参与机制，升级公众端应用，开发积分奖励、荣誉榜单、议事厅等功能，激发市民参与热情。</w:t>
      </w:r>
      <w:r>
        <w:rPr>
          <w:rFonts w:hint="eastAsia"/>
        </w:rPr>
        <w:t>引入市场竞争机制和社会资本参与城市管理，提高管理效率。</w:t>
      </w:r>
      <w:r>
        <w:rPr>
          <w:rFonts w:hint="eastAsia"/>
          <w:lang w:eastAsia="zh-CN"/>
        </w:rPr>
        <w:t>探索与社区网格、物业服务企业、沿街商户的深度联动，形成“人民城市人民管”的良好氛围。</w:t>
      </w:r>
    </w:p>
    <w:p w14:paraId="3844272D">
      <w:pPr>
        <w:bidi w:val="0"/>
        <w:rPr>
          <w:rFonts w:hint="default"/>
          <w:b/>
          <w:bCs/>
          <w:lang w:val="en-US" w:eastAsia="zh-CN"/>
        </w:rPr>
      </w:pPr>
      <w:r>
        <w:rPr>
          <w:rFonts w:hint="eastAsia"/>
          <w:b/>
          <w:bCs/>
          <w:lang w:val="en-US" w:eastAsia="zh-CN"/>
        </w:rPr>
        <w:t>四、加快推进农业转移人口市民化</w:t>
      </w:r>
    </w:p>
    <w:p w14:paraId="24E8D05E">
      <w:pPr>
        <w:bidi w:val="0"/>
        <w:rPr>
          <w:rFonts w:hint="eastAsia" w:ascii="仿宋_GB2312" w:hAnsi="仿宋_GB2312" w:eastAsia="仿宋_GB2312" w:cs="仿宋_GB2312"/>
        </w:rPr>
      </w:pPr>
      <w:r>
        <w:rPr>
          <w:rFonts w:hint="eastAsia" w:ascii="仿宋_GB2312" w:hAnsi="仿宋_GB2312" w:eastAsia="仿宋_GB2312" w:cs="仿宋_GB2312"/>
          <w:lang w:val="en-US" w:eastAsia="zh-CN"/>
        </w:rPr>
        <w:t>统筹推进产城融合发展，以新型工业化带动新型城镇化，构建产业梯度布局、人口聚集就近就业、城市协调发展良性互动格局。</w:t>
      </w:r>
      <w:r>
        <w:rPr>
          <w:rFonts w:hint="eastAsia" w:ascii="仿宋_GB2312" w:hAnsi="仿宋_GB2312" w:eastAsia="仿宋_GB2312" w:cs="仿宋_GB2312"/>
        </w:rPr>
        <w:t>以深化户籍制度改革和优化基本公共服务提供机制为</w:t>
      </w:r>
      <w:r>
        <w:rPr>
          <w:rFonts w:hint="eastAsia" w:ascii="仿宋_GB2312" w:hAnsi="仿宋_GB2312" w:cs="仿宋_GB2312"/>
          <w:lang w:val="en-US" w:eastAsia="zh-CN"/>
        </w:rPr>
        <w:t>方向</w:t>
      </w:r>
      <w:r>
        <w:rPr>
          <w:rFonts w:hint="eastAsia" w:ascii="仿宋_GB2312" w:hAnsi="仿宋_GB2312" w:eastAsia="仿宋_GB2312" w:cs="仿宋_GB2312"/>
        </w:rPr>
        <w:t>，打破阻碍劳动力自由流动壁垒，推动农业转移人口加快向中心城区集中，完善财政、土地、社保、教育、医疗、住房等配套政策，切实维护进城落户农民土地承包权、宅基地使用权、集体收益分配权，推动具备条件有意愿的农业转移人口及其他常住人口进城落户。</w:t>
      </w:r>
      <w:r>
        <w:rPr>
          <w:rFonts w:hint="eastAsia" w:ascii="仿宋_GB2312" w:hAnsi="仿宋_GB2312" w:eastAsia="仿宋_GB2312" w:cs="仿宋_GB2312"/>
          <w:lang w:val="en-US" w:eastAsia="zh-CN"/>
        </w:rPr>
        <w:t>深入实施农民工职业技能提升计划，面向农民工群体实施劳动预备培训、就业技能培训、职业技能提升培训等免费职业技能培训</w:t>
      </w:r>
      <w:r>
        <w:rPr>
          <w:rFonts w:hint="eastAsia" w:ascii="仿宋_GB2312" w:hAnsi="仿宋_GB2312" w:eastAsia="仿宋_GB2312" w:cs="仿宋_GB2312"/>
        </w:rPr>
        <w:t>，提升农业转移人口就业能力。坚持产业为基、就业为本原则，依托</w:t>
      </w:r>
      <w:r>
        <w:rPr>
          <w:rFonts w:hint="eastAsia" w:ascii="仿宋_GB2312" w:hAnsi="仿宋_GB2312" w:eastAsia="仿宋_GB2312" w:cs="仿宋_GB2312"/>
          <w:lang w:val="en-US" w:eastAsia="zh-CN"/>
        </w:rPr>
        <w:t>富锦经开区</w:t>
      </w:r>
      <w:r>
        <w:rPr>
          <w:rFonts w:hint="eastAsia" w:ascii="仿宋_GB2312" w:hAnsi="仿宋_GB2312" w:eastAsia="仿宋_GB2312" w:cs="仿宋_GB2312"/>
        </w:rPr>
        <w:t>、各类专业园区等</w:t>
      </w:r>
      <w:r>
        <w:rPr>
          <w:rFonts w:hint="eastAsia" w:ascii="仿宋_GB2312" w:hAnsi="仿宋_GB2312" w:eastAsia="仿宋_GB2312" w:cs="仿宋_GB2312"/>
          <w:lang w:val="en-US" w:eastAsia="zh-CN"/>
        </w:rPr>
        <w:t>产业</w:t>
      </w:r>
      <w:r>
        <w:rPr>
          <w:rFonts w:hint="eastAsia" w:ascii="仿宋_GB2312" w:hAnsi="仿宋_GB2312" w:eastAsia="仿宋_GB2312" w:cs="仿宋_GB2312"/>
        </w:rPr>
        <w:t>载体，促进农村转移人员稳定就业</w:t>
      </w:r>
      <w:r>
        <w:rPr>
          <w:rFonts w:hint="eastAsia" w:ascii="仿宋_GB2312" w:hAnsi="仿宋_GB2312" w:eastAsia="仿宋_GB2312" w:cs="仿宋_GB2312"/>
          <w:lang w:eastAsia="zh-CN"/>
        </w:rPr>
        <w:t>。</w:t>
      </w:r>
      <w:r>
        <w:rPr>
          <w:rFonts w:hint="eastAsia" w:ascii="仿宋_GB2312" w:hAnsi="仿宋_GB2312" w:eastAsia="仿宋_GB2312" w:cs="仿宋_GB2312"/>
        </w:rPr>
        <w:t>以</w:t>
      </w:r>
      <w:r>
        <w:rPr>
          <w:rFonts w:hint="eastAsia" w:ascii="仿宋_GB2312" w:hAnsi="仿宋_GB2312" w:eastAsia="仿宋_GB2312" w:cs="仿宋_GB2312"/>
          <w:lang w:val="en-US" w:eastAsia="zh-CN"/>
        </w:rPr>
        <w:t>稳定</w:t>
      </w:r>
      <w:r>
        <w:rPr>
          <w:rFonts w:hint="eastAsia" w:ascii="仿宋_GB2312" w:hAnsi="仿宋_GB2312" w:eastAsia="仿宋_GB2312" w:cs="仿宋_GB2312"/>
        </w:rPr>
        <w:t>就业带动人口集聚，</w:t>
      </w:r>
      <w:r>
        <w:rPr>
          <w:rFonts w:hint="eastAsia" w:ascii="仿宋_GB2312" w:hAnsi="仿宋_GB2312" w:eastAsia="仿宋_GB2312" w:cs="仿宋_GB2312"/>
          <w:lang w:val="en-US" w:eastAsia="zh-CN"/>
        </w:rPr>
        <w:t>同步强化</w:t>
      </w:r>
      <w:r>
        <w:rPr>
          <w:rFonts w:hint="eastAsia" w:ascii="仿宋_GB2312" w:hAnsi="仿宋_GB2312" w:eastAsia="仿宋_GB2312" w:cs="仿宋_GB2312"/>
        </w:rPr>
        <w:t>住房和优质教育</w:t>
      </w:r>
      <w:r>
        <w:rPr>
          <w:rFonts w:hint="eastAsia" w:ascii="仿宋_GB2312" w:hAnsi="仿宋_GB2312" w:eastAsia="仿宋_GB2312" w:cs="仿宋_GB2312"/>
          <w:lang w:val="en-US" w:eastAsia="zh-CN"/>
        </w:rPr>
        <w:t>等公共服务保障，增强城镇吸引力</w:t>
      </w:r>
      <w:r>
        <w:rPr>
          <w:rFonts w:hint="eastAsia" w:ascii="仿宋_GB2312" w:hAnsi="仿宋_GB2312" w:eastAsia="仿宋_GB2312" w:cs="仿宋_GB2312"/>
        </w:rPr>
        <w:t>。</w:t>
      </w:r>
      <w:r>
        <w:rPr>
          <w:rFonts w:hint="eastAsia" w:ascii="仿宋_GB2312" w:hAnsi="仿宋_GB2312" w:eastAsia="仿宋_GB2312" w:cs="仿宋_GB2312"/>
          <w:lang w:val="en-US" w:eastAsia="zh-CN"/>
        </w:rPr>
        <w:t>完善创业</w:t>
      </w:r>
      <w:r>
        <w:rPr>
          <w:rFonts w:hint="eastAsia" w:ascii="仿宋_GB2312" w:hAnsi="仿宋_GB2312" w:eastAsia="仿宋_GB2312" w:cs="仿宋_GB2312"/>
        </w:rPr>
        <w:t>扶持政策，</w:t>
      </w:r>
      <w:r>
        <w:rPr>
          <w:rFonts w:hint="eastAsia" w:ascii="仿宋_GB2312" w:hAnsi="仿宋_GB2312" w:eastAsia="仿宋_GB2312" w:cs="仿宋_GB2312"/>
          <w:lang w:val="en-US" w:eastAsia="zh-CN"/>
        </w:rPr>
        <w:t>着力培育并</w:t>
      </w:r>
      <w:r>
        <w:rPr>
          <w:rFonts w:hint="eastAsia" w:ascii="仿宋_GB2312" w:hAnsi="仿宋_GB2312" w:eastAsia="仿宋_GB2312" w:cs="仿宋_GB2312"/>
        </w:rPr>
        <w:t>宣传推介一批</w:t>
      </w:r>
      <w:r>
        <w:rPr>
          <w:rFonts w:hint="eastAsia" w:ascii="仿宋_GB2312" w:hAnsi="仿宋_GB2312" w:eastAsia="仿宋_GB2312" w:cs="仿宋_GB2312"/>
          <w:lang w:val="en-US" w:eastAsia="zh-CN"/>
        </w:rPr>
        <w:t>返乡入乡</w:t>
      </w:r>
      <w:r>
        <w:rPr>
          <w:rFonts w:hint="eastAsia" w:ascii="仿宋_GB2312" w:hAnsi="仿宋_GB2312" w:eastAsia="仿宋_GB2312" w:cs="仿宋_GB2312"/>
        </w:rPr>
        <w:t>创业创新带头人</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形成以产聚人、以业安人的良性循环</w:t>
      </w:r>
      <w:r>
        <w:rPr>
          <w:rFonts w:hint="eastAsia" w:ascii="仿宋_GB2312" w:hAnsi="仿宋_GB2312" w:eastAsia="仿宋_GB2312" w:cs="仿宋_GB2312"/>
        </w:rPr>
        <w:t>。</w:t>
      </w:r>
    </w:p>
    <w:tbl>
      <w:tblPr>
        <w:tblStyle w:val="19"/>
        <w:tblW w:w="8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6"/>
      </w:tblGrid>
      <w:tr w14:paraId="4B256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tcPr>
          <w:p w14:paraId="73FA3432">
            <w:pPr>
              <w:jc w:val="center"/>
              <w:rPr>
                <w:rFonts w:hint="default" w:ascii="仿宋" w:hAnsi="仿宋" w:eastAsia="黑体" w:cs="Times New Roman"/>
                <w:bCs/>
                <w:sz w:val="28"/>
                <w:szCs w:val="28"/>
                <w:lang w:val="en-US" w:eastAsia="zh-CN"/>
              </w:rPr>
            </w:pPr>
            <w:r>
              <w:rPr>
                <w:rFonts w:hint="eastAsia" w:ascii="黑体" w:hAnsi="黑体" w:eastAsia="黑体" w:cs="黑体"/>
                <w:sz w:val="24"/>
                <w:szCs w:val="24"/>
              </w:rPr>
              <w:t>专栏</w:t>
            </w:r>
            <w:r>
              <w:rPr>
                <w:rFonts w:hint="eastAsia" w:ascii="黑体" w:hAnsi="黑体" w:eastAsia="黑体" w:cs="黑体"/>
                <w:sz w:val="24"/>
                <w:szCs w:val="24"/>
                <w:lang w:val="en-US" w:eastAsia="zh-CN"/>
              </w:rPr>
              <w:t>10</w:t>
            </w:r>
            <w:r>
              <w:rPr>
                <w:rFonts w:hint="eastAsia" w:ascii="黑体" w:hAnsi="黑体" w:eastAsia="黑体" w:cs="黑体"/>
                <w:sz w:val="24"/>
                <w:szCs w:val="24"/>
              </w:rPr>
              <w:t>-1  高品质中心城区</w:t>
            </w:r>
            <w:r>
              <w:rPr>
                <w:rFonts w:hint="eastAsia" w:ascii="黑体" w:hAnsi="黑体" w:eastAsia="黑体" w:cs="黑体"/>
                <w:sz w:val="24"/>
                <w:szCs w:val="24"/>
                <w:lang w:val="en-US" w:eastAsia="zh-CN"/>
              </w:rPr>
              <w:t>建设重点工程</w:t>
            </w:r>
          </w:p>
        </w:tc>
      </w:tr>
      <w:tr w14:paraId="2DAE7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 w:hRule="atLeast"/>
          <w:jc w:val="center"/>
        </w:trPr>
        <w:tc>
          <w:tcPr>
            <w:tcW w:w="8296" w:type="dxa"/>
          </w:tcPr>
          <w:p w14:paraId="69E01C27">
            <w:pPr>
              <w:pStyle w:val="8"/>
              <w:bidi w:val="0"/>
              <w:rPr>
                <w:rFonts w:hint="eastAsia" w:ascii="楷体_GB2312" w:hAnsi="楷体_GB2312" w:eastAsia="楷体_GB2312" w:cs="楷体_GB2312"/>
                <w:lang w:val="en-US" w:eastAsia="zh-CN"/>
              </w:rPr>
            </w:pPr>
            <w:r>
              <w:rPr>
                <w:rFonts w:hint="eastAsia" w:ascii="楷体_GB2312" w:hAnsi="楷体_GB2312" w:eastAsia="楷体_GB2312" w:cs="楷体_GB2312"/>
                <w:b/>
                <w:bCs/>
              </w:rPr>
              <w:t>1</w:t>
            </w:r>
            <w:r>
              <w:rPr>
                <w:rFonts w:hint="eastAsia" w:ascii="楷体_GB2312" w:hAnsi="楷体_GB2312" w:eastAsia="楷体_GB2312" w:cs="楷体_GB2312"/>
                <w:b/>
                <w:bCs/>
                <w:lang w:eastAsia="zh-CN"/>
              </w:rPr>
              <w:t>.</w:t>
            </w:r>
            <w:r>
              <w:rPr>
                <w:rFonts w:hint="eastAsia" w:ascii="楷体_GB2312" w:hAnsi="楷体_GB2312" w:eastAsia="楷体_GB2312" w:cs="楷体_GB2312"/>
                <w:b/>
                <w:bCs/>
              </w:rPr>
              <w:t>城市品质提升工程。</w:t>
            </w:r>
            <w:r>
              <w:rPr>
                <w:rFonts w:hint="eastAsia" w:ascii="楷体_GB2312" w:hAnsi="楷体_GB2312" w:eastAsia="楷体_GB2312" w:cs="楷体_GB2312"/>
                <w:lang w:val="en-US" w:eastAsia="zh-CN"/>
              </w:rPr>
              <w:t>以城市更新理念为引领，</w:t>
            </w:r>
            <w:r>
              <w:rPr>
                <w:rFonts w:hint="eastAsia" w:ascii="楷体_GB2312" w:hAnsi="楷体_GB2312" w:eastAsia="楷体_GB2312" w:cs="楷体_GB2312"/>
              </w:rPr>
              <w:t>推进沿江景观带建设，改造升级城市主次干路、三大商圈、排水管网、老旧小区，建成一批城市微公园、小广场</w:t>
            </w:r>
            <w:r>
              <w:rPr>
                <w:rFonts w:hint="eastAsia" w:ascii="楷体_GB2312" w:hAnsi="楷体_GB2312" w:eastAsia="楷体_GB2312" w:cs="楷体_GB2312"/>
                <w:lang w:eastAsia="zh-CN"/>
              </w:rPr>
              <w:t>，</w:t>
            </w:r>
            <w:r>
              <w:rPr>
                <w:rFonts w:hint="eastAsia" w:ascii="楷体_GB2312" w:hAnsi="楷体_GB2312" w:eastAsia="楷体_GB2312" w:cs="楷体_GB2312"/>
                <w:lang w:val="en-US" w:eastAsia="zh-CN"/>
              </w:rPr>
              <w:t>推动富锦历史文化展览馆、城市慢行系统等项目建设。</w:t>
            </w:r>
          </w:p>
          <w:p w14:paraId="6D9FBF1C">
            <w:pPr>
              <w:pStyle w:val="8"/>
              <w:bidi w:val="0"/>
              <w:rPr>
                <w:rFonts w:hint="eastAsia" w:ascii="楷体_GB2312" w:hAnsi="楷体_GB2312" w:eastAsia="楷体_GB2312" w:cs="楷体_GB2312"/>
              </w:rPr>
            </w:pPr>
            <w:r>
              <w:rPr>
                <w:rFonts w:hint="eastAsia" w:ascii="楷体_GB2312" w:hAnsi="楷体_GB2312" w:eastAsia="楷体_GB2312" w:cs="楷体_GB2312"/>
                <w:b/>
                <w:bCs/>
              </w:rPr>
              <w:t>2</w:t>
            </w:r>
            <w:r>
              <w:rPr>
                <w:rFonts w:hint="eastAsia" w:ascii="楷体_GB2312" w:hAnsi="楷体_GB2312" w:eastAsia="楷体_GB2312" w:cs="楷体_GB2312"/>
                <w:b/>
                <w:bCs/>
                <w:lang w:eastAsia="zh-CN"/>
              </w:rPr>
              <w:t>.</w:t>
            </w:r>
            <w:r>
              <w:rPr>
                <w:rFonts w:hint="eastAsia" w:ascii="楷体_GB2312" w:hAnsi="楷体_GB2312" w:eastAsia="楷体_GB2312" w:cs="楷体_GB2312"/>
                <w:b/>
                <w:bCs/>
              </w:rPr>
              <w:t>城市饮水健康工程。</w:t>
            </w:r>
            <w:r>
              <w:rPr>
                <w:rFonts w:hint="eastAsia" w:ascii="楷体_GB2312" w:hAnsi="楷体_GB2312" w:eastAsia="楷体_GB2312" w:cs="楷体_GB2312"/>
              </w:rPr>
              <w:t>加强供水智慧水务建设，二次供水质量达到全省领先水平。</w:t>
            </w:r>
          </w:p>
          <w:p w14:paraId="0CDA24E1">
            <w:pPr>
              <w:pStyle w:val="8"/>
              <w:bidi w:val="0"/>
              <w:rPr>
                <w:rFonts w:hint="eastAsia" w:ascii="楷体_GB2312" w:hAnsi="楷体_GB2312" w:eastAsia="楷体_GB2312" w:cs="楷体_GB2312"/>
              </w:rPr>
            </w:pPr>
            <w:r>
              <w:rPr>
                <w:rFonts w:hint="eastAsia" w:ascii="楷体_GB2312" w:hAnsi="楷体_GB2312" w:eastAsia="楷体_GB2312" w:cs="楷体_GB2312"/>
                <w:b/>
                <w:bCs/>
              </w:rPr>
              <w:t>3</w:t>
            </w:r>
            <w:r>
              <w:rPr>
                <w:rFonts w:hint="eastAsia" w:ascii="楷体_GB2312" w:hAnsi="楷体_GB2312" w:eastAsia="楷体_GB2312" w:cs="楷体_GB2312"/>
                <w:b/>
                <w:bCs/>
                <w:lang w:eastAsia="zh-CN"/>
              </w:rPr>
              <w:t>.</w:t>
            </w:r>
            <w:r>
              <w:rPr>
                <w:rFonts w:hint="eastAsia" w:ascii="楷体_GB2312" w:hAnsi="楷体_GB2312" w:eastAsia="楷体_GB2312" w:cs="楷体_GB2312"/>
                <w:b/>
                <w:bCs/>
              </w:rPr>
              <w:t>韧性城市</w:t>
            </w:r>
            <w:r>
              <w:rPr>
                <w:rFonts w:hint="eastAsia" w:ascii="楷体_GB2312" w:hAnsi="楷体_GB2312" w:eastAsia="楷体_GB2312" w:cs="楷体_GB2312"/>
                <w:b/>
                <w:bCs/>
                <w:lang w:val="en-US" w:eastAsia="zh-CN"/>
              </w:rPr>
              <w:t>建设</w:t>
            </w:r>
            <w:r>
              <w:rPr>
                <w:rFonts w:hint="eastAsia" w:ascii="楷体_GB2312" w:hAnsi="楷体_GB2312" w:eastAsia="楷体_GB2312" w:cs="楷体_GB2312"/>
                <w:b/>
                <w:bCs/>
              </w:rPr>
              <w:t>工程。</w:t>
            </w:r>
            <w:r>
              <w:rPr>
                <w:rFonts w:hint="eastAsia" w:ascii="楷体_GB2312" w:hAnsi="楷体_GB2312" w:eastAsia="楷体_GB2312" w:cs="楷体_GB2312"/>
              </w:rPr>
              <w:t>与智慧城市系统结合，建立富锦重要基础设施安全管理体系，提升城市安全水平，提高城市治理能力</w:t>
            </w:r>
            <w:r>
              <w:rPr>
                <w:rFonts w:hint="eastAsia" w:ascii="楷体_GB2312" w:hAnsi="楷体_GB2312" w:eastAsia="楷体_GB2312" w:cs="楷体_GB2312"/>
                <w:lang w:eastAsia="zh-CN"/>
              </w:rPr>
              <w:t>，</w:t>
            </w:r>
            <w:r>
              <w:rPr>
                <w:rFonts w:hint="eastAsia" w:ascii="楷体_GB2312" w:hAnsi="楷体_GB2312" w:eastAsia="楷体_GB2312" w:cs="楷体_GB2312"/>
                <w:lang w:val="en-US" w:eastAsia="zh-CN"/>
              </w:rPr>
              <w:t>启动海绵城市示范工程项目</w:t>
            </w:r>
            <w:r>
              <w:rPr>
                <w:rFonts w:hint="eastAsia" w:ascii="楷体_GB2312" w:hAnsi="楷体_GB2312" w:eastAsia="楷体_GB2312" w:cs="楷体_GB2312"/>
              </w:rPr>
              <w:t xml:space="preserve">。 </w:t>
            </w:r>
          </w:p>
          <w:p w14:paraId="4EAB4E78">
            <w:pPr>
              <w:pStyle w:val="8"/>
              <w:bidi w:val="0"/>
              <w:rPr>
                <w:rFonts w:hint="eastAsia" w:ascii="楷体_GB2312" w:hAnsi="楷体_GB2312" w:eastAsia="楷体_GB2312" w:cs="楷体_GB2312"/>
              </w:rPr>
            </w:pPr>
            <w:r>
              <w:rPr>
                <w:rFonts w:hint="eastAsia" w:ascii="楷体_GB2312" w:hAnsi="楷体_GB2312" w:eastAsia="楷体_GB2312" w:cs="楷体_GB2312"/>
                <w:b/>
                <w:bCs/>
              </w:rPr>
              <w:t>4</w:t>
            </w:r>
            <w:r>
              <w:rPr>
                <w:rFonts w:hint="eastAsia" w:ascii="楷体_GB2312" w:hAnsi="楷体_GB2312" w:eastAsia="楷体_GB2312" w:cs="楷体_GB2312"/>
                <w:b/>
                <w:bCs/>
                <w:lang w:eastAsia="zh-CN"/>
              </w:rPr>
              <w:t>.</w:t>
            </w:r>
            <w:r>
              <w:rPr>
                <w:rFonts w:hint="eastAsia" w:ascii="楷体_GB2312" w:hAnsi="楷体_GB2312" w:eastAsia="楷体_GB2312" w:cs="楷体_GB2312"/>
                <w:b/>
                <w:bCs/>
              </w:rPr>
              <w:t>智慧城市打造工程。</w:t>
            </w:r>
            <w:r>
              <w:rPr>
                <w:rFonts w:hint="eastAsia" w:ascii="楷体_GB2312" w:hAnsi="楷体_GB2312" w:eastAsia="楷体_GB2312" w:cs="楷体_GB2312"/>
              </w:rPr>
              <w:t>构建富锦智慧城市信息云平台，推进市政基础设施智慧化改造</w:t>
            </w:r>
            <w:r>
              <w:rPr>
                <w:rFonts w:hint="eastAsia" w:ascii="楷体_GB2312" w:hAnsi="楷体_GB2312" w:eastAsia="楷体_GB2312" w:cs="楷体_GB2312"/>
                <w:lang w:eastAsia="zh-CN"/>
              </w:rPr>
              <w:t>，</w:t>
            </w:r>
            <w:r>
              <w:rPr>
                <w:rFonts w:hint="eastAsia" w:ascii="楷体_GB2312" w:hAnsi="楷体_GB2312" w:eastAsia="楷体_GB2312" w:cs="楷体_GB2312"/>
                <w:lang w:val="en-US" w:eastAsia="zh-CN"/>
              </w:rPr>
              <w:t>谋划城市数据大脑项目、智慧供热系统、农业区块链溯源平台等项目</w:t>
            </w:r>
            <w:r>
              <w:rPr>
                <w:rFonts w:hint="eastAsia" w:ascii="楷体_GB2312" w:hAnsi="楷体_GB2312" w:eastAsia="楷体_GB2312" w:cs="楷体_GB2312"/>
              </w:rPr>
              <w:t>，完善“互联网+政务服务”行动，建设共同参与的城市治理生态圈。</w:t>
            </w:r>
          </w:p>
          <w:p w14:paraId="2AD41761">
            <w:pPr>
              <w:pStyle w:val="8"/>
              <w:bidi w:val="0"/>
              <w:rPr>
                <w:rFonts w:hint="eastAsia" w:ascii="楷体_GB2312" w:hAnsi="楷体_GB2312" w:eastAsia="楷体_GB2312" w:cs="楷体_GB2312"/>
              </w:rPr>
            </w:pPr>
            <w:r>
              <w:rPr>
                <w:rFonts w:hint="eastAsia" w:ascii="楷体_GB2312" w:hAnsi="楷体_GB2312" w:eastAsia="楷体_GB2312" w:cs="楷体_GB2312"/>
                <w:b/>
                <w:bCs/>
              </w:rPr>
              <w:t>5</w:t>
            </w:r>
            <w:r>
              <w:rPr>
                <w:rFonts w:hint="eastAsia" w:ascii="楷体_GB2312" w:hAnsi="楷体_GB2312" w:eastAsia="楷体_GB2312" w:cs="楷体_GB2312"/>
                <w:b/>
                <w:bCs/>
                <w:lang w:eastAsia="zh-CN"/>
              </w:rPr>
              <w:t>.</w:t>
            </w:r>
            <w:r>
              <w:rPr>
                <w:rFonts w:hint="eastAsia" w:ascii="楷体_GB2312" w:hAnsi="楷体_GB2312" w:eastAsia="楷体_GB2312" w:cs="楷体_GB2312"/>
                <w:b/>
                <w:bCs/>
              </w:rPr>
              <w:t>城市基础设施</w:t>
            </w:r>
            <w:r>
              <w:rPr>
                <w:rFonts w:hint="eastAsia" w:ascii="楷体_GB2312" w:hAnsi="楷体_GB2312" w:eastAsia="楷体_GB2312" w:cs="楷体_GB2312"/>
                <w:b/>
                <w:bCs/>
                <w:lang w:val="en-US" w:eastAsia="zh-CN"/>
              </w:rPr>
              <w:t>能级提升工程</w:t>
            </w:r>
            <w:r>
              <w:rPr>
                <w:rFonts w:hint="eastAsia" w:ascii="楷体_GB2312" w:hAnsi="楷体_GB2312" w:eastAsia="楷体_GB2312" w:cs="楷体_GB2312"/>
                <w:b/>
                <w:bCs/>
              </w:rPr>
              <w:t>。</w:t>
            </w:r>
            <w:r>
              <w:rPr>
                <w:rFonts w:hint="eastAsia" w:ascii="楷体_GB2312" w:hAnsi="楷体_GB2312" w:eastAsia="楷体_GB2312" w:cs="楷体_GB2312"/>
              </w:rPr>
              <w:t>改造升级基础设施，对道路、给排水、园林进行全面升级，包括老城道路拓宽改造、主城区燃气设备设施更新、燃气老旧管网、主城区老旧供热、供水管网、中心城区排水管网及配套设施建设等内容。</w:t>
            </w:r>
          </w:p>
          <w:p w14:paraId="7F03DD9A">
            <w:pPr>
              <w:pStyle w:val="8"/>
              <w:bidi w:val="0"/>
              <w:rPr>
                <w:rFonts w:hint="eastAsia" w:ascii="楷体_GB2312" w:hAnsi="楷体_GB2312" w:eastAsia="楷体_GB2312" w:cs="楷体_GB2312"/>
              </w:rPr>
            </w:pPr>
            <w:r>
              <w:rPr>
                <w:rFonts w:hint="eastAsia" w:ascii="楷体_GB2312" w:hAnsi="楷体_GB2312" w:eastAsia="楷体_GB2312" w:cs="楷体_GB2312"/>
                <w:b/>
                <w:bCs/>
              </w:rPr>
              <w:t>6</w:t>
            </w:r>
            <w:r>
              <w:rPr>
                <w:rFonts w:hint="eastAsia" w:ascii="楷体_GB2312" w:hAnsi="楷体_GB2312" w:eastAsia="楷体_GB2312" w:cs="楷体_GB2312"/>
                <w:b/>
                <w:bCs/>
                <w:lang w:eastAsia="zh-CN"/>
              </w:rPr>
              <w:t>.</w:t>
            </w:r>
            <w:r>
              <w:rPr>
                <w:rFonts w:hint="eastAsia" w:ascii="楷体_GB2312" w:hAnsi="楷体_GB2312" w:eastAsia="楷体_GB2312" w:cs="楷体_GB2312"/>
                <w:b/>
                <w:bCs/>
              </w:rPr>
              <w:t>产教融合</w:t>
            </w:r>
            <w:r>
              <w:rPr>
                <w:rFonts w:hint="eastAsia" w:ascii="楷体_GB2312" w:hAnsi="楷体_GB2312" w:eastAsia="楷体_GB2312" w:cs="楷体_GB2312"/>
                <w:b/>
                <w:bCs/>
                <w:lang w:val="en-US" w:eastAsia="zh-CN"/>
              </w:rPr>
              <w:t>深化工程</w:t>
            </w:r>
            <w:r>
              <w:rPr>
                <w:rFonts w:hint="eastAsia" w:ascii="楷体_GB2312" w:hAnsi="楷体_GB2312" w:eastAsia="楷体_GB2312" w:cs="楷体_GB2312"/>
                <w:b/>
                <w:bCs/>
              </w:rPr>
              <w:t>。</w:t>
            </w:r>
            <w:r>
              <w:rPr>
                <w:rFonts w:hint="eastAsia" w:ascii="楷体_GB2312" w:hAnsi="楷体_GB2312" w:eastAsia="楷体_GB2312" w:cs="楷体_GB2312"/>
              </w:rPr>
              <w:t>推进职业技术学校综合楼改建，</w:t>
            </w:r>
            <w:r>
              <w:rPr>
                <w:rFonts w:hint="eastAsia" w:ascii="楷体_GB2312" w:hAnsi="楷体_GB2312" w:eastAsia="楷体_GB2312" w:cs="楷体_GB2312"/>
                <w:lang w:val="en-US" w:eastAsia="zh-CN"/>
              </w:rPr>
              <w:t>打造区域性产教融合实训基地，精准对接</w:t>
            </w:r>
            <w:r>
              <w:rPr>
                <w:rFonts w:hint="eastAsia" w:ascii="楷体_GB2312" w:hAnsi="楷体_GB2312" w:eastAsia="楷体_GB2312" w:cs="楷体_GB2312"/>
              </w:rPr>
              <w:t>生物技术、数字农业、低空经济</w:t>
            </w:r>
            <w:r>
              <w:rPr>
                <w:rFonts w:hint="eastAsia" w:ascii="楷体_GB2312" w:hAnsi="楷体_GB2312" w:eastAsia="楷体_GB2312" w:cs="楷体_GB2312"/>
                <w:lang w:val="en-US" w:eastAsia="zh-CN"/>
              </w:rPr>
              <w:t>等县域产业新风口。通过</w:t>
            </w:r>
            <w:r>
              <w:rPr>
                <w:rFonts w:hint="eastAsia" w:ascii="楷体_GB2312" w:hAnsi="楷体_GB2312" w:eastAsia="楷体_GB2312" w:cs="楷体_GB2312"/>
              </w:rPr>
              <w:t>加强校企合作，</w:t>
            </w:r>
            <w:r>
              <w:rPr>
                <w:rFonts w:hint="eastAsia" w:ascii="楷体_GB2312" w:hAnsi="楷体_GB2312" w:eastAsia="楷体_GB2312" w:cs="楷体_GB2312"/>
                <w:lang w:val="en-US" w:eastAsia="zh-CN"/>
              </w:rPr>
              <w:t>为</w:t>
            </w:r>
            <w:r>
              <w:rPr>
                <w:rFonts w:hint="eastAsia" w:ascii="楷体_GB2312" w:hAnsi="楷体_GB2312" w:eastAsia="楷体_GB2312" w:cs="楷体_GB2312"/>
              </w:rPr>
              <w:t>学生</w:t>
            </w:r>
            <w:r>
              <w:rPr>
                <w:rFonts w:hint="eastAsia" w:ascii="楷体_GB2312" w:hAnsi="楷体_GB2312" w:eastAsia="楷体_GB2312" w:cs="楷体_GB2312"/>
                <w:lang w:val="en-US" w:eastAsia="zh-CN"/>
              </w:rPr>
              <w:t>提供</w:t>
            </w:r>
            <w:r>
              <w:rPr>
                <w:rFonts w:hint="eastAsia" w:ascii="楷体_GB2312" w:hAnsi="楷体_GB2312" w:eastAsia="楷体_GB2312" w:cs="楷体_GB2312"/>
              </w:rPr>
              <w:t>实习就业</w:t>
            </w:r>
            <w:r>
              <w:rPr>
                <w:rFonts w:hint="eastAsia" w:ascii="楷体_GB2312" w:hAnsi="楷体_GB2312" w:eastAsia="楷体_GB2312" w:cs="楷体_GB2312"/>
                <w:lang w:val="en-US" w:eastAsia="zh-CN"/>
              </w:rPr>
              <w:t>通道，</w:t>
            </w:r>
            <w:r>
              <w:rPr>
                <w:rFonts w:hint="eastAsia" w:ascii="楷体_GB2312" w:hAnsi="楷体_GB2312" w:eastAsia="楷体_GB2312" w:cs="楷体_GB2312"/>
              </w:rPr>
              <w:t>为企业</w:t>
            </w:r>
            <w:r>
              <w:rPr>
                <w:rFonts w:hint="eastAsia" w:ascii="楷体_GB2312" w:hAnsi="楷体_GB2312" w:eastAsia="楷体_GB2312" w:cs="楷体_GB2312"/>
                <w:lang w:val="en-US" w:eastAsia="zh-CN"/>
              </w:rPr>
              <w:t>定向输送急需人才，推动</w:t>
            </w:r>
            <w:r>
              <w:rPr>
                <w:rFonts w:hint="eastAsia" w:ascii="楷体_GB2312" w:hAnsi="楷体_GB2312" w:eastAsia="楷体_GB2312" w:cs="楷体_GB2312"/>
              </w:rPr>
              <w:t>“黑土粮仓”</w:t>
            </w:r>
            <w:r>
              <w:rPr>
                <w:rFonts w:hint="eastAsia" w:ascii="楷体_GB2312" w:hAnsi="楷体_GB2312" w:eastAsia="楷体_GB2312" w:cs="楷体_GB2312"/>
                <w:lang w:val="en-US" w:eastAsia="zh-CN"/>
              </w:rPr>
              <w:t>向</w:t>
            </w:r>
            <w:r>
              <w:rPr>
                <w:rFonts w:hint="eastAsia" w:ascii="楷体_GB2312" w:hAnsi="楷体_GB2312" w:eastAsia="楷体_GB2312" w:cs="楷体_GB2312"/>
              </w:rPr>
              <w:t>“黑土科技仓</w:t>
            </w:r>
            <w:r>
              <w:rPr>
                <w:rFonts w:hint="eastAsia" w:ascii="楷体_GB2312" w:hAnsi="楷体_GB2312" w:eastAsia="楷体_GB2312" w:cs="楷体_GB2312"/>
                <w:lang w:eastAsia="zh-CN"/>
              </w:rPr>
              <w:t>、</w:t>
            </w:r>
            <w:r>
              <w:rPr>
                <w:rFonts w:hint="eastAsia" w:ascii="楷体_GB2312" w:hAnsi="楷体_GB2312" w:eastAsia="楷体_GB2312" w:cs="楷体_GB2312"/>
                <w:lang w:val="en-US" w:eastAsia="zh-CN"/>
              </w:rPr>
              <w:t>人才仓</w:t>
            </w:r>
            <w:r>
              <w:rPr>
                <w:rFonts w:hint="eastAsia" w:ascii="楷体_GB2312" w:hAnsi="楷体_GB2312" w:eastAsia="楷体_GB2312" w:cs="楷体_GB2312"/>
              </w:rPr>
              <w:t>”</w:t>
            </w:r>
            <w:r>
              <w:rPr>
                <w:rFonts w:hint="eastAsia" w:ascii="楷体_GB2312" w:hAnsi="楷体_GB2312" w:eastAsia="楷体_GB2312" w:cs="楷体_GB2312"/>
                <w:lang w:val="en-US" w:eastAsia="zh-CN"/>
              </w:rPr>
              <w:t>战略升级</w:t>
            </w:r>
            <w:r>
              <w:rPr>
                <w:rFonts w:hint="eastAsia" w:ascii="楷体_GB2312" w:hAnsi="楷体_GB2312" w:eastAsia="楷体_GB2312" w:cs="楷体_GB2312"/>
              </w:rPr>
              <w:t>，</w:t>
            </w:r>
            <w:r>
              <w:rPr>
                <w:rFonts w:hint="eastAsia" w:ascii="楷体_GB2312" w:hAnsi="楷体_GB2312" w:eastAsia="楷体_GB2312" w:cs="楷体_GB2312"/>
                <w:lang w:val="en-US" w:eastAsia="zh-CN"/>
              </w:rPr>
              <w:t>全力服务县域经济高质量发展</w:t>
            </w:r>
            <w:r>
              <w:rPr>
                <w:rFonts w:hint="eastAsia" w:ascii="楷体_GB2312" w:hAnsi="楷体_GB2312" w:eastAsia="楷体_GB2312" w:cs="楷体_GB2312"/>
              </w:rPr>
              <w:t>。</w:t>
            </w:r>
          </w:p>
          <w:p w14:paraId="4711BC65">
            <w:pPr>
              <w:pStyle w:val="8"/>
              <w:bidi w:val="0"/>
              <w:rPr>
                <w:rFonts w:hint="eastAsia" w:ascii="楷体_GB2312" w:hAnsi="楷体_GB2312" w:eastAsia="楷体_GB2312" w:cs="楷体_GB2312"/>
              </w:rPr>
            </w:pPr>
            <w:r>
              <w:rPr>
                <w:rFonts w:hint="eastAsia" w:ascii="楷体_GB2312" w:hAnsi="楷体_GB2312" w:eastAsia="楷体_GB2312" w:cs="楷体_GB2312"/>
                <w:b/>
                <w:bCs/>
                <w:lang w:val="en-US" w:eastAsia="zh-CN"/>
              </w:rPr>
              <w:t>7</w:t>
            </w:r>
            <w:r>
              <w:rPr>
                <w:rFonts w:hint="eastAsia" w:ascii="楷体_GB2312" w:hAnsi="楷体_GB2312" w:eastAsia="楷体_GB2312" w:cs="楷体_GB2312"/>
                <w:b/>
                <w:bCs/>
                <w:lang w:eastAsia="zh-CN"/>
              </w:rPr>
              <w:t>.</w:t>
            </w:r>
            <w:r>
              <w:rPr>
                <w:rFonts w:hint="eastAsia" w:ascii="楷体_GB2312" w:hAnsi="楷体_GB2312" w:eastAsia="楷体_GB2312" w:cs="楷体_GB2312"/>
                <w:b/>
                <w:bCs/>
              </w:rPr>
              <w:t>全民健身</w:t>
            </w:r>
            <w:r>
              <w:rPr>
                <w:rFonts w:hint="eastAsia" w:ascii="楷体_GB2312" w:hAnsi="楷体_GB2312" w:eastAsia="楷体_GB2312" w:cs="楷体_GB2312"/>
                <w:b/>
                <w:bCs/>
                <w:lang w:val="en-US" w:eastAsia="zh-CN"/>
              </w:rPr>
              <w:t>设施补短板工程</w:t>
            </w:r>
            <w:r>
              <w:rPr>
                <w:rFonts w:hint="eastAsia" w:ascii="楷体_GB2312" w:hAnsi="楷体_GB2312" w:eastAsia="楷体_GB2312" w:cs="楷体_GB2312"/>
                <w:b/>
                <w:bCs/>
              </w:rPr>
              <w:t>。</w:t>
            </w:r>
            <w:r>
              <w:rPr>
                <w:rFonts w:hint="eastAsia" w:ascii="楷体_GB2312" w:hAnsi="楷体_GB2312" w:eastAsia="楷体_GB2312" w:cs="楷体_GB2312"/>
              </w:rPr>
              <w:t>新建富锦市体育公园，推进</w:t>
            </w:r>
            <w:r>
              <w:rPr>
                <w:rFonts w:hint="eastAsia" w:ascii="楷体_GB2312" w:hAnsi="楷体_GB2312" w:cs="楷体_GB2312"/>
                <w:lang w:val="en-US" w:eastAsia="zh-CN"/>
              </w:rPr>
              <w:t>全民健身</w:t>
            </w:r>
            <w:r>
              <w:rPr>
                <w:rFonts w:hint="eastAsia" w:ascii="楷体_GB2312" w:hAnsi="楷体_GB2312" w:eastAsia="楷体_GB2312" w:cs="楷体_GB2312"/>
              </w:rPr>
              <w:t>中心</w:t>
            </w:r>
            <w:r>
              <w:rPr>
                <w:rFonts w:hint="eastAsia" w:ascii="楷体_GB2312" w:hAnsi="楷体_GB2312" w:eastAsia="楷体_GB2312" w:cs="楷体_GB2312"/>
                <w:lang w:val="en-US" w:eastAsia="zh-CN"/>
              </w:rPr>
              <w:t>项目</w:t>
            </w:r>
            <w:r>
              <w:rPr>
                <w:rFonts w:hint="eastAsia" w:ascii="楷体_GB2312" w:hAnsi="楷体_GB2312" w:eastAsia="楷体_GB2312" w:cs="楷体_GB2312"/>
              </w:rPr>
              <w:t>建设</w:t>
            </w:r>
            <w:r>
              <w:rPr>
                <w:rFonts w:hint="eastAsia" w:ascii="楷体_GB2312" w:hAnsi="楷体_GB2312" w:eastAsia="楷体_GB2312" w:cs="楷体_GB2312"/>
                <w:lang w:eastAsia="zh-CN"/>
              </w:rPr>
              <w:t>，</w:t>
            </w:r>
            <w:r>
              <w:rPr>
                <w:rFonts w:hint="eastAsia" w:ascii="楷体_GB2312" w:hAnsi="楷体_GB2312" w:eastAsia="楷体_GB2312" w:cs="楷体_GB2312"/>
                <w:lang w:val="en-US" w:eastAsia="zh-CN"/>
              </w:rPr>
              <w:t>保障</w:t>
            </w:r>
            <w:r>
              <w:rPr>
                <w:rFonts w:hint="eastAsia" w:ascii="楷体_GB2312" w:hAnsi="楷体_GB2312" w:eastAsia="楷体_GB2312" w:cs="楷体_GB2312"/>
              </w:rPr>
              <w:t>乡镇、社区、村体育场地设施</w:t>
            </w:r>
            <w:r>
              <w:rPr>
                <w:rFonts w:hint="eastAsia" w:ascii="楷体_GB2312" w:hAnsi="楷体_GB2312" w:eastAsia="楷体_GB2312" w:cs="楷体_GB2312"/>
                <w:lang w:eastAsia="zh-CN"/>
              </w:rPr>
              <w:t>的</w:t>
            </w:r>
            <w:r>
              <w:rPr>
                <w:rFonts w:hint="eastAsia" w:ascii="楷体_GB2312" w:hAnsi="楷体_GB2312" w:eastAsia="楷体_GB2312" w:cs="楷体_GB2312"/>
              </w:rPr>
              <w:t>建设用地需求。</w:t>
            </w:r>
          </w:p>
          <w:p w14:paraId="6C1DF4B7">
            <w:pPr>
              <w:pStyle w:val="8"/>
              <w:bidi w:val="0"/>
              <w:rPr>
                <w:rFonts w:hint="default" w:ascii="楷体_GB2312" w:hAnsi="楷体_GB2312" w:eastAsia="楷体_GB2312" w:cs="楷体_GB2312"/>
                <w:lang w:val="en-US" w:eastAsia="zh-CN"/>
              </w:rPr>
            </w:pPr>
            <w:r>
              <w:rPr>
                <w:rFonts w:hint="eastAsia" w:ascii="楷体_GB2312" w:hAnsi="楷体_GB2312" w:cs="楷体_GB2312"/>
                <w:b/>
                <w:bCs/>
                <w:lang w:val="en-US" w:eastAsia="zh-CN"/>
              </w:rPr>
              <w:t>8.滨江景观带涉企征拆项目。</w:t>
            </w:r>
            <w:r>
              <w:rPr>
                <w:rFonts w:hint="eastAsia" w:ascii="楷体_GB2312" w:hAnsi="楷体_GB2312" w:cs="楷体_GB2312"/>
                <w:lang w:val="en-US" w:eastAsia="zh-CN"/>
              </w:rPr>
              <w:t>收购滨江大街及沿江景观带内企业，土地用于基础设施建设。</w:t>
            </w:r>
          </w:p>
          <w:p w14:paraId="65D921CA">
            <w:pPr>
              <w:pStyle w:val="8"/>
              <w:bidi w:val="0"/>
              <w:rPr>
                <w:rFonts w:hint="eastAsia" w:ascii="楷体_GB2312" w:hAnsi="楷体_GB2312" w:cs="楷体_GB2312"/>
                <w:b/>
                <w:bCs/>
                <w:lang w:val="en-US" w:eastAsia="zh-CN"/>
              </w:rPr>
            </w:pPr>
            <w:r>
              <w:rPr>
                <w:rFonts w:hint="eastAsia" w:ascii="楷体_GB2312" w:hAnsi="楷体_GB2312" w:cs="楷体_GB2312"/>
                <w:b/>
                <w:bCs/>
                <w:lang w:val="en-US" w:eastAsia="zh-CN"/>
              </w:rPr>
              <w:t>9.富锦市城镇老旧小区改造工程</w:t>
            </w:r>
          </w:p>
          <w:p w14:paraId="4B95089E">
            <w:pPr>
              <w:pStyle w:val="8"/>
              <w:bidi w:val="0"/>
              <w:rPr>
                <w:rFonts w:hint="eastAsia" w:ascii="楷体_GB2312" w:hAnsi="楷体_GB2312" w:cs="楷体_GB2312"/>
                <w:lang w:val="en-US" w:eastAsia="zh-CN"/>
              </w:rPr>
            </w:pPr>
            <w:r>
              <w:rPr>
                <w:rFonts w:hint="eastAsia" w:ascii="楷体_GB2312" w:hAnsi="楷体_GB2312" w:cs="楷体_GB2312"/>
                <w:lang w:val="en-US" w:eastAsia="zh-CN"/>
              </w:rPr>
              <w:t>（1）2026年富锦市城镇老旧小区基础设施更新改造项目。屋面防水21923㎡，屋面保温16863㎡，彩钢屋面20235㎡，烟囱维修208个，更换单元门（含可视对讲系统）25个，楼梯间窗更换100㎡，楼梯间（含走廊）墙面修补、粉刷20050㎡，雨搭1个，大门10座，给水室内立管1837m，给水室外管网350m，排水室外管网1090m，化粪池7组，供热室内立管4406m，供热室外管网5373m，网线整理2390m，庭院照明40盏，消防设施4项，新建凉亭2座，健身器材6组，强弱电线槽14784m，小区道路8863㎡。</w:t>
            </w:r>
          </w:p>
          <w:p w14:paraId="0E6C748C">
            <w:pPr>
              <w:pStyle w:val="8"/>
              <w:bidi w:val="0"/>
              <w:rPr>
                <w:rFonts w:hint="eastAsia" w:ascii="楷体_GB2312" w:hAnsi="楷体_GB2312" w:cs="楷体_GB2312"/>
                <w:lang w:val="en-US" w:eastAsia="zh-CN"/>
              </w:rPr>
            </w:pPr>
            <w:r>
              <w:rPr>
                <w:rFonts w:hint="eastAsia" w:ascii="楷体_GB2312" w:hAnsi="楷体_GB2312" w:cs="楷体_GB2312"/>
                <w:lang w:val="en-US" w:eastAsia="zh-CN"/>
              </w:rPr>
              <w:t>（2）2027年富锦市城镇老旧小区基础设施更新改造项目。屋面防水18525㎡，屋面保温14250㎡，彩钢屋面17101㎡，烟囱维修148个，更换单元门（含可视对讲系统）3个，楼梯间窗更换28㎡，楼梯间（含走廊）墙面修补、粉刷6600㎡，大门2座，给水室内立管1043m，给水室外管网320m，排水室外管网580m，化粪池5组，供热室内立管386m，供热室外管网1972m，网线整理120m，庭院照明33盏，消防设施4项，新建凉亭9座，健身器材11组，自行车棚90㎡，充电桩2套，强弱电线槽8928m，小区道路7798㎡。</w:t>
            </w:r>
          </w:p>
          <w:p w14:paraId="7BA42AB6">
            <w:pPr>
              <w:pStyle w:val="8"/>
              <w:bidi w:val="0"/>
              <w:rPr>
                <w:rFonts w:hint="eastAsia" w:ascii="楷体_GB2312" w:hAnsi="楷体_GB2312" w:cs="楷体_GB2312"/>
                <w:lang w:val="en-US" w:eastAsia="zh-CN"/>
              </w:rPr>
            </w:pPr>
            <w:r>
              <w:rPr>
                <w:rFonts w:hint="eastAsia" w:ascii="楷体_GB2312" w:hAnsi="楷体_GB2312" w:cs="楷体_GB2312"/>
                <w:lang w:val="en-US" w:eastAsia="zh-CN"/>
              </w:rPr>
              <w:t>（3）2026年富锦市老旧小区改造建设项目。屋面保温，屋面防水，更换彩钢屋面，维修及更换屋面檩条，安装挡雪网，维修烟囱，外墙保温，外墙粉刷（含雨搭），外墙砖拆除，更换单元门（含可视对讲系统），楼梯间窗更换，楼梯间（含走廊）墙面修补、粉刷，安装楼梯间照明设施，楼梯间扶手维修及粉刷，更换楼梯间给水管线，更换楼梯间供热管线，楼梯间线缆梳理，安装强弱电线槽，安装防雷接地系统。</w:t>
            </w:r>
          </w:p>
          <w:p w14:paraId="59FA25C7">
            <w:pPr>
              <w:pStyle w:val="8"/>
              <w:bidi w:val="0"/>
              <w:rPr>
                <w:rFonts w:hint="eastAsia" w:ascii="楷体_GB2312" w:hAnsi="楷体_GB2312" w:cs="楷体_GB2312"/>
                <w:lang w:val="en-US" w:eastAsia="zh-CN"/>
              </w:rPr>
            </w:pPr>
            <w:r>
              <w:rPr>
                <w:rFonts w:hint="eastAsia" w:ascii="楷体_GB2312" w:hAnsi="楷体_GB2312" w:cs="楷体_GB2312"/>
                <w:lang w:val="en-US" w:eastAsia="zh-CN"/>
              </w:rPr>
              <w:t>（4）2026年富锦市老旧小区燃气设施改造项目。户内设施：安装燃气表4020台，燃气报警器4020台，切断阀（DN15）4020台，自闭阀4020台，锁式铜球阀4020个，户内下引镀锌管（DN15）6030米，户内不锈钢波纹软管8040米。户外设施：安装调压箱78个，表前管道（无缝钢管）20100米，新建主管线与小区支管连接处PE阀门及PE阀门井（含路面恢复）49个。</w:t>
            </w:r>
          </w:p>
          <w:p w14:paraId="3A7765CA">
            <w:pPr>
              <w:pStyle w:val="8"/>
              <w:bidi w:val="0"/>
              <w:rPr>
                <w:rFonts w:hint="default" w:ascii="楷体_GB2312" w:hAnsi="楷体_GB2312" w:cs="楷体_GB2312"/>
                <w:b/>
                <w:bCs/>
                <w:lang w:val="en-US" w:eastAsia="zh-CN"/>
              </w:rPr>
            </w:pPr>
            <w:r>
              <w:rPr>
                <w:rFonts w:hint="eastAsia" w:ascii="楷体_GB2312" w:hAnsi="楷体_GB2312" w:cs="楷体_GB2312"/>
                <w:b/>
                <w:bCs/>
                <w:lang w:val="en-US" w:eastAsia="zh-CN"/>
              </w:rPr>
              <w:t>10.富锦市保障性住房建设工程</w:t>
            </w:r>
          </w:p>
          <w:p w14:paraId="34E2B75C">
            <w:pPr>
              <w:pStyle w:val="8"/>
              <w:bidi w:val="0"/>
              <w:rPr>
                <w:rFonts w:hint="eastAsia" w:ascii="楷体_GB2312" w:hAnsi="楷体_GB2312" w:cs="楷体_GB2312"/>
                <w:lang w:val="en-US" w:eastAsia="zh-CN"/>
              </w:rPr>
            </w:pPr>
            <w:r>
              <w:rPr>
                <w:rFonts w:hint="eastAsia" w:ascii="楷体_GB2312" w:hAnsi="楷体_GB2312" w:cs="楷体_GB2312"/>
                <w:lang w:val="en-US" w:eastAsia="zh-CN"/>
              </w:rPr>
              <w:t>（1）富锦市2026年新建保障房一期项目。总占地面积13000平方米，总建筑面积21680平方米，主要建设内容为新建2栋住宅，总建筑面积为20480平方米，新建公建总建筑面积为1200平方米，并配套建设道路硬化、绿化、围墙及大门等居住区服务设施。</w:t>
            </w:r>
          </w:p>
          <w:p w14:paraId="0648F8AC">
            <w:pPr>
              <w:pStyle w:val="8"/>
              <w:bidi w:val="0"/>
              <w:rPr>
                <w:rFonts w:hint="default" w:ascii="楷体_GB2312" w:hAnsi="楷体_GB2312" w:cs="楷体_GB2312"/>
                <w:lang w:val="en-US" w:eastAsia="zh-CN"/>
              </w:rPr>
            </w:pPr>
            <w:r>
              <w:rPr>
                <w:rFonts w:hint="eastAsia" w:ascii="楷体_GB2312" w:hAnsi="楷体_GB2312" w:cs="楷体_GB2312"/>
                <w:lang w:val="en-US" w:eastAsia="zh-CN"/>
              </w:rPr>
              <w:t>（2）富锦市2026年新建保障房二期项目。占地面积15000平方米，总建筑面积32640平方米，主要建设内容为新建4栋住宅，总建筑面积为30720平方米，新建公建总建筑面积为1920平方米，并配套建设道路硬化、绿化、围墙及大门等居住区服务设施。</w:t>
            </w:r>
          </w:p>
        </w:tc>
      </w:tr>
    </w:tbl>
    <w:p w14:paraId="473AEAE4">
      <w:pPr>
        <w:pStyle w:val="3"/>
        <w:bidi w:val="0"/>
        <w:rPr>
          <w:rFonts w:hint="default"/>
          <w:lang w:val="en-US" w:eastAsia="zh-CN"/>
        </w:rPr>
      </w:pPr>
      <w:bookmarkStart w:id="73" w:name="_Toc4774"/>
      <w:r>
        <w:rPr>
          <w:rFonts w:hint="eastAsia"/>
          <w:lang w:val="en-US" w:eastAsia="zh-CN"/>
        </w:rPr>
        <w:t>第四节  以振兴县域经济为牵引驱动城乡深度融合发展</w:t>
      </w:r>
      <w:bookmarkEnd w:id="73"/>
    </w:p>
    <w:p w14:paraId="7BFC22E5">
      <w:pPr>
        <w:bidi w:val="0"/>
        <w:rPr>
          <w:rFonts w:hint="default"/>
          <w:lang w:val="en-US" w:eastAsia="zh-CN"/>
        </w:rPr>
      </w:pPr>
      <w:r>
        <w:rPr>
          <w:rFonts w:hint="default"/>
          <w:lang w:val="en-US" w:eastAsia="zh-CN"/>
        </w:rPr>
        <w:t>坚持兴业、强县、富民一体发展，实施县域经济高质量发展行动计划，壮大县域经济规模，构建以城区为枢纽、以重点镇为节点的县域经济体系。</w:t>
      </w:r>
    </w:p>
    <w:p w14:paraId="3007BBE9">
      <w:pPr>
        <w:bidi w:val="0"/>
        <w:rPr>
          <w:rFonts w:hint="eastAsia" w:ascii="仿宋_GB2312" w:hAnsi="仿宋_GB2312" w:eastAsia="仿宋_GB2312" w:cs="仿宋_GB2312"/>
          <w:b/>
          <w:bCs/>
          <w:lang w:val="en-US" w:eastAsia="zh-CN"/>
        </w:rPr>
      </w:pPr>
      <w:r>
        <w:rPr>
          <w:rFonts w:hint="eastAsia" w:ascii="仿宋_GB2312" w:hAnsi="仿宋_GB2312" w:cs="仿宋_GB2312"/>
          <w:b/>
          <w:bCs/>
          <w:lang w:val="en-US" w:eastAsia="zh-CN"/>
        </w:rPr>
        <w:t>一、</w:t>
      </w:r>
      <w:r>
        <w:rPr>
          <w:rFonts w:hint="eastAsia" w:ascii="仿宋_GB2312" w:hAnsi="仿宋_GB2312" w:eastAsia="仿宋_GB2312" w:cs="仿宋_GB2312"/>
          <w:b/>
          <w:bCs/>
          <w:lang w:val="en-US" w:eastAsia="zh-CN"/>
        </w:rPr>
        <w:t>发展壮大县域富民产业</w:t>
      </w:r>
    </w:p>
    <w:p w14:paraId="49779C03">
      <w:pPr>
        <w:bidi w:val="0"/>
        <w:rPr>
          <w:rFonts w:hint="eastAsia" w:ascii="仿宋_GB2312" w:hAnsi="仿宋_GB2312" w:eastAsia="仿宋_GB2312" w:cs="仿宋_GB2312"/>
          <w:sz w:val="32"/>
          <w:szCs w:val="32"/>
        </w:rPr>
      </w:pPr>
      <w:r>
        <w:rPr>
          <w:rFonts w:hint="default" w:ascii="Times New Roman" w:hAnsi="Times New Roman" w:eastAsia="仿宋_GB2312" w:cs="Times New Roman"/>
          <w:color w:val="000000"/>
          <w:sz w:val="32"/>
          <w:szCs w:val="32"/>
          <w:u w:val="none"/>
          <w:lang w:val="en-US" w:eastAsia="zh-CN"/>
        </w:rPr>
        <w:t>立足资源禀赋，发展立县特色支柱产业，培育壮大龙头企业，推动县域经济扩量、提质、增效，增强辐射带动乡村发展和村民致富能力。</w:t>
      </w:r>
    </w:p>
    <w:p w14:paraId="77A26C9E">
      <w:pPr>
        <w:bidi w:val="0"/>
        <w:rPr>
          <w:rFonts w:hint="eastAsia" w:ascii="仿宋_GB2312" w:hAnsi="仿宋_GB2312" w:eastAsia="仿宋_GB2312" w:cs="仿宋_GB2312"/>
        </w:rPr>
      </w:pPr>
      <w:r>
        <w:rPr>
          <w:rFonts w:hint="eastAsia" w:ascii="仿宋_GB2312" w:hAnsi="仿宋_GB2312" w:cs="仿宋_GB2312"/>
          <w:b/>
          <w:bCs/>
          <w:lang w:val="en-US" w:eastAsia="zh-CN"/>
        </w:rPr>
        <w:t>加速城乡产业融合升级。</w:t>
      </w:r>
      <w:r>
        <w:rPr>
          <w:rFonts w:hint="eastAsia" w:ascii="仿宋_GB2312" w:hAnsi="仿宋_GB2312" w:eastAsia="仿宋_GB2312" w:cs="仿宋_GB2312"/>
        </w:rPr>
        <w:t>搭建城乡产业协同发展平台</w:t>
      </w:r>
      <w:r>
        <w:rPr>
          <w:rFonts w:hint="eastAsia" w:ascii="仿宋_GB2312" w:hAnsi="仿宋_GB2312" w:eastAsia="仿宋_GB2312" w:cs="仿宋_GB2312"/>
          <w:lang w:eastAsia="zh-CN"/>
        </w:rPr>
        <w:t>，</w:t>
      </w:r>
      <w:r>
        <w:rPr>
          <w:rFonts w:hint="eastAsia" w:ascii="仿宋_GB2312" w:hAnsi="仿宋_GB2312" w:eastAsia="仿宋_GB2312" w:cs="仿宋_GB2312"/>
        </w:rPr>
        <w:t>以省级经开区为核心载体，园区赋能产业集聚，升级经开区“七通一平”基建，配套</w:t>
      </w:r>
      <w:r>
        <w:rPr>
          <w:rFonts w:hint="eastAsia" w:ascii="仿宋_GB2312" w:hAnsi="仿宋_GB2312" w:eastAsia="仿宋_GB2312" w:cs="仿宋_GB2312"/>
          <w:lang w:val="en-US" w:eastAsia="zh-CN"/>
        </w:rPr>
        <w:t>建设</w:t>
      </w:r>
      <w:r>
        <w:rPr>
          <w:rFonts w:hint="eastAsia" w:ascii="仿宋_GB2312" w:hAnsi="仿宋_GB2312" w:eastAsia="仿宋_GB2312" w:cs="仿宋_GB2312"/>
        </w:rPr>
        <w:t>智能管廊、危化品停车场，吸引生物经济、新能源等重点项目入驻。集聚象屿等企业形成“米、豆、肉、饮”加工集群，实现本地水稻、玉米、大豆90%以上就地转化。通过农文旅融合，激活生态与品牌价值。升级万亩水稻公园，整合稻田画、热气球观光、湿地公园等资源，开发亚冬会狮头鹅礼盒等IP产品。打造“绿谷粮都”电商平台，线上销售</w:t>
      </w:r>
      <w:r>
        <w:rPr>
          <w:rFonts w:hint="eastAsia" w:ascii="仿宋_GB2312" w:hAnsi="仿宋_GB2312" w:eastAsia="仿宋_GB2312" w:cs="仿宋_GB2312"/>
          <w:lang w:val="en-US" w:eastAsia="zh-CN"/>
        </w:rPr>
        <w:t>地区</w:t>
      </w:r>
      <w:r>
        <w:rPr>
          <w:rFonts w:hint="eastAsia" w:ascii="仿宋_GB2312" w:hAnsi="仿宋_GB2312" w:eastAsia="仿宋_GB2312" w:cs="仿宋_GB2312"/>
        </w:rPr>
        <w:t>农特产</w:t>
      </w:r>
      <w:r>
        <w:rPr>
          <w:rFonts w:hint="eastAsia" w:ascii="仿宋_GB2312" w:hAnsi="仿宋_GB2312" w:eastAsia="仿宋_GB2312" w:cs="仿宋_GB2312"/>
          <w:lang w:val="en-US" w:eastAsia="zh-CN"/>
        </w:rPr>
        <w:t>品</w:t>
      </w:r>
      <w:r>
        <w:rPr>
          <w:rFonts w:hint="eastAsia" w:ascii="仿宋_GB2312" w:hAnsi="仿宋_GB2312" w:eastAsia="仿宋_GB2312" w:cs="仿宋_GB2312"/>
        </w:rPr>
        <w:t>，带动村民增收</w:t>
      </w:r>
      <w:r>
        <w:rPr>
          <w:rFonts w:hint="eastAsia" w:ascii="仿宋_GB2312" w:hAnsi="仿宋_GB2312" w:eastAsia="仿宋_GB2312" w:cs="仿宋_GB2312"/>
          <w:lang w:val="en-US" w:eastAsia="zh-CN"/>
        </w:rPr>
        <w:t>致富</w:t>
      </w:r>
      <w:r>
        <w:rPr>
          <w:rFonts w:hint="eastAsia" w:ascii="仿宋_GB2312" w:hAnsi="仿宋_GB2312" w:eastAsia="仿宋_GB2312" w:cs="仿宋_GB2312"/>
        </w:rPr>
        <w:t>。</w:t>
      </w:r>
    </w:p>
    <w:p w14:paraId="6389DA25">
      <w:pPr>
        <w:bidi w:val="0"/>
        <w:rPr>
          <w:rFonts w:hint="default"/>
          <w:b/>
          <w:bCs/>
          <w:lang w:val="en-US" w:eastAsia="zh-CN"/>
        </w:rPr>
      </w:pPr>
      <w:r>
        <w:rPr>
          <w:rFonts w:hint="eastAsia"/>
          <w:b/>
          <w:bCs/>
          <w:lang w:val="en-US" w:eastAsia="zh-CN"/>
        </w:rPr>
        <w:t>二、深化县域空间治理</w:t>
      </w:r>
    </w:p>
    <w:p w14:paraId="77156BF8">
      <w:pPr>
        <w:bidi w:val="0"/>
        <w:rPr>
          <w:rFonts w:hint="eastAsia"/>
          <w:lang w:eastAsia="zh-CN"/>
        </w:rPr>
      </w:pPr>
      <w:r>
        <w:rPr>
          <w:rFonts w:hint="eastAsia" w:ascii="仿宋_GB2312" w:hAnsi="仿宋_GB2312" w:eastAsia="仿宋_GB2312" w:cs="仿宋_GB2312"/>
          <w:b/>
          <w:bCs/>
          <w:lang w:val="en-US" w:eastAsia="zh-CN"/>
        </w:rPr>
        <w:t>协同推进国土空间治理。</w:t>
      </w:r>
      <w:r>
        <w:rPr>
          <w:rFonts w:hint="eastAsia" w:ascii="仿宋_GB2312" w:hAnsi="仿宋_GB2312" w:eastAsia="仿宋_GB2312" w:cs="仿宋_GB2312"/>
        </w:rPr>
        <w:t>推进城镇低效用地再开发、农村建设用地拆旧复垦与高标准农田建设，</w:t>
      </w:r>
      <w:r>
        <w:rPr>
          <w:rFonts w:hint="eastAsia" w:ascii="仿宋_GB2312" w:hAnsi="仿宋_GB2312" w:eastAsia="仿宋_GB2312" w:cs="仿宋_GB2312"/>
          <w:lang w:val="en-US" w:eastAsia="zh-CN"/>
        </w:rPr>
        <w:t>稳步开展全域土地综合整治，</w:t>
      </w:r>
      <w:r>
        <w:rPr>
          <w:rFonts w:hint="eastAsia" w:ascii="仿宋_GB2312" w:hAnsi="仿宋_GB2312" w:eastAsia="仿宋_GB2312" w:cs="仿宋_GB2312"/>
        </w:rPr>
        <w:t>通过“存量优化”破解保护与发展的空间矛盾，促进国土空间资源集约高效利用。</w:t>
      </w:r>
    </w:p>
    <w:p w14:paraId="26C66AB2">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40"/>
        </w:rPr>
        <w:t>优化城乡融合空间结构</w:t>
      </w:r>
      <w:r>
        <w:rPr>
          <w:rFonts w:hint="eastAsia" w:ascii="仿宋_GB2312" w:hAnsi="仿宋_GB2312" w:eastAsia="仿宋_GB2312" w:cs="仿宋_GB2312"/>
          <w:b/>
          <w:bCs/>
          <w:sz w:val="32"/>
          <w:szCs w:val="40"/>
          <w:lang w:eastAsia="zh-CN"/>
        </w:rPr>
        <w:t>。</w:t>
      </w:r>
      <w:r>
        <w:rPr>
          <w:rFonts w:hint="eastAsia" w:ascii="仿宋_GB2312" w:hAnsi="仿宋_GB2312" w:eastAsia="仿宋_GB2312" w:cs="仿宋_GB2312"/>
          <w:sz w:val="32"/>
          <w:szCs w:val="40"/>
        </w:rPr>
        <w:t>发挥国土空间总体规划战略引领作用，通过“中心城区提质—特色镇村培育—全域服务共享”三级联动，</w:t>
      </w:r>
      <w:r>
        <w:rPr>
          <w:rFonts w:hint="eastAsia" w:ascii="仿宋_GB2312" w:hAnsi="仿宋_GB2312" w:eastAsia="仿宋_GB2312" w:cs="仿宋_GB2312"/>
          <w:kern w:val="2"/>
          <w:sz w:val="32"/>
          <w:szCs w:val="40"/>
        </w:rPr>
        <w:t>以富锦中心城区和建三江副中心城区为核心，</w:t>
      </w:r>
      <w:r>
        <w:rPr>
          <w:rFonts w:hint="eastAsia" w:ascii="仿宋_GB2312" w:hAnsi="仿宋_GB2312" w:eastAsia="仿宋_GB2312" w:cs="仿宋_GB2312"/>
          <w:sz w:val="32"/>
          <w:szCs w:val="40"/>
        </w:rPr>
        <w:t>强化中心城区的核心带动作用，立足城东、城西街道覆盖主城区的特点，创新社区管理模式，推进城区教育、医疗等公共服务向</w:t>
      </w:r>
      <w:r>
        <w:rPr>
          <w:rFonts w:hint="eastAsia" w:ascii="仿宋_GB2312" w:hAnsi="仿宋_GB2312" w:eastAsia="仿宋_GB2312" w:cs="仿宋_GB2312"/>
          <w:sz w:val="32"/>
          <w:szCs w:val="32"/>
        </w:rPr>
        <w:t>锦山镇、二龙山镇等重点镇以及</w:t>
      </w:r>
      <w:r>
        <w:rPr>
          <w:rFonts w:hint="eastAsia" w:ascii="仿宋_GB2312" w:hAnsi="仿宋_GB2312" w:eastAsia="仿宋_GB2312" w:cs="仿宋_GB2312"/>
          <w:sz w:val="32"/>
          <w:szCs w:val="40"/>
        </w:rPr>
        <w:t>周边</w:t>
      </w:r>
      <w:r>
        <w:rPr>
          <w:rFonts w:hint="eastAsia" w:ascii="仿宋_GB2312" w:hAnsi="仿宋_GB2312" w:cs="仿宋_GB2312"/>
          <w:sz w:val="32"/>
          <w:szCs w:val="40"/>
          <w:lang w:eastAsia="zh-CN"/>
        </w:rPr>
        <w:t>各</w:t>
      </w:r>
      <w:r>
        <w:rPr>
          <w:rFonts w:hint="eastAsia" w:ascii="仿宋_GB2312" w:hAnsi="仿宋_GB2312" w:eastAsia="仿宋_GB2312" w:cs="仿宋_GB2312"/>
          <w:sz w:val="32"/>
          <w:szCs w:val="40"/>
        </w:rPr>
        <w:t>村延伸，打造城乡融合示范，</w:t>
      </w:r>
      <w:r>
        <w:rPr>
          <w:rFonts w:hint="eastAsia" w:ascii="仿宋_GB2312" w:hAnsi="仿宋_GB2312" w:eastAsia="仿宋_GB2312" w:cs="仿宋_GB2312"/>
          <w:sz w:val="32"/>
          <w:szCs w:val="40"/>
          <w:highlight w:val="none"/>
        </w:rPr>
        <w:t>推动红星村、东郊村与主城区一体化，</w:t>
      </w:r>
      <w:r>
        <w:rPr>
          <w:rFonts w:hint="eastAsia" w:ascii="仿宋_GB2312" w:hAnsi="仿宋_GB2312" w:eastAsia="仿宋_GB2312" w:cs="仿宋_GB2312"/>
          <w:sz w:val="32"/>
          <w:szCs w:val="40"/>
        </w:rPr>
        <w:t>拓展城镇发展空间。</w:t>
      </w:r>
      <w:r>
        <w:rPr>
          <w:rFonts w:hint="eastAsia" w:ascii="仿宋_GB2312" w:hAnsi="仿宋_GB2312" w:eastAsia="仿宋_GB2312" w:cs="仿宋_GB2312"/>
          <w:sz w:val="32"/>
          <w:szCs w:val="32"/>
        </w:rPr>
        <w:t>建设“15分钟生活圈”2.0版，</w:t>
      </w:r>
      <w:r>
        <w:rPr>
          <w:rFonts w:hint="eastAsia" w:ascii="仿宋_GB2312" w:hAnsi="仿宋_GB2312" w:eastAsia="仿宋_GB2312" w:cs="仿宋_GB2312"/>
          <w:sz w:val="32"/>
          <w:szCs w:val="32"/>
          <w:lang w:val="en-US" w:eastAsia="zh-CN"/>
        </w:rPr>
        <w:t>力争</w:t>
      </w: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30</w:t>
      </w:r>
      <w:r>
        <w:rPr>
          <w:rFonts w:hint="eastAsia" w:ascii="仿宋_GB2312" w:hAnsi="仿宋_GB2312" w:eastAsia="仿宋_GB2312" w:cs="仿宋_GB2312"/>
          <w:sz w:val="32"/>
          <w:szCs w:val="32"/>
        </w:rPr>
        <w:t>年实现城乡服务“同质同标”。</w:t>
      </w:r>
    </w:p>
    <w:p w14:paraId="46E5EA4D">
      <w:pPr>
        <w:numPr>
          <w:ilvl w:val="0"/>
          <w:numId w:val="0"/>
        </w:numPr>
        <w:ind w:firstLine="643" w:firstLineChars="200"/>
        <w:rPr>
          <w:rFonts w:hint="eastAsia" w:ascii="仿宋" w:hAnsi="仿宋" w:eastAsia="仿宋" w:cs="仿宋_GB2312"/>
          <w:b/>
          <w:bCs/>
          <w:sz w:val="32"/>
          <w:szCs w:val="32"/>
          <w:lang w:val="en-US" w:eastAsia="zh-CN"/>
        </w:rPr>
      </w:pPr>
      <w:r>
        <w:rPr>
          <w:rFonts w:hint="eastAsia" w:ascii="仿宋" w:hAnsi="仿宋" w:eastAsia="仿宋" w:cs="仿宋_GB2312"/>
          <w:b/>
          <w:bCs/>
          <w:kern w:val="2"/>
          <w:sz w:val="32"/>
          <w:szCs w:val="32"/>
          <w:lang w:val="en-US" w:eastAsia="zh-CN" w:bidi="ar-SA"/>
        </w:rPr>
        <w:t>三、</w:t>
      </w:r>
      <w:r>
        <w:rPr>
          <w:rFonts w:hint="eastAsia" w:ascii="仿宋" w:hAnsi="仿宋" w:eastAsia="仿宋" w:cs="仿宋_GB2312"/>
          <w:b/>
          <w:bCs/>
          <w:sz w:val="32"/>
          <w:szCs w:val="32"/>
          <w:lang w:val="en-US" w:eastAsia="zh-CN"/>
        </w:rPr>
        <w:t>持续推动城乡融合发展</w:t>
      </w:r>
    </w:p>
    <w:p w14:paraId="0946D414">
      <w:pPr>
        <w:bidi w:val="0"/>
        <w:rPr>
          <w:rFonts w:hint="default"/>
          <w:lang w:val="en-US" w:eastAsia="zh-CN"/>
        </w:rPr>
      </w:pPr>
      <w:r>
        <w:rPr>
          <w:rFonts w:hint="default"/>
          <w:lang w:val="en-US" w:eastAsia="zh-CN"/>
        </w:rPr>
        <w:t>完善城乡融合发展体制机制，构建新型工农城乡关系，加强基础设施规划、建设和管护，促进城镇产业发展、基础设施、公共服务一体化。</w:t>
      </w:r>
    </w:p>
    <w:p w14:paraId="27C6C0D1">
      <w:pPr>
        <w:pStyle w:val="8"/>
        <w:ind w:firstLine="643"/>
        <w:rPr>
          <w:rFonts w:hint="eastAsia" w:ascii="仿宋_GB2312" w:hAnsi="仿宋_GB2312" w:eastAsia="仿宋_GB2312" w:cs="仿宋_GB2312"/>
          <w:sz w:val="32"/>
          <w:szCs w:val="40"/>
        </w:rPr>
      </w:pPr>
      <w:r>
        <w:rPr>
          <w:rFonts w:hint="eastAsia" w:ascii="仿宋_GB2312" w:hAnsi="仿宋_GB2312" w:eastAsia="仿宋_GB2312" w:cs="仿宋_GB2312"/>
          <w:b/>
          <w:bCs/>
          <w:sz w:val="32"/>
          <w:szCs w:val="40"/>
          <w:lang w:val="en-US" w:eastAsia="zh-CN"/>
        </w:rPr>
        <w:t>促进</w:t>
      </w:r>
      <w:r>
        <w:rPr>
          <w:rFonts w:hint="eastAsia" w:ascii="仿宋_GB2312" w:hAnsi="仿宋_GB2312" w:eastAsia="仿宋_GB2312" w:cs="仿宋_GB2312"/>
          <w:b/>
          <w:bCs/>
          <w:sz w:val="32"/>
          <w:szCs w:val="40"/>
        </w:rPr>
        <w:t>城乡基础设施</w:t>
      </w:r>
      <w:r>
        <w:rPr>
          <w:rFonts w:hint="eastAsia" w:ascii="仿宋_GB2312" w:hAnsi="仿宋_GB2312" w:eastAsia="仿宋_GB2312" w:cs="仿宋_GB2312"/>
          <w:b/>
          <w:bCs/>
          <w:sz w:val="32"/>
          <w:szCs w:val="40"/>
          <w:lang w:val="en-US" w:eastAsia="zh-CN"/>
        </w:rPr>
        <w:t>互联互通</w:t>
      </w:r>
      <w:r>
        <w:rPr>
          <w:rFonts w:hint="eastAsia" w:ascii="仿宋_GB2312" w:hAnsi="仿宋_GB2312" w:eastAsia="仿宋_GB2312" w:cs="仿宋_GB2312"/>
          <w:b/>
          <w:bCs/>
          <w:sz w:val="32"/>
          <w:szCs w:val="40"/>
        </w:rPr>
        <w:t>。</w:t>
      </w:r>
      <w:r>
        <w:rPr>
          <w:rFonts w:hint="eastAsia" w:ascii="仿宋_GB2312" w:hAnsi="仿宋_GB2312" w:eastAsia="仿宋_GB2312" w:cs="仿宋_GB2312"/>
          <w:sz w:val="32"/>
          <w:szCs w:val="40"/>
        </w:rPr>
        <w:t>以</w:t>
      </w:r>
      <w:r>
        <w:rPr>
          <w:rFonts w:hint="eastAsia" w:ascii="仿宋_GB2312" w:hAnsi="仿宋_GB2312" w:eastAsia="仿宋_GB2312" w:cs="仿宋_GB2312"/>
          <w:sz w:val="32"/>
          <w:szCs w:val="40"/>
          <w:lang w:eastAsia="zh-CN"/>
        </w:rPr>
        <w:t>“</w:t>
      </w:r>
      <w:r>
        <w:rPr>
          <w:rFonts w:hint="eastAsia" w:ascii="仿宋_GB2312" w:hAnsi="仿宋_GB2312" w:eastAsia="仿宋_GB2312" w:cs="仿宋_GB2312"/>
          <w:sz w:val="32"/>
          <w:szCs w:val="40"/>
        </w:rPr>
        <w:t>补短板、强功能、提</w:t>
      </w:r>
      <w:r>
        <w:rPr>
          <w:rFonts w:hint="eastAsia" w:ascii="仿宋_GB2312" w:hAnsi="仿宋_GB2312" w:eastAsia="仿宋_GB2312" w:cs="仿宋_GB2312"/>
          <w:sz w:val="32"/>
          <w:szCs w:val="32"/>
        </w:rPr>
        <w:t>品质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为导向，重点推进交通、水利、能源、信息等基础设施建设。统筹规划城乡基础设施布局，实现水电气路网基础设施一体化。按照规模化、市场化、水源地表化、城乡一体化“四化”要求和安全饮水标准，</w:t>
      </w:r>
      <w:r>
        <w:rPr>
          <w:rFonts w:hint="eastAsia" w:ascii="仿宋_GB2312" w:hAnsi="仿宋_GB2312" w:eastAsia="仿宋_GB2312" w:cs="仿宋_GB2312"/>
          <w:sz w:val="32"/>
          <w:szCs w:val="32"/>
          <w:lang w:val="en-US" w:eastAsia="zh-CN"/>
        </w:rPr>
        <w:t>实施</w:t>
      </w:r>
      <w:r>
        <w:rPr>
          <w:rFonts w:hint="eastAsia" w:ascii="仿宋_GB2312" w:hAnsi="仿宋_GB2312" w:eastAsia="仿宋_GB2312" w:cs="仿宋_GB2312"/>
          <w:sz w:val="32"/>
          <w:szCs w:val="32"/>
        </w:rPr>
        <w:t>城区供水管网、农村供水安全保障工程，实现饮水安全和服务再提标。</w:t>
      </w:r>
      <w:r>
        <w:rPr>
          <w:rFonts w:hint="eastAsia" w:ascii="仿宋_GB2312" w:hAnsi="仿宋_GB2312" w:eastAsia="仿宋_GB2312" w:cs="仿宋_GB2312"/>
          <w:sz w:val="32"/>
          <w:szCs w:val="32"/>
          <w:lang w:val="en-US" w:eastAsia="zh-CN"/>
        </w:rPr>
        <w:t>构建普惠高效的城乡交通网</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计划</w:t>
      </w:r>
      <w:r>
        <w:rPr>
          <w:rFonts w:hint="eastAsia" w:ascii="仿宋_GB2312" w:hAnsi="仿宋_GB2312" w:eastAsia="仿宋_GB2312" w:cs="仿宋_GB2312"/>
          <w:sz w:val="32"/>
          <w:szCs w:val="32"/>
        </w:rPr>
        <w:t>新建改建农村公路300公里，实现行政村通双车道公路率达100%，</w:t>
      </w:r>
      <w:r>
        <w:rPr>
          <w:rFonts w:hint="eastAsia" w:ascii="仿宋_GB2312" w:hAnsi="仿宋_GB2312" w:eastAsia="仿宋_GB2312" w:cs="仿宋_GB2312"/>
          <w:sz w:val="32"/>
          <w:szCs w:val="32"/>
          <w:lang w:val="en-US" w:eastAsia="zh-CN"/>
        </w:rPr>
        <w:t>同步优化</w:t>
      </w:r>
      <w:r>
        <w:rPr>
          <w:rFonts w:hint="eastAsia" w:ascii="仿宋_GB2312" w:hAnsi="仿宋_GB2312" w:eastAsia="仿宋_GB2312" w:cs="仿宋_GB2312"/>
          <w:sz w:val="32"/>
          <w:szCs w:val="32"/>
        </w:rPr>
        <w:t>城乡</w:t>
      </w:r>
      <w:r>
        <w:rPr>
          <w:rFonts w:hint="eastAsia" w:ascii="仿宋_GB2312" w:hAnsi="仿宋_GB2312" w:eastAsia="仿宋_GB2312" w:cs="仿宋_GB2312"/>
          <w:sz w:val="32"/>
          <w:szCs w:val="32"/>
          <w:lang w:val="en-US" w:eastAsia="zh-CN"/>
        </w:rPr>
        <w:t>公共交通服务体系</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建设安全可靠的城乡水利设施，</w:t>
      </w:r>
      <w:r>
        <w:rPr>
          <w:rFonts w:hint="eastAsia" w:ascii="仿宋_GB2312" w:hAnsi="仿宋_GB2312" w:eastAsia="仿宋_GB2312" w:cs="仿宋_GB2312"/>
          <w:sz w:val="32"/>
          <w:szCs w:val="32"/>
        </w:rPr>
        <w:t>实施农村饮水安全巩固提升工程，确保自来水普及率达到98%以上</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打造坚强韧性的城乡能源体系</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重点推进农村电网改造升级，</w:t>
      </w:r>
      <w:r>
        <w:rPr>
          <w:rFonts w:hint="eastAsia" w:ascii="仿宋_GB2312" w:hAnsi="仿宋_GB2312" w:eastAsia="仿宋_GB2312" w:cs="仿宋_GB2312"/>
          <w:sz w:val="32"/>
          <w:szCs w:val="32"/>
          <w:lang w:val="en-US" w:eastAsia="zh-CN"/>
        </w:rPr>
        <w:t>力争实现农村</w:t>
      </w:r>
      <w:r>
        <w:rPr>
          <w:rFonts w:hint="eastAsia" w:ascii="仿宋_GB2312" w:hAnsi="仿宋_GB2312" w:eastAsia="仿宋_GB2312" w:cs="仿宋_GB2312"/>
          <w:sz w:val="32"/>
          <w:szCs w:val="32"/>
        </w:rPr>
        <w:t>户均配变容量提升至3.0千伏安</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部署泛在融合的城乡信息网络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实现5G网络行政村全覆盖，</w:t>
      </w:r>
      <w:r>
        <w:rPr>
          <w:rFonts w:hint="eastAsia" w:ascii="仿宋_GB2312" w:hAnsi="仿宋_GB2312" w:eastAsia="仿宋_GB2312" w:cs="仿宋_GB2312"/>
          <w:sz w:val="32"/>
          <w:szCs w:val="32"/>
          <w:lang w:val="en-US" w:eastAsia="zh-CN"/>
        </w:rPr>
        <w:t>统筹推进</w:t>
      </w:r>
      <w:r>
        <w:rPr>
          <w:rFonts w:hint="eastAsia" w:ascii="仿宋_GB2312" w:hAnsi="仿宋_GB2312" w:eastAsia="仿宋_GB2312" w:cs="仿宋_GB2312"/>
          <w:sz w:val="32"/>
          <w:szCs w:val="32"/>
        </w:rPr>
        <w:t>城乡通信微管廊</w:t>
      </w:r>
      <w:r>
        <w:rPr>
          <w:rFonts w:hint="eastAsia" w:ascii="仿宋_GB2312" w:hAnsi="仿宋_GB2312" w:eastAsia="仿宋_GB2312" w:cs="仿宋_GB2312"/>
          <w:sz w:val="32"/>
          <w:szCs w:val="32"/>
          <w:lang w:val="en-US" w:eastAsia="zh-CN"/>
        </w:rPr>
        <w:t>建设</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全面筑牢数字富锦的底层根基</w:t>
      </w:r>
      <w:r>
        <w:rPr>
          <w:rFonts w:hint="eastAsia" w:ascii="仿宋_GB2312" w:hAnsi="仿宋_GB2312" w:eastAsia="仿宋_GB2312" w:cs="仿宋_GB2312"/>
          <w:sz w:val="32"/>
          <w:szCs w:val="32"/>
        </w:rPr>
        <w:t>。</w:t>
      </w:r>
    </w:p>
    <w:p w14:paraId="403534D6">
      <w:pPr>
        <w:ind w:firstLine="643" w:firstLineChars="200"/>
        <w:rPr>
          <w:rFonts w:hint="eastAsia" w:ascii="仿宋_GB2312" w:hAnsi="仿宋_GB2312" w:eastAsia="仿宋_GB2312" w:cs="仿宋_GB2312"/>
          <w:kern w:val="0"/>
          <w:sz w:val="32"/>
          <w:szCs w:val="40"/>
        </w:rPr>
      </w:pPr>
      <w:r>
        <w:rPr>
          <w:rFonts w:hint="eastAsia" w:ascii="仿宋_GB2312" w:hAnsi="仿宋_GB2312" w:eastAsia="仿宋_GB2312" w:cs="仿宋_GB2312"/>
          <w:b/>
          <w:bCs/>
          <w:sz w:val="32"/>
          <w:szCs w:val="40"/>
          <w:lang w:val="en-US" w:eastAsia="zh-CN"/>
        </w:rPr>
        <w:t>推进基本</w:t>
      </w:r>
      <w:r>
        <w:rPr>
          <w:rFonts w:hint="eastAsia" w:ascii="仿宋_GB2312" w:hAnsi="仿宋_GB2312" w:eastAsia="仿宋_GB2312" w:cs="仿宋_GB2312"/>
          <w:b/>
          <w:bCs/>
          <w:sz w:val="32"/>
          <w:szCs w:val="40"/>
        </w:rPr>
        <w:t>公共服务</w:t>
      </w:r>
      <w:r>
        <w:rPr>
          <w:rFonts w:hint="eastAsia" w:ascii="仿宋_GB2312" w:hAnsi="仿宋_GB2312" w:eastAsia="仿宋_GB2312" w:cs="仿宋_GB2312"/>
          <w:b/>
          <w:bCs/>
          <w:sz w:val="32"/>
          <w:szCs w:val="40"/>
          <w:lang w:val="en-US" w:eastAsia="zh-CN"/>
        </w:rPr>
        <w:t>普惠共享</w:t>
      </w:r>
      <w:r>
        <w:rPr>
          <w:rFonts w:hint="eastAsia" w:ascii="仿宋_GB2312" w:hAnsi="仿宋_GB2312" w:eastAsia="仿宋_GB2312" w:cs="仿宋_GB2312"/>
          <w:b/>
          <w:bCs/>
          <w:sz w:val="32"/>
          <w:szCs w:val="40"/>
        </w:rPr>
        <w:t>。</w:t>
      </w:r>
      <w:r>
        <w:rPr>
          <w:rFonts w:hint="eastAsia" w:ascii="仿宋_GB2312" w:hAnsi="仿宋_GB2312" w:eastAsia="仿宋_GB2312" w:cs="仿宋_GB2312"/>
          <w:kern w:val="0"/>
          <w:sz w:val="32"/>
          <w:szCs w:val="40"/>
        </w:rPr>
        <w:t>深化社会领域公共服务补短板强弱项提质量专项行动，建立基本公共服务均等化实现度评价体系，对全市公共服务部门开展综合评价。积极推进“互联网+义务教育”，实现城乡学校结对全覆盖，优质教育资源共享。</w:t>
      </w:r>
      <w:r>
        <w:rPr>
          <w:rFonts w:hint="eastAsia" w:ascii="仿宋_GB2312" w:hAnsi="仿宋_GB2312" w:eastAsia="仿宋_GB2312" w:cs="仿宋_GB2312"/>
          <w:kern w:val="0"/>
          <w:sz w:val="32"/>
          <w:szCs w:val="40"/>
          <w:lang w:val="en-US" w:eastAsia="zh-CN"/>
        </w:rPr>
        <w:t>加强</w:t>
      </w:r>
      <w:r>
        <w:rPr>
          <w:rFonts w:hint="eastAsia" w:ascii="仿宋_GB2312" w:hAnsi="仿宋_GB2312" w:cs="仿宋_GB2312"/>
          <w:kern w:val="0"/>
          <w:sz w:val="32"/>
          <w:szCs w:val="40"/>
          <w:lang w:val="en-US" w:eastAsia="zh-CN"/>
        </w:rPr>
        <w:t>市镇</w:t>
      </w:r>
      <w:r>
        <w:rPr>
          <w:rFonts w:hint="eastAsia" w:ascii="仿宋_GB2312" w:hAnsi="仿宋_GB2312" w:eastAsia="仿宋_GB2312" w:cs="仿宋_GB2312"/>
          <w:kern w:val="0"/>
          <w:sz w:val="32"/>
          <w:szCs w:val="40"/>
          <w:lang w:val="en-US" w:eastAsia="zh-CN"/>
        </w:rPr>
        <w:t>两级图书馆总分馆建设</w:t>
      </w:r>
      <w:r>
        <w:rPr>
          <w:rFonts w:hint="eastAsia" w:ascii="仿宋_GB2312" w:hAnsi="仿宋_GB2312" w:eastAsia="仿宋_GB2312" w:cs="仿宋_GB2312"/>
          <w:kern w:val="0"/>
          <w:sz w:val="32"/>
          <w:szCs w:val="40"/>
        </w:rPr>
        <w:t>，完善</w:t>
      </w:r>
      <w:r>
        <w:rPr>
          <w:rFonts w:hint="eastAsia" w:ascii="仿宋_GB2312" w:hAnsi="仿宋_GB2312" w:cs="仿宋_GB2312"/>
          <w:kern w:val="0"/>
          <w:sz w:val="32"/>
          <w:szCs w:val="40"/>
          <w:lang w:val="en-US" w:eastAsia="zh-CN"/>
        </w:rPr>
        <w:t>市、</w:t>
      </w:r>
      <w:r>
        <w:rPr>
          <w:rFonts w:hint="eastAsia" w:ascii="仿宋_GB2312" w:hAnsi="仿宋_GB2312" w:eastAsia="仿宋_GB2312" w:cs="仿宋_GB2312"/>
          <w:kern w:val="0"/>
          <w:sz w:val="32"/>
          <w:szCs w:val="40"/>
        </w:rPr>
        <w:t>镇</w:t>
      </w:r>
      <w:r>
        <w:rPr>
          <w:rFonts w:hint="eastAsia" w:ascii="仿宋_GB2312" w:hAnsi="仿宋_GB2312" w:cs="仿宋_GB2312"/>
          <w:kern w:val="0"/>
          <w:sz w:val="32"/>
          <w:szCs w:val="40"/>
          <w:lang w:eastAsia="zh-CN"/>
        </w:rPr>
        <w:t>（</w:t>
      </w:r>
      <w:r>
        <w:rPr>
          <w:rFonts w:hint="eastAsia" w:ascii="仿宋_GB2312" w:hAnsi="仿宋_GB2312" w:eastAsia="仿宋_GB2312" w:cs="仿宋_GB2312"/>
          <w:kern w:val="0"/>
          <w:sz w:val="32"/>
          <w:szCs w:val="40"/>
        </w:rPr>
        <w:t>街道</w:t>
      </w:r>
      <w:r>
        <w:rPr>
          <w:rFonts w:hint="eastAsia" w:ascii="仿宋_GB2312" w:hAnsi="仿宋_GB2312" w:cs="仿宋_GB2312"/>
          <w:kern w:val="0"/>
          <w:sz w:val="32"/>
          <w:szCs w:val="40"/>
          <w:lang w:eastAsia="zh-CN"/>
        </w:rPr>
        <w:t>）</w:t>
      </w:r>
      <w:r>
        <w:rPr>
          <w:rFonts w:hint="eastAsia" w:ascii="仿宋_GB2312" w:hAnsi="仿宋_GB2312" w:eastAsia="仿宋_GB2312" w:cs="仿宋_GB2312"/>
          <w:kern w:val="0"/>
          <w:sz w:val="32"/>
          <w:szCs w:val="40"/>
        </w:rPr>
        <w:t>、村三级公共数字文化服务网络，充分发挥电影下乡及文化下基层优势，缩小城乡公共文化服务差距，促进城乡公共文化服务均衡发展。高水平建设紧密型医共体、医联体，促进区域医疗资源共建共享。加快医养结合、智慧养老等特色服务，建成一家高品质康养中心。健全完善城区15分钟、农村20分钟养老服务步行圈。</w:t>
      </w:r>
    </w:p>
    <w:p w14:paraId="2BE0ADDE">
      <w:pPr>
        <w:rPr>
          <w:rFonts w:hint="eastAsia" w:ascii="黑体" w:hAnsi="黑体" w:eastAsia="黑体" w:cs="黑体"/>
          <w:sz w:val="36"/>
          <w:szCs w:val="48"/>
          <w:lang w:val="en-US" w:eastAsia="zh-CN"/>
        </w:rPr>
      </w:pPr>
      <w:r>
        <w:rPr>
          <w:rFonts w:ascii="仿宋" w:hAnsi="仿宋" w:eastAsia="仿宋"/>
          <w:kern w:val="0"/>
          <w:sz w:val="32"/>
          <w:szCs w:val="40"/>
        </w:rPr>
        <w:br w:type="page"/>
      </w:r>
    </w:p>
    <w:p w14:paraId="0E742E3F">
      <w:pPr>
        <w:pStyle w:val="2"/>
        <w:bidi w:val="0"/>
        <w:ind w:left="0" w:leftChars="0" w:firstLine="0" w:firstLineChars="0"/>
        <w:jc w:val="center"/>
        <w:rPr>
          <w:rFonts w:hint="default" w:ascii="黑体" w:hAnsi="黑体" w:eastAsia="黑体" w:cs="黑体"/>
          <w:sz w:val="36"/>
          <w:szCs w:val="48"/>
          <w:lang w:val="en-US" w:eastAsia="zh-CN"/>
        </w:rPr>
      </w:pPr>
      <w:bookmarkStart w:id="74" w:name="_Toc7245"/>
      <w:r>
        <w:rPr>
          <w:rFonts w:hint="eastAsia" w:ascii="黑体" w:hAnsi="黑体" w:eastAsia="黑体" w:cs="黑体"/>
          <w:sz w:val="36"/>
          <w:szCs w:val="48"/>
          <w:lang w:val="en-US" w:eastAsia="zh-CN"/>
        </w:rPr>
        <w:t>第十一章  激发文化创新创造活力，引领三江平原文旅深度融合发展</w:t>
      </w:r>
      <w:bookmarkEnd w:id="74"/>
    </w:p>
    <w:p w14:paraId="538A1AFD">
      <w:pPr>
        <w:bidi w:val="0"/>
        <w:rPr>
          <w:rFonts w:hint="default"/>
          <w:lang w:val="en-US" w:eastAsia="zh-CN"/>
        </w:rPr>
      </w:pPr>
      <w:r>
        <w:rPr>
          <w:rFonts w:hint="default"/>
          <w:lang w:val="en-US" w:eastAsia="zh-CN"/>
        </w:rPr>
        <w:t>坚持马克思主义在意识形态领域的指导地位，发展具有强大思想引领力、精神凝聚力、价值感召力、国际影响力的新时代中国特色社会主义文化，深化以文塑旅、以旅彰文，加快建设旅游强市。</w:t>
      </w:r>
    </w:p>
    <w:p w14:paraId="2D03C5C2">
      <w:pPr>
        <w:pStyle w:val="3"/>
        <w:bidi w:val="0"/>
        <w:rPr>
          <w:rFonts w:hint="default"/>
          <w:lang w:val="en-US" w:eastAsia="zh-CN"/>
        </w:rPr>
      </w:pPr>
      <w:bookmarkStart w:id="75" w:name="_Toc21027"/>
      <w:r>
        <w:rPr>
          <w:rFonts w:hint="eastAsia"/>
          <w:lang w:val="en-US" w:eastAsia="zh-CN"/>
        </w:rPr>
        <w:t>第一节  大力弘扬和践行社会主义核心价值观</w:t>
      </w:r>
      <w:bookmarkEnd w:id="75"/>
    </w:p>
    <w:p w14:paraId="7122C4D3">
      <w:pPr>
        <w:bidi w:val="0"/>
        <w:rPr>
          <w:rFonts w:hint="default" w:ascii="Times New Roman" w:hAnsi="Times New Roman" w:cs="Times New Roman"/>
          <w:color w:val="000000"/>
          <w:kern w:val="2"/>
          <w:szCs w:val="34"/>
          <w:u w:val="none"/>
          <w:lang w:val="en-US" w:eastAsia="zh-CN" w:bidi="ar-SA"/>
        </w:rPr>
      </w:pPr>
      <w:r>
        <w:rPr>
          <w:rFonts w:hint="eastAsia" w:ascii="仿宋_GB2312" w:hAnsi="仿宋_GB2312" w:eastAsia="仿宋_GB2312" w:cs="仿宋_GB2312"/>
          <w:lang w:val="en-US" w:eastAsia="zh-CN"/>
        </w:rPr>
        <w:t>深化党的创新理论学习宣传教育，坚持不懈用习近平新时代中国特色社会主义思想凝心铸魂</w:t>
      </w:r>
      <w:r>
        <w:rPr>
          <w:rFonts w:hint="eastAsia" w:ascii="仿宋_GB2312" w:hAnsi="仿宋_GB2312" w:cs="仿宋_GB2312"/>
          <w:lang w:val="en-US" w:eastAsia="zh-CN"/>
        </w:rPr>
        <w:t>，</w:t>
      </w:r>
      <w:r>
        <w:rPr>
          <w:rFonts w:hint="eastAsia" w:ascii="仿宋_GB2312" w:hAnsi="仿宋_GB2312" w:eastAsia="仿宋_GB2312" w:cs="仿宋_GB2312"/>
          <w:lang w:val="en-US" w:eastAsia="zh-CN"/>
        </w:rPr>
        <w:t>开展“学习新思想、振兴新富锦”主题实践活动，用好本土“红色文化教育基地”“现代农业实践基地”等特色载体。以社会主义核心价值观引领文化建设，传承弘扬东北抗联精神、北大荒精神和东北小延安文化。弘扬诚信文化，加强新时代廉洁文化建设，开展“诚信乡村”等特色创建活动。加强和改进思想政治工作，用好</w:t>
      </w:r>
      <w:r>
        <w:rPr>
          <w:rFonts w:hint="eastAsia" w:ascii="仿宋_GB2312" w:hAnsi="仿宋_GB2312" w:cs="仿宋_GB2312"/>
          <w:lang w:val="en-US" w:eastAsia="zh-CN"/>
        </w:rPr>
        <w:t>富锦</w:t>
      </w:r>
      <w:r>
        <w:rPr>
          <w:rFonts w:hint="eastAsia" w:ascii="仿宋_GB2312" w:hAnsi="仿宋_GB2312" w:eastAsia="仿宋_GB2312" w:cs="仿宋_GB2312"/>
          <w:lang w:val="en-US" w:eastAsia="zh-CN"/>
        </w:rPr>
        <w:t>红色资源</w:t>
      </w:r>
      <w:r>
        <w:rPr>
          <w:rFonts w:hint="eastAsia" w:ascii="仿宋_GB2312" w:hAnsi="仿宋_GB2312" w:cs="仿宋_GB2312"/>
          <w:lang w:val="en-US" w:eastAsia="zh-CN"/>
        </w:rPr>
        <w:t>和实践阵地</w:t>
      </w:r>
      <w:r>
        <w:rPr>
          <w:rFonts w:hint="eastAsia" w:ascii="仿宋_GB2312" w:hAnsi="仿宋_GB2312" w:eastAsia="仿宋_GB2312" w:cs="仿宋_GB2312"/>
          <w:lang w:val="en-US" w:eastAsia="zh-CN"/>
        </w:rPr>
        <w:t>，加强爱国主义教育</w:t>
      </w:r>
      <w:r>
        <w:rPr>
          <w:rFonts w:hint="eastAsia" w:ascii="仿宋_GB2312" w:hAnsi="仿宋_GB2312" w:cs="仿宋_GB2312"/>
          <w:lang w:val="en-US" w:eastAsia="zh-CN"/>
        </w:rPr>
        <w:t>。</w:t>
      </w:r>
      <w:r>
        <w:rPr>
          <w:rFonts w:hint="eastAsia" w:ascii="仿宋_GB2312" w:hAnsi="仿宋_GB2312" w:eastAsia="仿宋_GB2312" w:cs="仿宋_GB2312"/>
          <w:lang w:val="en-US" w:eastAsia="zh-CN"/>
        </w:rPr>
        <w:t>强化青少年理想信念教育，推进</w:t>
      </w:r>
      <w:r>
        <w:rPr>
          <w:rFonts w:hint="eastAsia" w:ascii="仿宋_GB2312" w:hAnsi="仿宋_GB2312" w:cs="仿宋_GB2312"/>
          <w:lang w:val="en-US" w:eastAsia="zh-CN"/>
        </w:rPr>
        <w:t>“红色基因传承”</w:t>
      </w:r>
      <w:r>
        <w:rPr>
          <w:rFonts w:hint="eastAsia" w:ascii="仿宋_GB2312" w:hAnsi="仿宋_GB2312" w:eastAsia="仿宋_GB2312" w:cs="仿宋_GB2312"/>
          <w:lang w:val="en-US" w:eastAsia="zh-CN"/>
        </w:rPr>
        <w:t>校园文化建设。</w:t>
      </w:r>
      <w:r>
        <w:rPr>
          <w:rFonts w:hint="eastAsia" w:ascii="仿宋_GB2312" w:hAnsi="仿宋_GB2312" w:cs="仿宋_GB2312"/>
          <w:lang w:val="en-US" w:eastAsia="zh-CN"/>
        </w:rPr>
        <w:t>深入推进文明城市创建</w:t>
      </w:r>
      <w:r>
        <w:rPr>
          <w:rFonts w:hint="eastAsia" w:ascii="仿宋_GB2312" w:hAnsi="仿宋_GB2312" w:eastAsia="仿宋_GB2312" w:cs="仿宋_GB2312"/>
          <w:lang w:val="en-US" w:eastAsia="zh-CN"/>
        </w:rPr>
        <w:t>，实</w:t>
      </w:r>
      <w:r>
        <w:rPr>
          <w:rFonts w:hint="eastAsia" w:ascii="仿宋_GB2312" w:hAnsi="仿宋_GB2312" w:cs="仿宋_GB2312"/>
          <w:lang w:val="en-US" w:eastAsia="zh-CN"/>
        </w:rPr>
        <w:t>施“文明实践+”工程，推动创建工作深度融入城市发展和市民生活，培育社会公德、职业道德、家庭美德、个人品德，提升人民文明素养和社会文明程度，实现创建“文明城市”向建设“城市文明”转变。加强网络内容建设和管理，创作一批展现富锦振兴成效的网络文化产品。加强对本土自媒体、网络社群的内容引导，提升信息化条件下文化领域治理能力。</w:t>
      </w:r>
    </w:p>
    <w:p w14:paraId="345B8DF0">
      <w:pPr>
        <w:pStyle w:val="3"/>
        <w:bidi w:val="0"/>
        <w:rPr>
          <w:rFonts w:hint="default"/>
          <w:lang w:val="en-US" w:eastAsia="zh-CN"/>
        </w:rPr>
      </w:pPr>
      <w:bookmarkStart w:id="76" w:name="_Toc3949"/>
      <w:r>
        <w:rPr>
          <w:rFonts w:hint="eastAsia"/>
          <w:lang w:val="en-US" w:eastAsia="zh-CN"/>
        </w:rPr>
        <w:t>第二节  推动文化体育事业高质量发展</w:t>
      </w:r>
      <w:bookmarkEnd w:id="76"/>
    </w:p>
    <w:p w14:paraId="0214D775">
      <w:pPr>
        <w:bidi w:val="0"/>
        <w:rPr>
          <w:rFonts w:hint="default" w:ascii="仿宋_GB2312" w:hAnsi="仿宋_GB2312" w:eastAsia="仿宋_GB2312" w:cs="仿宋_GB2312"/>
          <w:b/>
          <w:bCs/>
          <w:lang w:val="en-US" w:eastAsia="zh-CN"/>
        </w:rPr>
      </w:pPr>
      <w:r>
        <w:rPr>
          <w:rFonts w:hint="eastAsia" w:ascii="仿宋_GB2312" w:hAnsi="仿宋_GB2312" w:cs="仿宋_GB2312"/>
          <w:b/>
          <w:bCs/>
          <w:lang w:val="en-US" w:eastAsia="zh-CN"/>
        </w:rPr>
        <w:t>一、加强文化队伍建设和精品文艺创作</w:t>
      </w:r>
    </w:p>
    <w:p w14:paraId="27DA18A8">
      <w:pPr>
        <w:bidi w:val="0"/>
        <w:rPr>
          <w:rFonts w:hint="eastAsia" w:ascii="仿宋_GB2312" w:hAnsi="仿宋_GB2312" w:eastAsia="仿宋_GB2312" w:cs="仿宋_GB2312"/>
          <w:lang w:val="en-US" w:eastAsia="zh-CN"/>
        </w:rPr>
      </w:pPr>
      <w:r>
        <w:rPr>
          <w:rFonts w:hint="default"/>
          <w:lang w:val="en-US" w:eastAsia="zh-CN"/>
        </w:rPr>
        <w:t>营造良好文化生态，提升文化原创能力，实施文艺精品创作工程，推出一批彰显富锦特色与时代精神的文艺精品力作。加快培育高水平文化人才队伍，</w:t>
      </w:r>
      <w:r>
        <w:rPr>
          <w:rFonts w:hint="eastAsia" w:ascii="仿宋_GB2312" w:hAnsi="仿宋_GB2312" w:eastAsia="仿宋_GB2312" w:cs="仿宋_GB2312"/>
          <w:lang w:val="en-US" w:eastAsia="zh-CN"/>
        </w:rPr>
        <w:t>挖掘和培育基层文化骨干、农村文化能力、非遗传承人及文化艺术爱好者，充实乡镇综合文化站队伍和群众文艺团队</w:t>
      </w:r>
      <w:r>
        <w:rPr>
          <w:rFonts w:hint="eastAsia" w:ascii="仿宋_GB2312" w:hAnsi="仿宋_GB2312" w:cs="仿宋_GB2312"/>
          <w:lang w:val="en-US" w:eastAsia="zh-CN"/>
        </w:rPr>
        <w:t>。</w:t>
      </w:r>
      <w:r>
        <w:rPr>
          <w:rFonts w:hint="eastAsia" w:ascii="仿宋_GB2312" w:hAnsi="仿宋_GB2312" w:eastAsia="仿宋_GB2312" w:cs="仿宋_GB2312"/>
          <w:lang w:val="en-US" w:eastAsia="zh-CN"/>
        </w:rPr>
        <w:t>深入开展群众文化培训，完善培训课程体系，根据群众基本文化需求，开设舞蹈、书法等多门类艺术课程。</w:t>
      </w:r>
    </w:p>
    <w:p w14:paraId="3D32AB9A">
      <w:pPr>
        <w:bidi w:val="0"/>
        <w:rPr>
          <w:rFonts w:hint="default"/>
          <w:b/>
          <w:bCs/>
          <w:lang w:val="en-US" w:eastAsia="zh-CN"/>
        </w:rPr>
      </w:pPr>
      <w:r>
        <w:rPr>
          <w:rFonts w:hint="eastAsia"/>
          <w:b/>
          <w:bCs/>
          <w:lang w:val="en-US" w:eastAsia="zh-CN"/>
        </w:rPr>
        <w:t>二、加强群众文化活动建设和主流舆论引导</w:t>
      </w:r>
    </w:p>
    <w:p w14:paraId="435AF03F">
      <w:pPr>
        <w:bidi w:val="0"/>
        <w:rPr>
          <w:rFonts w:hint="eastAsia" w:ascii="仿宋_GB2312" w:hAnsi="仿宋_GB2312" w:eastAsia="仿宋_GB2312" w:cs="仿宋_GB2312"/>
          <w:lang w:val="en-US" w:eastAsia="zh-CN"/>
        </w:rPr>
      </w:pPr>
      <w:r>
        <w:rPr>
          <w:rFonts w:hint="default"/>
          <w:lang w:val="en-US" w:eastAsia="zh-CN"/>
        </w:rPr>
        <w:t>广泛开展群众性文化活动，</w:t>
      </w:r>
      <w:r>
        <w:rPr>
          <w:rFonts w:hint="eastAsia" w:ascii="仿宋_GB2312" w:hAnsi="仿宋_GB2312" w:eastAsia="仿宋_GB2312" w:cs="仿宋_GB2312"/>
          <w:lang w:val="en-US" w:eastAsia="zh-CN"/>
        </w:rPr>
        <w:t>加快培育一批具有富锦地方特色和广泛影响力的文化品牌活动</w:t>
      </w:r>
      <w:r>
        <w:rPr>
          <w:rFonts w:hint="eastAsia" w:ascii="仿宋_GB2312" w:hAnsi="仿宋_GB2312" w:cs="仿宋_GB2312"/>
          <w:lang w:val="en-US" w:eastAsia="zh-CN"/>
        </w:rPr>
        <w:t>，</w:t>
      </w:r>
      <w:r>
        <w:rPr>
          <w:rFonts w:hint="eastAsia" w:ascii="仿宋_GB2312" w:hAnsi="仿宋_GB2312" w:eastAsia="仿宋_GB2312" w:cs="仿宋_GB2312"/>
          <w:lang w:val="en-US" w:eastAsia="zh-CN"/>
        </w:rPr>
        <w:t>持续办好主题文化活动</w:t>
      </w:r>
      <w:r>
        <w:rPr>
          <w:rFonts w:hint="eastAsia" w:ascii="仿宋_GB2312" w:hAnsi="仿宋_GB2312" w:cs="仿宋_GB2312"/>
          <w:lang w:val="en-US" w:eastAsia="zh-CN"/>
        </w:rPr>
        <w:t>，</w:t>
      </w:r>
      <w:r>
        <w:rPr>
          <w:rFonts w:hint="default"/>
          <w:lang w:val="en-US" w:eastAsia="zh-CN"/>
        </w:rPr>
        <w:t>发展互联网条件下新大众文艺</w:t>
      </w:r>
      <w:r>
        <w:rPr>
          <w:rFonts w:hint="eastAsia"/>
          <w:lang w:val="en-US" w:eastAsia="zh-CN"/>
        </w:rPr>
        <w:t>，</w:t>
      </w:r>
      <w:r>
        <w:rPr>
          <w:rFonts w:hint="default"/>
          <w:lang w:val="en-US" w:eastAsia="zh-CN"/>
        </w:rPr>
        <w:t>全面提升富锦的城市文化知名度和区域影响力。推动主流媒体改革创新，推进新闻宣传和网络舆论一体化管理，</w:t>
      </w:r>
      <w:r>
        <w:rPr>
          <w:rFonts w:hint="eastAsia" w:ascii="仿宋_GB2312" w:hAnsi="仿宋_GB2312" w:eastAsia="仿宋_GB2312" w:cs="仿宋_GB2312"/>
          <w:lang w:val="en-US" w:eastAsia="zh-CN"/>
        </w:rPr>
        <w:t>构建上下联动、内外贯通的全媒体传播体系，</w:t>
      </w:r>
      <w:r>
        <w:rPr>
          <w:rFonts w:hint="default"/>
          <w:lang w:val="en-US" w:eastAsia="zh-CN"/>
        </w:rPr>
        <w:t>提高主流舆论引导能力</w:t>
      </w:r>
      <w:r>
        <w:rPr>
          <w:rFonts w:hint="eastAsia"/>
          <w:lang w:val="en-US" w:eastAsia="zh-CN"/>
        </w:rPr>
        <w:t>，</w:t>
      </w:r>
      <w:r>
        <w:rPr>
          <w:rFonts w:hint="eastAsia" w:ascii="仿宋_GB2312" w:hAnsi="仿宋_GB2312" w:eastAsia="仿宋_GB2312" w:cs="仿宋_GB2312"/>
          <w:lang w:val="en-US" w:eastAsia="zh-CN"/>
        </w:rPr>
        <w:t>为城市振兴发展凝聚广泛共识、营造积极氛围</w:t>
      </w:r>
      <w:r>
        <w:rPr>
          <w:rFonts w:hint="eastAsia" w:ascii="仿宋_GB2312" w:hAnsi="仿宋_GB2312" w:cs="仿宋_GB2312"/>
          <w:lang w:val="en-US" w:eastAsia="zh-CN"/>
        </w:rPr>
        <w:t>。</w:t>
      </w:r>
      <w:r>
        <w:rPr>
          <w:rFonts w:hint="eastAsia" w:ascii="仿宋_GB2312" w:hAnsi="仿宋_GB2312" w:eastAsia="仿宋_GB2312" w:cs="仿宋_GB2312"/>
          <w:lang w:val="en-US" w:eastAsia="zh-CN"/>
        </w:rPr>
        <w:t>综合利用新媒体平台和传统媒体等多种渠道，加强对文化活动的宣传推广，提升活动的知晓率与群众参与度。</w:t>
      </w:r>
    </w:p>
    <w:p w14:paraId="76EA6A4E">
      <w:pPr>
        <w:bidi w:val="0"/>
        <w:rPr>
          <w:rFonts w:hint="default"/>
          <w:b/>
          <w:bCs/>
          <w:lang w:val="en-US" w:eastAsia="zh-CN"/>
        </w:rPr>
      </w:pPr>
      <w:r>
        <w:rPr>
          <w:rFonts w:hint="eastAsia"/>
          <w:b/>
          <w:bCs/>
          <w:lang w:val="en-US" w:eastAsia="zh-CN"/>
        </w:rPr>
        <w:t>三、加强文化遗产保护与传承发展</w:t>
      </w:r>
    </w:p>
    <w:p w14:paraId="2A799501">
      <w:pPr>
        <w:bidi w:val="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实施文化遗产保护传承工程，做好全市域文化遗产资源普查与数字化建档，推动文化遗产系统性保护和统一监管。加强特色非遗项目品牌建设，推动剪纸技艺、东北民俗等特色非遗与现代设计、旅游文创、数字传播深度融合，打造一批具有地域标识和市场活力的文化IP。做好历史建筑保护修缮与传承，推广“微改造、微更新”模式，植入公共文化、特色商业等现代功能，使老建筑成为延续城市记忆、赋能街区活力的文化地标。</w:t>
      </w:r>
    </w:p>
    <w:p w14:paraId="19613E92">
      <w:pPr>
        <w:bidi w:val="0"/>
        <w:rPr>
          <w:rFonts w:hint="default"/>
          <w:b/>
          <w:bCs/>
          <w:lang w:val="en-US" w:eastAsia="zh-CN"/>
        </w:rPr>
      </w:pPr>
      <w:r>
        <w:rPr>
          <w:rFonts w:hint="eastAsia"/>
          <w:b/>
          <w:bCs/>
          <w:lang w:val="en-US" w:eastAsia="zh-CN"/>
        </w:rPr>
        <w:t>四、推动公共文化服务普惠均衡与智慧便捷发展</w:t>
      </w:r>
    </w:p>
    <w:p w14:paraId="741351BD">
      <w:pPr>
        <w:bidi w:val="0"/>
        <w:rPr>
          <w:rFonts w:hint="eastAsia" w:ascii="仿宋_GB2312" w:hAnsi="仿宋_GB2312" w:eastAsia="仿宋_GB2312" w:cs="仿宋_GB2312"/>
          <w:lang w:val="en-US" w:eastAsia="zh-CN"/>
        </w:rPr>
      </w:pPr>
      <w:r>
        <w:rPr>
          <w:rFonts w:hint="eastAsia" w:ascii="仿宋_GB2312" w:hAnsi="仿宋_GB2312" w:eastAsia="仿宋_GB2312" w:cs="仿宋_GB2312"/>
          <w:b/>
          <w:bCs/>
          <w:lang w:val="en-US" w:eastAsia="zh-CN"/>
        </w:rPr>
        <w:t>优化公共文化设施布局</w:t>
      </w:r>
      <w:r>
        <w:rPr>
          <w:rFonts w:hint="eastAsia" w:ascii="仿宋_GB2312" w:hAnsi="仿宋_GB2312" w:cs="仿宋_GB2312"/>
          <w:b/>
          <w:bCs/>
          <w:lang w:val="en-US" w:eastAsia="zh-CN"/>
        </w:rPr>
        <w:t>。</w:t>
      </w:r>
      <w:r>
        <w:rPr>
          <w:rFonts w:hint="default"/>
          <w:lang w:val="en-US" w:eastAsia="zh-CN"/>
        </w:rPr>
        <w:t>优化市镇村三级公共文化设施布局，加快补齐乡村设施短板。</w:t>
      </w:r>
      <w:r>
        <w:rPr>
          <w:rFonts w:hint="eastAsia" w:ascii="仿宋_GB2312" w:hAnsi="仿宋_GB2312" w:eastAsia="仿宋_GB2312" w:cs="仿宋_GB2312"/>
          <w:lang w:val="en-US" w:eastAsia="zh-CN"/>
        </w:rPr>
        <w:t>持续做好“三馆一场”免费开放，按照“提升、拓展、深化”的原则，对市图书馆、博物馆、群众艺术馆进行功能优化改造，引入线上演播、沉浸式体验、智慧服务等新型业态，建成集场馆游览、非遗教学、文化演出、社会教育、文化体验于一体的综合性文化场所。</w:t>
      </w:r>
    </w:p>
    <w:p w14:paraId="24DD7DA5">
      <w:pPr>
        <w:bidi w:val="0"/>
        <w:rPr>
          <w:rFonts w:hint="eastAsia" w:ascii="仿宋_GB2312" w:hAnsi="仿宋_GB2312" w:eastAsia="仿宋_GB2312" w:cs="仿宋_GB2312"/>
          <w:lang w:val="en-US" w:eastAsia="zh-CN"/>
        </w:rPr>
      </w:pPr>
      <w:r>
        <w:rPr>
          <w:rFonts w:hint="eastAsia"/>
          <w:b/>
          <w:bCs/>
          <w:lang w:val="en-US" w:eastAsia="zh-CN"/>
        </w:rPr>
        <w:t>推动公共文化服务提质增效。</w:t>
      </w:r>
      <w:r>
        <w:rPr>
          <w:rFonts w:hint="eastAsia" w:ascii="仿宋_GB2312" w:hAnsi="仿宋_GB2312" w:eastAsia="仿宋_GB2312" w:cs="仿宋_GB2312"/>
          <w:lang w:val="en-US" w:eastAsia="zh-CN"/>
        </w:rPr>
        <w:t>坚持文化惠民，实施公共文化服务提质增效行动，加强公共文化设施数字化建设，推动优质文化资源直达基层，</w:t>
      </w:r>
      <w:r>
        <w:rPr>
          <w:rFonts w:hint="eastAsia" w:ascii="仿宋_GB2312" w:hAnsi="仿宋_GB2312" w:cs="仿宋_GB2312"/>
          <w:lang w:val="en-US" w:eastAsia="zh-CN"/>
        </w:rPr>
        <w:t>拓展下沉渠道与载体，</w:t>
      </w:r>
      <w:r>
        <w:rPr>
          <w:rFonts w:hint="eastAsia" w:ascii="仿宋_GB2312" w:hAnsi="仿宋_GB2312" w:eastAsia="仿宋_GB2312" w:cs="仿宋_GB2312"/>
        </w:rPr>
        <w:t>让基层群众便捷享受高质量文化服务，切实保障群众文化权益</w:t>
      </w:r>
      <w:r>
        <w:rPr>
          <w:rFonts w:hint="eastAsia" w:ascii="仿宋_GB2312" w:hAnsi="仿宋_GB2312" w:eastAsia="仿宋_GB2312" w:cs="仿宋_GB2312"/>
          <w:lang w:val="en-US" w:eastAsia="zh-CN"/>
        </w:rPr>
        <w:t>。</w:t>
      </w:r>
    </w:p>
    <w:p w14:paraId="74893C2B">
      <w:pPr>
        <w:bidi w:val="0"/>
        <w:rPr>
          <w:rFonts w:hint="default"/>
          <w:b/>
          <w:bCs/>
          <w:lang w:val="en-US" w:eastAsia="zh-CN"/>
        </w:rPr>
      </w:pPr>
      <w:r>
        <w:rPr>
          <w:rFonts w:hint="eastAsia"/>
          <w:b/>
          <w:bCs/>
          <w:lang w:val="en-US" w:eastAsia="zh-CN"/>
        </w:rPr>
        <w:t>五、推动公共体育事业蓬勃发展</w:t>
      </w:r>
    </w:p>
    <w:p w14:paraId="1064B6C8">
      <w:pPr>
        <w:bidi w:val="0"/>
        <w:rPr>
          <w:rFonts w:hint="eastAsia" w:ascii="仿宋_GB2312" w:hAnsi="仿宋_GB2312" w:eastAsia="仿宋_GB2312" w:cs="仿宋_GB2312"/>
          <w:lang w:eastAsia="zh-CN"/>
        </w:rPr>
      </w:pPr>
      <w:r>
        <w:rPr>
          <w:rFonts w:hint="eastAsia" w:ascii="仿宋_GB2312" w:hAnsi="仿宋_GB2312" w:eastAsia="仿宋_GB2312" w:cs="仿宋_GB2312"/>
          <w:lang w:val="en-US" w:eastAsia="zh-CN"/>
        </w:rPr>
        <w:t>推动体育公园等大型场馆规划建设，统筹推进</w:t>
      </w:r>
      <w:r>
        <w:rPr>
          <w:rFonts w:hint="eastAsia" w:ascii="仿宋_GB2312" w:hAnsi="仿宋_GB2312" w:cs="仿宋_GB2312"/>
          <w:lang w:val="en-US" w:eastAsia="zh-CN"/>
        </w:rPr>
        <w:t>群众体育和竞技体育全面发展</w:t>
      </w:r>
      <w:r>
        <w:rPr>
          <w:rFonts w:hint="eastAsia" w:ascii="仿宋_GB2312" w:hAnsi="仿宋_GB2312" w:eastAsia="仿宋_GB2312" w:cs="仿宋_GB2312"/>
          <w:lang w:val="en-US" w:eastAsia="zh-CN"/>
        </w:rPr>
        <w:t>，常态化开展全民健身活动，加强特色体育赛事举办和精品体育线路开发，深化体教融合改革，打造具有富锦特色的体育品牌，赋能体育高质量发展。</w:t>
      </w:r>
    </w:p>
    <w:p w14:paraId="307F7C68">
      <w:pPr>
        <w:bidi w:val="0"/>
        <w:rPr>
          <w:rFonts w:hint="eastAsia" w:ascii="仿宋_GB2312" w:hAnsi="仿宋_GB2312" w:eastAsia="仿宋_GB2312" w:cs="仿宋_GB2312"/>
          <w:lang w:val="en-US" w:eastAsia="zh-CN"/>
        </w:rPr>
      </w:pPr>
      <w:r>
        <w:rPr>
          <w:rFonts w:hint="eastAsia" w:ascii="仿宋_GB2312" w:hAnsi="仿宋_GB2312" w:eastAsia="仿宋_GB2312" w:cs="仿宋_GB2312"/>
          <w:b/>
          <w:bCs/>
          <w:lang w:val="en-US" w:eastAsia="zh-CN"/>
        </w:rPr>
        <w:t>实施全民健身设施升级工程</w:t>
      </w:r>
      <w:r>
        <w:rPr>
          <w:rFonts w:hint="eastAsia" w:ascii="仿宋_GB2312" w:hAnsi="仿宋_GB2312" w:cs="仿宋_GB2312"/>
          <w:b/>
          <w:bCs/>
          <w:lang w:val="en-US" w:eastAsia="zh-CN"/>
        </w:rPr>
        <w:t>。</w:t>
      </w:r>
      <w:r>
        <w:rPr>
          <w:rFonts w:hint="eastAsia" w:ascii="仿宋_GB2312" w:hAnsi="仿宋_GB2312" w:eastAsia="仿宋_GB2312" w:cs="仿宋_GB2312"/>
          <w:lang w:val="en-US" w:eastAsia="zh-CN"/>
        </w:rPr>
        <w:t>结合城乡一体化进程，重点完善公共体育设施，构建“城区－镇街－社区（行政村）－居住小区（自然村）”四级配套体系。积极利用城市微更新空间，配套建设健身步道和多功能健身器材，不断丰富公共体育服务供给。打造社区健身圈，力争到2030年实现城区“15分钟健身圈”全覆盖。</w:t>
      </w:r>
    </w:p>
    <w:p w14:paraId="4966E437">
      <w:pPr>
        <w:bidi w:val="0"/>
        <w:rPr>
          <w:rFonts w:hint="eastAsia" w:ascii="仿宋_GB2312" w:hAnsi="仿宋_GB2312" w:eastAsia="仿宋_GB2312" w:cs="仿宋_GB2312"/>
          <w:lang w:val="en-US" w:eastAsia="zh-CN"/>
        </w:rPr>
      </w:pPr>
      <w:r>
        <w:rPr>
          <w:rFonts w:hint="eastAsia" w:ascii="仿宋_GB2312" w:hAnsi="仿宋_GB2312" w:eastAsia="仿宋_GB2312" w:cs="仿宋_GB2312"/>
          <w:b/>
          <w:bCs/>
          <w:lang w:val="en-US" w:eastAsia="zh-CN"/>
        </w:rPr>
        <w:t>加快培育一批特色体育品牌IP</w:t>
      </w:r>
      <w:r>
        <w:rPr>
          <w:rFonts w:hint="eastAsia" w:ascii="仿宋_GB2312" w:hAnsi="仿宋_GB2312" w:cs="仿宋_GB2312"/>
          <w:b/>
          <w:bCs/>
          <w:lang w:val="en-US" w:eastAsia="zh-CN"/>
        </w:rPr>
        <w:t>。</w:t>
      </w:r>
      <w:r>
        <w:rPr>
          <w:rFonts w:hint="eastAsia" w:ascii="仿宋_GB2312" w:hAnsi="仿宋_GB2312" w:eastAsia="仿宋_GB2312" w:cs="仿宋_GB2312"/>
          <w:lang w:val="en-US" w:eastAsia="zh-CN"/>
        </w:rPr>
        <w:t>以“全民健身日”为契机，常态化开展全民健身活动，深化体育产业融合发展，推动半程马拉松等重点赛事提质升级，谋划打造“松花江流域”篮球赛等一批具有区域影响力的特色体育赛事IP，以赛塑旅、以赛营城，培育区域体育消费新热点。开发湿地徒步绿道和稻田骑行线路，有机串联国家湿地公园、万亩水稻公园等旅游景区，形成一批特色体育旅游线路IP，使其成为富锦独特的城市文化名片。</w:t>
      </w:r>
    </w:p>
    <w:p w14:paraId="1FCF4442">
      <w:pPr>
        <w:bidi w:val="0"/>
        <w:rPr>
          <w:rFonts w:hint="default" w:ascii="仿宋_GB2312" w:hAnsi="仿宋_GB2312" w:eastAsia="仿宋_GB2312" w:cs="仿宋_GB2312"/>
          <w:lang w:val="en-US" w:eastAsia="zh-CN"/>
        </w:rPr>
      </w:pPr>
      <w:r>
        <w:rPr>
          <w:rFonts w:hint="eastAsia" w:ascii="仿宋_GB2312" w:hAnsi="仿宋_GB2312" w:cs="仿宋_GB2312"/>
          <w:b/>
          <w:bCs/>
          <w:lang w:val="en-US" w:eastAsia="zh-CN"/>
        </w:rPr>
        <w:t>促进体育与教育融合发展。</w:t>
      </w:r>
      <w:r>
        <w:rPr>
          <w:rFonts w:hint="eastAsia" w:ascii="仿宋_GB2312" w:hAnsi="仿宋_GB2312" w:cs="仿宋_GB2312"/>
          <w:lang w:val="en-US" w:eastAsia="zh-CN"/>
        </w:rPr>
        <w:t>拓展青少年体育培养路径，夯实后备人才根基，打造多元化训练体系，重点布局冰雪特色项目，完善“选拔－训练－竞赛－输送”全链条一体化机制，筑牢体育人才储备基石；同时深化体教融合赋能青少年体育，支持基础较好的中小学开展速度滑冰、短道速滑等冰雪特色项目，以校园体育为抓手，助力青少年竞技体育高质量发展。优化公共体育场服务，常态化举办各类体育赛事，切实保障市民健身需求，全面提升公共体育服务质量。</w:t>
      </w:r>
    </w:p>
    <w:p w14:paraId="1A75090E">
      <w:pPr>
        <w:pStyle w:val="3"/>
        <w:bidi w:val="0"/>
        <w:rPr>
          <w:rFonts w:hint="default" w:ascii="仿宋_GB2312" w:hAnsi="仿宋_GB2312" w:eastAsia="仿宋_GB2312" w:cs="仿宋_GB2312"/>
          <w:lang w:val="en-US" w:eastAsia="zh-CN"/>
        </w:rPr>
      </w:pPr>
      <w:bookmarkStart w:id="77" w:name="_Toc30109"/>
      <w:r>
        <w:rPr>
          <w:rFonts w:hint="eastAsia"/>
          <w:lang w:val="en-US" w:eastAsia="zh-CN"/>
        </w:rPr>
        <w:t>第三节  培育壮大富锦特色文化产业</w:t>
      </w:r>
      <w:bookmarkEnd w:id="77"/>
    </w:p>
    <w:p w14:paraId="631F55FE">
      <w:pPr>
        <w:bidi w:val="0"/>
        <w:rPr>
          <w:rFonts w:hint="eastAsia" w:ascii="仿宋_GB2312" w:hAnsi="仿宋_GB2312" w:eastAsia="仿宋_GB2312" w:cs="仿宋_GB2312"/>
          <w:lang w:val="en-US" w:eastAsia="zh-CN"/>
        </w:rPr>
      </w:pPr>
      <w:r>
        <w:rPr>
          <w:rFonts w:hint="eastAsia" w:ascii="仿宋_GB2312" w:hAnsi="仿宋_GB2312" w:cs="仿宋_GB2312"/>
          <w:b/>
          <w:bCs/>
          <w:lang w:val="en-US" w:eastAsia="zh-CN"/>
        </w:rPr>
        <w:t>健全文化体制机制驱动优质市场主体与品牌培育。</w:t>
      </w:r>
      <w:r>
        <w:rPr>
          <w:rFonts w:hint="eastAsia" w:ascii="仿宋_GB2312" w:hAnsi="仿宋_GB2312" w:eastAsia="仿宋_GB2312" w:cs="仿宋_GB2312"/>
          <w:lang w:val="en-US" w:eastAsia="zh-CN"/>
        </w:rPr>
        <w:t>完善文化管理体制和生产经营机制，健全现代文化产业体系和市场体系，</w:t>
      </w:r>
      <w:r>
        <w:rPr>
          <w:rFonts w:hint="eastAsia" w:ascii="仿宋_GB2312" w:hAnsi="仿宋_GB2312" w:eastAsia="仿宋_GB2312" w:cs="仿宋_GB2312"/>
        </w:rPr>
        <w:t>实施文化企业梯度培育工程，重点扶持一批具有核心竞争力的“专精特新”文化科技企业</w:t>
      </w:r>
      <w:r>
        <w:rPr>
          <w:rFonts w:hint="eastAsia" w:ascii="仿宋_GB2312" w:hAnsi="仿宋_GB2312" w:eastAsia="仿宋_GB2312" w:cs="仿宋_GB2312"/>
          <w:lang w:val="en-US" w:eastAsia="zh-CN"/>
        </w:rPr>
        <w:t>。培育优秀文化企业和品牌，</w:t>
      </w:r>
      <w:r>
        <w:rPr>
          <w:rFonts w:hint="eastAsia" w:ascii="仿宋_GB2312" w:hAnsi="仿宋_GB2312" w:eastAsia="仿宋_GB2312" w:cs="仿宋_GB2312"/>
        </w:rPr>
        <w:t>打造“富锦文创”区域公共品牌，支持企业开发以湿地生态、农耕文明、红色历史为主题的系列文创产品</w:t>
      </w:r>
      <w:r>
        <w:rPr>
          <w:rFonts w:hint="eastAsia" w:ascii="仿宋_GB2312" w:hAnsi="仿宋_GB2312" w:eastAsia="仿宋_GB2312" w:cs="仿宋_GB2312"/>
          <w:lang w:val="en-US" w:eastAsia="zh-CN"/>
        </w:rPr>
        <w:t>。</w:t>
      </w:r>
    </w:p>
    <w:p w14:paraId="7A2F1CC7">
      <w:pPr>
        <w:bidi w:val="0"/>
        <w:rPr>
          <w:rFonts w:hint="eastAsia" w:ascii="仿宋_GB2312" w:hAnsi="仿宋_GB2312" w:eastAsia="仿宋_GB2312" w:cs="仿宋_GB2312"/>
          <w:lang w:val="en-US" w:eastAsia="zh-CN"/>
        </w:rPr>
      </w:pPr>
      <w:r>
        <w:rPr>
          <w:rFonts w:hint="eastAsia" w:ascii="仿宋_GB2312" w:hAnsi="仿宋_GB2312" w:cs="仿宋_GB2312"/>
          <w:b/>
          <w:bCs/>
          <w:lang w:val="en-US" w:eastAsia="zh-CN"/>
        </w:rPr>
        <w:t>以“文化+”引领文化产业集群化发展。</w:t>
      </w:r>
      <w:r>
        <w:rPr>
          <w:rFonts w:hint="eastAsia" w:ascii="仿宋_GB2312" w:hAnsi="仿宋_GB2312" w:eastAsia="仿宋_GB2312" w:cs="仿宋_GB2312"/>
          <w:lang w:val="en-US" w:eastAsia="zh-CN"/>
        </w:rPr>
        <w:t>实施文化产业倍增计划，</w:t>
      </w:r>
      <w:r>
        <w:rPr>
          <w:rFonts w:hint="eastAsia" w:ascii="仿宋_GB2312" w:hAnsi="仿宋_GB2312" w:eastAsia="仿宋_GB2312" w:cs="仿宋_GB2312"/>
        </w:rPr>
        <w:t>以“文化</w:t>
      </w:r>
      <w:r>
        <w:rPr>
          <w:rFonts w:hint="eastAsia" w:ascii="仿宋_GB2312" w:hAnsi="仿宋_GB2312" w:eastAsia="仿宋_GB2312" w:cs="仿宋_GB2312"/>
          <w:lang w:val="en-US" w:eastAsia="zh-CN"/>
        </w:rPr>
        <w:t>+</w:t>
      </w:r>
      <w:r>
        <w:rPr>
          <w:rFonts w:hint="eastAsia" w:ascii="仿宋_GB2312" w:hAnsi="仿宋_GB2312" w:eastAsia="仿宋_GB2312" w:cs="仿宋_GB2312"/>
        </w:rPr>
        <w:t>”为核心策略</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充分利用各类文化资源，带动旅游、出版、演艺、休闲、娱乐等相关产业发展，发展壮大演艺经济</w:t>
      </w:r>
      <w:r>
        <w:rPr>
          <w:rFonts w:hint="eastAsia" w:ascii="仿宋_GB2312" w:hAnsi="仿宋_GB2312" w:cs="仿宋_GB2312"/>
          <w:lang w:val="en-US" w:eastAsia="zh-CN"/>
        </w:rPr>
        <w:t>、</w:t>
      </w:r>
      <w:r>
        <w:rPr>
          <w:rFonts w:hint="eastAsia" w:ascii="仿宋_GB2312" w:hAnsi="仿宋_GB2312" w:eastAsia="仿宋_GB2312" w:cs="仿宋_GB2312"/>
          <w:lang w:val="en-US" w:eastAsia="zh-CN"/>
        </w:rPr>
        <w:t>会展经济，</w:t>
      </w:r>
      <w:r>
        <w:rPr>
          <w:rFonts w:hint="eastAsia" w:ascii="仿宋_GB2312" w:hAnsi="仿宋_GB2312" w:eastAsia="仿宋_GB2312" w:cs="仿宋_GB2312"/>
        </w:rPr>
        <w:t>提升《红雪花》等精品剧目的市场化运营能力，</w:t>
      </w:r>
      <w:r>
        <w:rPr>
          <w:rFonts w:hint="eastAsia" w:ascii="仿宋_GB2312" w:hAnsi="仿宋_GB2312" w:eastAsia="仿宋_GB2312" w:cs="仿宋_GB2312"/>
          <w:lang w:val="en-US" w:eastAsia="zh-CN"/>
        </w:rPr>
        <w:t>规划建设富锦文创产业集聚区，</w:t>
      </w:r>
      <w:r>
        <w:rPr>
          <w:rFonts w:hint="eastAsia" w:ascii="仿宋_GB2312" w:hAnsi="仿宋_GB2312" w:eastAsia="仿宋_GB2312" w:cs="仿宋_GB2312"/>
        </w:rPr>
        <w:t>引导产业链上下游企业集中布局</w:t>
      </w:r>
      <w:r>
        <w:rPr>
          <w:rFonts w:hint="eastAsia" w:ascii="仿宋_GB2312" w:hAnsi="仿宋_GB2312" w:eastAsia="仿宋_GB2312" w:cs="仿宋_GB2312"/>
          <w:lang w:val="en-US" w:eastAsia="zh-CN"/>
        </w:rPr>
        <w:t>。</w:t>
      </w:r>
    </w:p>
    <w:p w14:paraId="481D422E">
      <w:pPr>
        <w:bidi w:val="0"/>
        <w:rPr>
          <w:rFonts w:hint="eastAsia" w:ascii="仿宋_GB2312" w:hAnsi="仿宋_GB2312" w:eastAsia="仿宋_GB2312" w:cs="仿宋_GB2312"/>
          <w:lang w:eastAsia="zh-CN"/>
        </w:rPr>
      </w:pPr>
      <w:r>
        <w:rPr>
          <w:rFonts w:hint="eastAsia" w:ascii="仿宋_GB2312" w:hAnsi="仿宋_GB2312" w:cs="仿宋_GB2312"/>
          <w:b/>
          <w:bCs/>
          <w:lang w:val="en-US" w:eastAsia="zh-CN"/>
        </w:rPr>
        <w:t>推动文化科技融合培育新型文化业态。</w:t>
      </w:r>
      <w:r>
        <w:rPr>
          <w:rFonts w:hint="eastAsia" w:ascii="仿宋_GB2312" w:hAnsi="仿宋_GB2312" w:eastAsia="仿宋_GB2312" w:cs="仿宋_GB2312"/>
          <w:lang w:val="en-US" w:eastAsia="zh-CN"/>
        </w:rPr>
        <w:t>推进文化与科技融合，创新发展智慧文旅、沉浸式演艺等新兴业态。引导规范网络文学、网络游戏、网络视听等健康发展，加强未成年人网络保护。</w:t>
      </w:r>
      <w:r>
        <w:rPr>
          <w:rFonts w:hint="eastAsia" w:ascii="仿宋_GB2312" w:hAnsi="仿宋_GB2312" w:eastAsia="仿宋_GB2312" w:cs="仿宋_GB2312"/>
        </w:rPr>
        <w:t>积极引进和培育数字内容制作、短视频运营、电商直播等新型文化市场主体，鼓励创作传播展现富锦风土人情的网络视听精品</w:t>
      </w:r>
      <w:r>
        <w:rPr>
          <w:rFonts w:hint="eastAsia" w:ascii="仿宋_GB2312" w:hAnsi="仿宋_GB2312" w:cs="仿宋_GB2312"/>
          <w:lang w:eastAsia="zh-CN"/>
        </w:rPr>
        <w:t>，</w:t>
      </w:r>
      <w:r>
        <w:rPr>
          <w:rFonts w:hint="eastAsia" w:ascii="仿宋_GB2312" w:hAnsi="仿宋_GB2312" w:cs="仿宋_GB2312"/>
          <w:lang w:val="en-US" w:eastAsia="zh-CN"/>
        </w:rPr>
        <w:t>拓宽文化产业边界</w:t>
      </w:r>
      <w:r>
        <w:rPr>
          <w:rFonts w:hint="eastAsia" w:ascii="仿宋_GB2312" w:hAnsi="仿宋_GB2312" w:eastAsia="仿宋_GB2312" w:cs="仿宋_GB2312"/>
          <w:lang w:eastAsia="zh-CN"/>
        </w:rPr>
        <w:t>。</w:t>
      </w:r>
    </w:p>
    <w:p w14:paraId="02E2298B">
      <w:pPr>
        <w:bidi w:val="0"/>
        <w:rPr>
          <w:rFonts w:hint="eastAsia"/>
          <w:lang w:val="en-US" w:eastAsia="zh-CN"/>
        </w:rPr>
      </w:pPr>
      <w:r>
        <w:rPr>
          <w:rFonts w:hint="eastAsia" w:ascii="仿宋_GB2312" w:hAnsi="仿宋_GB2312" w:cs="仿宋_GB2312"/>
          <w:b/>
          <w:bCs/>
          <w:lang w:val="en-US" w:eastAsia="zh-CN"/>
        </w:rPr>
        <w:t>强化政策资金支持与文化人才保障。</w:t>
      </w:r>
      <w:r>
        <w:rPr>
          <w:rFonts w:hint="eastAsia" w:ascii="仿宋_GB2312" w:hAnsi="仿宋_GB2312" w:eastAsia="仿宋_GB2312" w:cs="仿宋_GB2312"/>
        </w:rPr>
        <w:t>加大文化产业专项扶持资金整合力度</w:t>
      </w:r>
      <w:r>
        <w:rPr>
          <w:rFonts w:hint="eastAsia" w:ascii="仿宋_GB2312" w:hAnsi="仿宋_GB2312" w:eastAsia="仿宋_GB2312" w:cs="仿宋_GB2312"/>
          <w:lang w:eastAsia="zh-CN"/>
        </w:rPr>
        <w:t>，</w:t>
      </w:r>
      <w:r>
        <w:rPr>
          <w:rFonts w:hint="eastAsia" w:ascii="仿宋_GB2312" w:hAnsi="仿宋_GB2312" w:eastAsia="仿宋_GB2312" w:cs="仿宋_GB2312"/>
        </w:rPr>
        <w:t>综合运用项目补贴、贷款贴息、保费补贴等方式给予支持</w:t>
      </w:r>
      <w:r>
        <w:rPr>
          <w:rFonts w:hint="eastAsia" w:ascii="仿宋_GB2312" w:hAnsi="仿宋_GB2312" w:eastAsia="仿宋_GB2312" w:cs="仿宋_GB2312"/>
          <w:lang w:eastAsia="zh-CN"/>
        </w:rPr>
        <w:t>。</w:t>
      </w:r>
      <w:r>
        <w:rPr>
          <w:rFonts w:hint="eastAsia" w:ascii="仿宋_GB2312" w:hAnsi="仿宋_GB2312" w:eastAsia="仿宋_GB2312" w:cs="仿宋_GB2312"/>
        </w:rPr>
        <w:t>强化文化人才支撑，实施文旅创客扶持计划，建立与文化人才贡献相适应的柔性引进机制</w:t>
      </w:r>
      <w:r>
        <w:rPr>
          <w:rFonts w:hint="eastAsia" w:ascii="仿宋_GB2312" w:hAnsi="仿宋_GB2312" w:eastAsia="仿宋_GB2312" w:cs="仿宋_GB2312"/>
          <w:lang w:eastAsia="zh-CN"/>
        </w:rPr>
        <w:t>，</w:t>
      </w:r>
      <w:r>
        <w:rPr>
          <w:rFonts w:hint="eastAsia" w:ascii="仿宋_GB2312" w:hAnsi="仿宋_GB2312" w:eastAsia="仿宋_GB2312" w:cs="仿宋_GB2312"/>
        </w:rPr>
        <w:t>激发文化市场内生动力</w:t>
      </w:r>
      <w:r>
        <w:rPr>
          <w:rFonts w:hint="eastAsia" w:ascii="仿宋_GB2312" w:hAnsi="仿宋_GB2312" w:cs="仿宋_GB2312"/>
          <w:lang w:eastAsia="zh-CN"/>
        </w:rPr>
        <w:t>，</w:t>
      </w:r>
      <w:r>
        <w:rPr>
          <w:rFonts w:hint="eastAsia" w:ascii="仿宋_GB2312" w:hAnsi="仿宋_GB2312" w:cs="仿宋_GB2312"/>
          <w:lang w:val="en-US" w:eastAsia="zh-CN"/>
        </w:rPr>
        <w:t>为产业发展提供坚实保障</w:t>
      </w:r>
      <w:r>
        <w:rPr>
          <w:rFonts w:hint="eastAsia" w:ascii="仿宋_GB2312" w:hAnsi="仿宋_GB2312" w:eastAsia="仿宋_GB2312" w:cs="仿宋_GB2312"/>
          <w:lang w:eastAsia="zh-CN"/>
        </w:rPr>
        <w:t>。</w:t>
      </w:r>
    </w:p>
    <w:p w14:paraId="223EE371">
      <w:pPr>
        <w:pStyle w:val="3"/>
        <w:bidi w:val="0"/>
        <w:rPr>
          <w:rFonts w:hint="default"/>
          <w:lang w:val="en-US" w:eastAsia="zh-CN"/>
        </w:rPr>
      </w:pPr>
      <w:bookmarkStart w:id="78" w:name="_Toc31127"/>
      <w:r>
        <w:rPr>
          <w:rFonts w:hint="eastAsia"/>
          <w:lang w:val="en-US" w:eastAsia="zh-CN"/>
        </w:rPr>
        <w:t>第四节  推动富锦旅游业提质增效发展</w:t>
      </w:r>
      <w:bookmarkEnd w:id="78"/>
    </w:p>
    <w:p w14:paraId="7EE90209">
      <w:pPr>
        <w:bidi w:val="0"/>
        <w:rPr>
          <w:rFonts w:hint="eastAsia" w:ascii="仿宋_GB2312" w:hAnsi="仿宋_GB2312" w:eastAsia="仿宋_GB2312" w:cs="仿宋_GB2312"/>
          <w:lang w:val="en-US" w:eastAsia="zh-CN"/>
        </w:rPr>
      </w:pPr>
      <w:r>
        <w:rPr>
          <w:rFonts w:hint="eastAsia" w:ascii="仿宋_GB2312" w:hAnsi="仿宋_GB2312" w:cs="仿宋_GB2312"/>
          <w:b/>
          <w:bCs/>
          <w:lang w:val="en-US" w:eastAsia="zh-CN"/>
        </w:rPr>
        <w:t>健全长效运营机制释放旅发效应。</w:t>
      </w:r>
      <w:r>
        <w:rPr>
          <w:rFonts w:hint="eastAsia" w:ascii="仿宋_GB2312" w:hAnsi="仿宋_GB2312" w:eastAsia="仿宋_GB2312" w:cs="仿宋_GB2312"/>
          <w:lang w:val="en-US" w:eastAsia="zh-CN"/>
        </w:rPr>
        <w:t>坚持市场化运营、标准化建设、规范化管理、智慧化赋能，</w:t>
      </w:r>
      <w:r>
        <w:rPr>
          <w:rFonts w:hint="eastAsia" w:ascii="仿宋_GB2312" w:hAnsi="仿宋_GB2312" w:eastAsia="仿宋_GB2312" w:cs="仿宋_GB2312"/>
        </w:rPr>
        <w:t>建立健全旅发大会重点项目与资产的可持续运营机制，推动其由“建设亮点”转化为“长效盈利点”</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持续释放“后旅发”效应，推动特色文化旅游全域全季高质量发展。</w:t>
      </w:r>
    </w:p>
    <w:p w14:paraId="5407FA56">
      <w:pPr>
        <w:bidi w:val="0"/>
        <w:rPr>
          <w:rFonts w:hint="eastAsia" w:ascii="仿宋_GB2312" w:hAnsi="仿宋_GB2312" w:eastAsia="仿宋_GB2312" w:cs="仿宋_GB2312"/>
          <w:lang w:val="en-US" w:eastAsia="zh-CN"/>
        </w:rPr>
      </w:pPr>
      <w:r>
        <w:rPr>
          <w:rFonts w:hint="eastAsia" w:ascii="仿宋_GB2312" w:hAnsi="仿宋_GB2312" w:cs="仿宋_GB2312"/>
          <w:b/>
          <w:bCs/>
          <w:lang w:val="en-US" w:eastAsia="zh-CN"/>
        </w:rPr>
        <w:t>优化全域布局深化文旅融合。</w:t>
      </w:r>
      <w:r>
        <w:rPr>
          <w:rFonts w:hint="eastAsia" w:ascii="仿宋_GB2312" w:hAnsi="仿宋_GB2312" w:eastAsia="仿宋_GB2312" w:cs="仿宋_GB2312"/>
          <w:lang w:val="en-US" w:eastAsia="zh-CN"/>
        </w:rPr>
        <w:t>优化旅游功能布局，统筹全市旅游资源开发运营，发展农业游、工业游、乡村游、红色游、避暑游、自驾游、研学游等新业态，构建全域联动新格局，推动主客共享型文旅消费集聚地加速成型。突出抓好文旅融合，深入挖掘历史文化、民族文化、边疆文化等特色资源，推动“文旅+”农业、生态、工业融合发展，引领旅游提升品位、丰富内涵。</w:t>
      </w:r>
    </w:p>
    <w:p w14:paraId="4B792BB1">
      <w:pPr>
        <w:bidi w:val="0"/>
        <w:rPr>
          <w:rFonts w:hint="eastAsia" w:ascii="仿宋_GB2312" w:hAnsi="仿宋_GB2312" w:eastAsia="仿宋_GB2312" w:cs="仿宋_GB2312"/>
          <w:lang w:val="en-US" w:eastAsia="zh-CN"/>
        </w:rPr>
      </w:pPr>
      <w:r>
        <w:rPr>
          <w:rFonts w:hint="eastAsia" w:ascii="仿宋_GB2312" w:hAnsi="仿宋_GB2312" w:cs="仿宋_GB2312"/>
          <w:b/>
          <w:bCs/>
          <w:lang w:val="en-US" w:eastAsia="zh-CN"/>
        </w:rPr>
        <w:t>强化项目设施服务支撑。</w:t>
      </w:r>
      <w:r>
        <w:rPr>
          <w:rFonts w:hint="eastAsia" w:ascii="仿宋_GB2312" w:hAnsi="仿宋_GB2312" w:eastAsia="仿宋_GB2312" w:cs="仿宋_GB2312"/>
          <w:lang w:val="en-US" w:eastAsia="zh-CN"/>
        </w:rPr>
        <w:t>积极引进专业化战略投资主体，建立全市文旅重点招商项目库，推进景区景点提档升级、产业链开发、全要素融合。完善“快进慢游”交通网络和旅游配套设施，提升景区连接道路等级，</w:t>
      </w:r>
      <w:r>
        <w:rPr>
          <w:rFonts w:hint="eastAsia" w:ascii="仿宋_GB2312" w:hAnsi="仿宋_GB2312" w:cs="仿宋_GB2312"/>
          <w:lang w:val="en-US" w:eastAsia="zh-CN"/>
        </w:rPr>
        <w:t>配套建设</w:t>
      </w:r>
      <w:r>
        <w:rPr>
          <w:rFonts w:hint="eastAsia" w:ascii="仿宋_GB2312" w:hAnsi="仿宋_GB2312" w:eastAsia="仿宋_GB2312" w:cs="仿宋_GB2312"/>
          <w:lang w:val="en-US" w:eastAsia="zh-CN"/>
        </w:rPr>
        <w:t>自驾车旅居车营地。培育壮大文旅经营主体，</w:t>
      </w:r>
      <w:r>
        <w:rPr>
          <w:rFonts w:hint="eastAsia" w:ascii="仿宋_GB2312" w:hAnsi="仿宋_GB2312" w:eastAsia="仿宋_GB2312" w:cs="仿宋_GB2312"/>
        </w:rPr>
        <w:t>扶持本土旅行社、民宿联盟、文创企业发展</w:t>
      </w:r>
      <w:r>
        <w:rPr>
          <w:rFonts w:hint="eastAsia" w:ascii="仿宋_GB2312" w:hAnsi="仿宋_GB2312" w:eastAsia="仿宋_GB2312" w:cs="仿宋_GB2312"/>
          <w:lang w:val="en-US" w:eastAsia="zh-CN"/>
        </w:rPr>
        <w:t>。加强文旅安全及市场监管，</w:t>
      </w:r>
      <w:r>
        <w:rPr>
          <w:rFonts w:hint="eastAsia" w:ascii="仿宋_GB2312" w:hAnsi="仿宋_GB2312" w:eastAsia="仿宋_GB2312" w:cs="仿宋_GB2312"/>
        </w:rPr>
        <w:t>健全跨部门联合执法与旅游投诉快速处理机制</w:t>
      </w:r>
      <w:r>
        <w:rPr>
          <w:rFonts w:hint="eastAsia" w:ascii="仿宋_GB2312" w:hAnsi="仿宋_GB2312" w:cs="仿宋_GB2312"/>
          <w:lang w:eastAsia="zh-CN"/>
        </w:rPr>
        <w:t>，</w:t>
      </w:r>
      <w:r>
        <w:rPr>
          <w:rFonts w:hint="eastAsia" w:ascii="仿宋_GB2312" w:hAnsi="仿宋_GB2312" w:eastAsia="仿宋_GB2312" w:cs="仿宋_GB2312"/>
        </w:rPr>
        <w:t>全面提高旅游服务质量</w:t>
      </w:r>
      <w:r>
        <w:rPr>
          <w:rFonts w:hint="eastAsia" w:ascii="仿宋_GB2312" w:hAnsi="仿宋_GB2312" w:eastAsia="仿宋_GB2312" w:cs="仿宋_GB2312"/>
          <w:lang w:val="en-US" w:eastAsia="zh-CN"/>
        </w:rPr>
        <w:t>。</w:t>
      </w:r>
    </w:p>
    <w:p w14:paraId="6DB640DC">
      <w:pPr>
        <w:bidi w:val="0"/>
        <w:rPr>
          <w:rFonts w:hint="eastAsia" w:ascii="仿宋_GB2312" w:hAnsi="仿宋_GB2312" w:eastAsia="仿宋_GB2312" w:cs="仿宋_GB2312"/>
          <w:lang w:val="en-US" w:eastAsia="zh-CN"/>
        </w:rPr>
      </w:pPr>
      <w:r>
        <w:rPr>
          <w:rFonts w:hint="eastAsia" w:ascii="仿宋_GB2312" w:hAnsi="仿宋_GB2312" w:cs="仿宋_GB2312"/>
          <w:b/>
          <w:bCs/>
          <w:lang w:val="en-US" w:eastAsia="zh-CN"/>
        </w:rPr>
        <w:t>加快区域旅游合作。</w:t>
      </w:r>
      <w:r>
        <w:rPr>
          <w:rFonts w:hint="eastAsia" w:ascii="仿宋_GB2312" w:hAnsi="仿宋_GB2312" w:eastAsia="仿宋_GB2312" w:cs="仿宋_GB2312"/>
        </w:rPr>
        <w:t>深化与周边区域及旅游平台的合作，共同推出跨区域精品线路，将富锦深度融入龙江旅游大环线，提升区域旅游目的地影响力。</w:t>
      </w:r>
    </w:p>
    <w:p w14:paraId="15D51967">
      <w:pPr>
        <w:bidi w:val="0"/>
        <w:rPr>
          <w:rFonts w:hint="eastAsia"/>
          <w:lang w:val="en-US" w:eastAsia="zh-CN"/>
        </w:rPr>
      </w:pPr>
    </w:p>
    <w:p w14:paraId="668BAF28">
      <w:pPr>
        <w:pStyle w:val="2"/>
        <w:bidi w:val="0"/>
        <w:rPr>
          <w:rFonts w:hint="default"/>
          <w:lang w:val="en-US" w:eastAsia="zh-CN"/>
        </w:rPr>
      </w:pPr>
      <w:r>
        <w:rPr>
          <w:rFonts w:hint="eastAsia"/>
          <w:lang w:val="en-US" w:eastAsia="zh-CN"/>
        </w:rPr>
        <w:br w:type="page"/>
      </w:r>
      <w:bookmarkStart w:id="79" w:name="_Toc22521"/>
      <w:r>
        <w:rPr>
          <w:rFonts w:hint="eastAsia"/>
          <w:lang w:val="en-US" w:eastAsia="zh-CN"/>
        </w:rPr>
        <w:t>第十二章  持续提升民生保障水平，加快建设人民幸福美好富锦</w:t>
      </w:r>
      <w:bookmarkEnd w:id="79"/>
    </w:p>
    <w:p w14:paraId="06C21904">
      <w:pPr>
        <w:keepNext w:val="0"/>
        <w:keepLines w:val="0"/>
        <w:pageBreakBefore w:val="0"/>
        <w:widowControl w:val="0"/>
        <w:kinsoku/>
        <w:wordWrap/>
        <w:overflowPunct/>
        <w:bidi w:val="0"/>
        <w:spacing w:line="600" w:lineRule="exact"/>
        <w:ind w:left="0" w:leftChars="0" w:firstLine="640" w:firstLineChars="200"/>
        <w:textAlignment w:val="auto"/>
        <w:rPr>
          <w:rFonts w:hint="default" w:ascii="Times New Roman" w:hAnsi="Times New Roman" w:eastAsia="仿宋_GB2312" w:cs="Times New Roman"/>
          <w:color w:val="000000"/>
          <w:kern w:val="2"/>
          <w:sz w:val="32"/>
          <w:szCs w:val="32"/>
          <w:u w:val="none"/>
          <w:lang w:val="en-US" w:eastAsia="zh-CN" w:bidi="ar-SA"/>
        </w:rPr>
      </w:pPr>
      <w:r>
        <w:rPr>
          <w:rFonts w:hint="default" w:ascii="Times New Roman" w:hAnsi="Times New Roman" w:eastAsia="仿宋_GB2312" w:cs="Times New Roman"/>
          <w:color w:val="000000"/>
          <w:kern w:val="2"/>
          <w:sz w:val="32"/>
          <w:szCs w:val="32"/>
          <w:u w:val="none"/>
          <w:lang w:val="en-US" w:eastAsia="zh-CN" w:bidi="ar-SA"/>
        </w:rPr>
        <w:t>坚持尽力而为、量力而行，加强普惠性、基础性、兜底性民生建设，着力解决人民群众急难愁盼问题，让群众获得感、幸福感、安全感实实在在、真切可享，着力打造共建共治、幸福常在的幸福富锦、人民城市。</w:t>
      </w:r>
    </w:p>
    <w:p w14:paraId="51A11E25">
      <w:pPr>
        <w:pStyle w:val="3"/>
        <w:bidi w:val="0"/>
        <w:rPr>
          <w:rFonts w:hint="default"/>
          <w:lang w:val="en-US" w:eastAsia="zh-CN"/>
        </w:rPr>
      </w:pPr>
      <w:bookmarkStart w:id="80" w:name="_Toc5139"/>
      <w:r>
        <w:rPr>
          <w:rFonts w:hint="eastAsia"/>
          <w:lang w:val="en-US" w:eastAsia="zh-CN"/>
        </w:rPr>
        <w:t>第一节  构建高质量就业服务体系</w:t>
      </w:r>
      <w:bookmarkEnd w:id="80"/>
    </w:p>
    <w:p w14:paraId="2D4BB2C0">
      <w:pPr>
        <w:bidi w:val="0"/>
        <w:ind w:left="0" w:leftChars="0" w:firstLine="0" w:firstLineChars="0"/>
        <w:rPr>
          <w:rFonts w:hint="default"/>
          <w:lang w:val="en-US" w:eastAsia="zh-CN"/>
        </w:rPr>
      </w:pPr>
      <w:r>
        <w:rPr>
          <w:rFonts w:hint="eastAsia"/>
          <w:lang w:val="en-US" w:eastAsia="zh-CN"/>
        </w:rPr>
        <w:t xml:space="preserve">   </w:t>
      </w:r>
      <w:r>
        <w:rPr>
          <w:rFonts w:hint="eastAsia"/>
          <w:b/>
          <w:bCs/>
          <w:lang w:val="en-US" w:eastAsia="zh-CN"/>
        </w:rPr>
        <w:t xml:space="preserve"> 一、健全就业促进与产业协同机制</w:t>
      </w:r>
    </w:p>
    <w:p w14:paraId="19BBC881">
      <w:pPr>
        <w:bidi w:val="0"/>
        <w:rPr>
          <w:rFonts w:hint="eastAsia" w:ascii="仿宋_GB2312" w:hAnsi="仿宋_GB2312" w:eastAsia="仿宋_GB2312" w:cs="仿宋_GB2312"/>
        </w:rPr>
      </w:pPr>
      <w:r>
        <w:rPr>
          <w:rFonts w:hint="default"/>
          <w:lang w:val="en-US" w:eastAsia="zh-CN"/>
        </w:rPr>
        <w:t>全面落实就业优先战略，健全就业促进机制，构建就业友好型发展方式。加强产业和就业协同，发展就业带动力强的产业，拓展新职业新岗位就业空间，支持企业稳岗扩岗。</w:t>
      </w:r>
    </w:p>
    <w:p w14:paraId="231C722D">
      <w:pPr>
        <w:bidi w:val="0"/>
        <w:rPr>
          <w:rFonts w:hint="eastAsia"/>
          <w:lang w:val="en-US" w:eastAsia="zh-CN"/>
        </w:rPr>
      </w:pPr>
      <w:r>
        <w:rPr>
          <w:rFonts w:hint="eastAsia"/>
          <w:b/>
          <w:bCs/>
          <w:lang w:val="en-US" w:eastAsia="zh-CN"/>
        </w:rPr>
        <w:t>加强产业升级与就业扩容协同联动。</w:t>
      </w:r>
      <w:r>
        <w:rPr>
          <w:rFonts w:hint="eastAsia"/>
          <w:lang w:val="en-US" w:eastAsia="zh-CN"/>
        </w:rPr>
        <w:t>围绕现代农业深加工、绿色能源、边境商贸物流、文化旅游等本地优势产业与新兴领域，实施“产业就业引领计划”，重点扶持一批就业吸附力强、技能包容度高的产业集群与龙头企业。</w:t>
      </w:r>
      <w:r>
        <w:rPr>
          <w:rFonts w:hint="eastAsia"/>
        </w:rPr>
        <w:t>推动冰雪经济、夜经济等消费新热点转化为就业新渠道，围绕中医康养、智慧养老、普惠托育等重点民生服务促进就业</w:t>
      </w:r>
      <w:r>
        <w:rPr>
          <w:rFonts w:hint="eastAsia"/>
          <w:lang w:eastAsia="zh-CN"/>
        </w:rPr>
        <w:t>，</w:t>
      </w:r>
      <w:r>
        <w:t>系统拓展电商运营、智能农机操作、文旅策划等新岗位空间</w:t>
      </w:r>
      <w:r>
        <w:rPr>
          <w:rFonts w:hint="eastAsia"/>
          <w:lang w:eastAsia="zh-CN"/>
        </w:rPr>
        <w:t>。</w:t>
      </w:r>
    </w:p>
    <w:p w14:paraId="753BACCD">
      <w:pPr>
        <w:bidi w:val="0"/>
        <w:rPr>
          <w:rFonts w:hint="eastAsia" w:ascii="仿宋_GB2312" w:hAnsi="仿宋_GB2312" w:eastAsia="仿宋_GB2312" w:cs="仿宋_GB2312"/>
        </w:rPr>
      </w:pPr>
      <w:r>
        <w:rPr>
          <w:rFonts w:hint="eastAsia" w:ascii="仿宋_GB2312" w:hAnsi="仿宋_GB2312" w:cs="仿宋_GB2312"/>
          <w:b/>
          <w:bCs/>
          <w:lang w:val="en-US" w:eastAsia="zh-CN"/>
        </w:rPr>
        <w:t>支持企业稳岗扩岗促就业。</w:t>
      </w:r>
      <w:r>
        <w:rPr>
          <w:rFonts w:hint="eastAsia" w:ascii="仿宋_GB2312" w:hAnsi="仿宋_GB2312" w:eastAsia="仿宋_GB2312" w:cs="仿宋_GB2312"/>
        </w:rPr>
        <w:t>完善企业主体稳岗拓岗支持政策，健全民营企业解难纾困长效机制，降低稳岗扩岗专项贷申请门槛，清理规范涉企收费，全面落实税收优惠、就业补贴等各项扶持政策，鼓励国有企业带头吸纳就业，提高各类经营主体就业吸引力，进一步扩大就业容量。</w:t>
      </w:r>
    </w:p>
    <w:p w14:paraId="727C4155">
      <w:pPr>
        <w:bidi w:val="0"/>
        <w:rPr>
          <w:rFonts w:hint="default" w:ascii="仿宋_GB2312" w:hAnsi="仿宋_GB2312" w:eastAsia="仿宋_GB2312" w:cs="仿宋_GB2312"/>
          <w:b/>
          <w:bCs/>
          <w:lang w:val="en-US" w:eastAsia="zh-CN"/>
        </w:rPr>
      </w:pPr>
      <w:r>
        <w:rPr>
          <w:rFonts w:hint="eastAsia" w:ascii="仿宋_GB2312" w:hAnsi="仿宋_GB2312" w:cs="仿宋_GB2312"/>
          <w:b/>
          <w:bCs/>
          <w:lang w:val="en-US" w:eastAsia="zh-CN"/>
        </w:rPr>
        <w:t>二、强化人力资源供需匹配与技能提升</w:t>
      </w:r>
    </w:p>
    <w:p w14:paraId="28FB34E5">
      <w:pPr>
        <w:bidi w:val="0"/>
        <w:rPr>
          <w:rFonts w:hint="eastAsia"/>
        </w:rPr>
      </w:pPr>
      <w:r>
        <w:rPr>
          <w:rFonts w:hint="default"/>
          <w:lang w:val="en-US" w:eastAsia="zh-CN"/>
        </w:rPr>
        <w:t>完善人力资源供需匹配机制，实施企业专业技术和技能人才提升行动，健全终身职业技能培训制度，加强劳动者技能培训。深化择业和用人观念宣传引导，规范发展新就业形态，加快解决结构性就业矛盾。</w:t>
      </w:r>
    </w:p>
    <w:p w14:paraId="7B7482A0">
      <w:pPr>
        <w:bidi w:val="0"/>
        <w:rPr>
          <w:rFonts w:hint="eastAsia" w:ascii="仿宋_GB2312" w:hAnsi="仿宋_GB2312" w:eastAsia="仿宋_GB2312" w:cs="仿宋_GB2312"/>
        </w:rPr>
      </w:pPr>
      <w:r>
        <w:rPr>
          <w:rFonts w:hint="eastAsia" w:ascii="仿宋_GB2312" w:hAnsi="仿宋_GB2312" w:eastAsia="仿宋_GB2312" w:cs="仿宋_GB2312"/>
          <w:b/>
          <w:bCs/>
        </w:rPr>
        <w:t>强化职业技能素质培训。</w:t>
      </w:r>
      <w:r>
        <w:rPr>
          <w:rFonts w:hint="eastAsia" w:ascii="仿宋_GB2312" w:hAnsi="仿宋_GB2312" w:eastAsia="仿宋_GB2312" w:cs="仿宋_GB2312"/>
        </w:rPr>
        <w:t>实施职业技能提升工程，开展重点群体、重点行业领域专项培训计划，缓解就业结构性矛盾。基于产业发展需求，大力推行“岗位需求+技能培训+技能评价+就业服务”四位一体培训模式。实施新型农民培育工程，围绕特色种植、农村电商、乡村旅游及社会化托管服务，开展农业技能培训。开展职工在岗、新型学徒制、校企合作、线上线下等各种形式就业创业技能培训，建立终身职业技能培训制度，提高劳动者就业创业能力。推动高技能人才培训基地和公共实训基地建设，推动培训资源共建共享。</w:t>
      </w:r>
    </w:p>
    <w:p w14:paraId="3B8D0660">
      <w:pPr>
        <w:bidi w:val="0"/>
        <w:rPr>
          <w:rFonts w:hint="default" w:ascii="仿宋_GB2312" w:hAnsi="仿宋_GB2312" w:eastAsia="仿宋_GB2312" w:cs="仿宋_GB2312"/>
          <w:b/>
          <w:bCs/>
          <w:lang w:val="en-US" w:eastAsia="zh-CN"/>
        </w:rPr>
      </w:pPr>
      <w:r>
        <w:rPr>
          <w:rFonts w:hint="eastAsia" w:ascii="仿宋_GB2312" w:hAnsi="仿宋_GB2312" w:cs="仿宋_GB2312"/>
          <w:b/>
          <w:bCs/>
          <w:lang w:val="en-US" w:eastAsia="zh-CN"/>
        </w:rPr>
        <w:t>三、推动重点群体就业与多元就业形态发展</w:t>
      </w:r>
    </w:p>
    <w:p w14:paraId="631F73CD">
      <w:pPr>
        <w:bidi w:val="0"/>
        <w:rPr>
          <w:rFonts w:hint="default" w:ascii="Times New Roman" w:hAnsi="Times New Roman" w:eastAsia="仿宋_GB2312" w:cs="Times New Roman"/>
          <w:color w:val="000000"/>
          <w:kern w:val="2"/>
          <w:sz w:val="32"/>
          <w:szCs w:val="32"/>
          <w:highlight w:val="none"/>
          <w:u w:val="none"/>
          <w:lang w:val="en-US" w:eastAsia="zh-CN" w:bidi="ar-SA"/>
        </w:rPr>
      </w:pPr>
      <w:r>
        <w:rPr>
          <w:rFonts w:hint="default" w:ascii="Times New Roman" w:hAnsi="Times New Roman" w:eastAsia="仿宋_GB2312" w:cs="Times New Roman"/>
          <w:color w:val="000000"/>
          <w:kern w:val="2"/>
          <w:sz w:val="32"/>
          <w:szCs w:val="32"/>
          <w:highlight w:val="none"/>
          <w:u w:val="none"/>
          <w:lang w:val="en-US" w:eastAsia="zh-CN" w:bidi="ar-SA"/>
        </w:rPr>
        <w:t>稳定和扩大高校毕业生、农民工、退役军人等重点群体就业，推动灵活就业、新就业形态健康发展。</w:t>
      </w:r>
    </w:p>
    <w:p w14:paraId="302A664D">
      <w:pPr>
        <w:bidi w:val="0"/>
        <w:rPr>
          <w:rFonts w:hint="eastAsia" w:ascii="仿宋_GB2312" w:hAnsi="仿宋_GB2312" w:eastAsia="仿宋_GB2312" w:cs="仿宋_GB2312"/>
          <w:lang w:eastAsia="zh-CN"/>
        </w:rPr>
      </w:pPr>
      <w:r>
        <w:rPr>
          <w:rFonts w:hint="eastAsia" w:ascii="仿宋_GB2312" w:hAnsi="仿宋_GB2312" w:eastAsia="仿宋_GB2312" w:cs="仿宋_GB2312"/>
          <w:b/>
          <w:bCs/>
        </w:rPr>
        <w:t>做好重点帮扶群体就业。</w:t>
      </w:r>
      <w:r>
        <w:rPr>
          <w:rFonts w:hint="eastAsia" w:ascii="仿宋_GB2312" w:hAnsi="仿宋_GB2312" w:eastAsia="仿宋_GB2312" w:cs="仿宋_GB2312"/>
        </w:rPr>
        <w:t>实施高校毕业生群体就业创业促进计划，强化职业规划指导、岗位精准推荐、专业就业见习、职业培训等多元化服务，开发“三支一扶”岗位，切实提升就业竞争力。建立健全农民工就业服务体系，深化与用工集中地区的劳务协作机制，有序开展“点对点”包车返岗服务，同时大力支持就近就地就业和返乡创业，推进农民工市民化进程。多渠道安置退役军人就业，确保其职业顺利转型。加强失业人员就业援助，严格执行就业困难人员认定和帮扶制度，合理扩大公益性岗位兜底安置规模，重点帮扶残疾人、零就业家庭成员等特殊群体稳定就业</w:t>
      </w:r>
      <w:r>
        <w:rPr>
          <w:rFonts w:hint="eastAsia" w:ascii="仿宋_GB2312" w:hAnsi="仿宋_GB2312" w:cs="仿宋_GB2312"/>
          <w:lang w:eastAsia="zh-CN"/>
        </w:rPr>
        <w:t>。</w:t>
      </w:r>
    </w:p>
    <w:p w14:paraId="3FDD2DB1">
      <w:pPr>
        <w:bidi w:val="0"/>
        <w:rPr>
          <w:rFonts w:hint="eastAsia" w:ascii="仿宋_GB2312" w:hAnsi="仿宋_GB2312" w:eastAsia="仿宋_GB2312" w:cs="仿宋_GB2312"/>
        </w:rPr>
      </w:pPr>
      <w:r>
        <w:rPr>
          <w:rFonts w:hint="eastAsia" w:ascii="仿宋_GB2312" w:hAnsi="仿宋_GB2312" w:cs="仿宋_GB2312"/>
          <w:b/>
          <w:bCs/>
          <w:lang w:val="en-US" w:eastAsia="zh-CN"/>
        </w:rPr>
        <w:t>推动多元就业形态发展。</w:t>
      </w:r>
      <w:r>
        <w:t>建立新就业形态分类认定与动态监测机制</w:t>
      </w:r>
      <w:r>
        <w:rPr>
          <w:rFonts w:hint="default"/>
        </w:rPr>
        <w:t>，将平台用工、零工经济、共享用工、项目协作等形态纳入规范化管理轨道</w:t>
      </w:r>
      <w:r>
        <w:rPr>
          <w:rFonts w:hint="eastAsia"/>
          <w:lang w:eastAsia="zh-CN"/>
        </w:rPr>
        <w:t>。</w:t>
      </w:r>
      <w:r>
        <w:rPr>
          <w:rFonts w:hint="eastAsia" w:ascii="仿宋_GB2312" w:hAnsi="仿宋_GB2312" w:eastAsia="仿宋_GB2312" w:cs="仿宋_GB2312"/>
        </w:rPr>
        <w:t>鼓励搭建灵活就业基地，探索设立共享工位区，提供注册代办、财税代管等“一站式”服务。加大社区专职工作人员岗位供给，鼓励高校结合需求开发管理助理、教学助理、学生服务助理等辅助类工作岗位。</w:t>
      </w:r>
    </w:p>
    <w:p w14:paraId="2D69FCE8">
      <w:pPr>
        <w:bidi w:val="0"/>
        <w:rPr>
          <w:rFonts w:hint="default" w:ascii="仿宋_GB2312" w:hAnsi="仿宋_GB2312" w:eastAsia="仿宋_GB2312" w:cs="仿宋_GB2312"/>
          <w:b/>
          <w:bCs/>
          <w:lang w:val="en-US" w:eastAsia="zh-CN"/>
        </w:rPr>
      </w:pPr>
      <w:r>
        <w:rPr>
          <w:rFonts w:hint="eastAsia" w:ascii="仿宋_GB2312" w:hAnsi="仿宋_GB2312" w:cs="仿宋_GB2312"/>
          <w:b/>
          <w:bCs/>
          <w:lang w:val="en-US" w:eastAsia="zh-CN"/>
        </w:rPr>
        <w:t>四、完善就业支持与公共服务体系</w:t>
      </w:r>
    </w:p>
    <w:p w14:paraId="729C34AE">
      <w:pPr>
        <w:bidi w:val="0"/>
        <w:rPr>
          <w:rFonts w:hint="default"/>
          <w:lang w:val="en-US" w:eastAsia="zh-CN"/>
        </w:rPr>
      </w:pPr>
      <w:r>
        <w:rPr>
          <w:rFonts w:hint="default"/>
          <w:lang w:val="en-US" w:eastAsia="zh-CN"/>
        </w:rPr>
        <w:t>加大创业支持力度，完善创业带动就业保障制度，加强创业指导服务，鼓励自主创业。</w:t>
      </w:r>
    </w:p>
    <w:p w14:paraId="4CA6498B">
      <w:pPr>
        <w:bidi w:val="0"/>
        <w:rPr>
          <w:rFonts w:hint="eastAsia" w:eastAsia="仿宋_GB2312"/>
          <w:lang w:val="en-US" w:eastAsia="zh-CN"/>
        </w:rPr>
      </w:pPr>
      <w:r>
        <w:rPr>
          <w:rFonts w:hint="eastAsia" w:ascii="仿宋_GB2312" w:hAnsi="仿宋_GB2312" w:eastAsia="仿宋_GB2312" w:cs="仿宋_GB2312"/>
          <w:b/>
          <w:bCs/>
        </w:rPr>
        <w:t>提升创业带动就业能力。</w:t>
      </w:r>
      <w:r>
        <w:rPr>
          <w:rFonts w:hint="eastAsia" w:ascii="仿宋_GB2312" w:hAnsi="仿宋_GB2312" w:eastAsia="仿宋_GB2312" w:cs="仿宋_GB2312"/>
        </w:rPr>
        <w:t>健全就业创业公共服务体系，</w:t>
      </w:r>
      <w:r>
        <w:rPr>
          <w:rFonts w:hint="eastAsia" w:ascii="仿宋_GB2312" w:hAnsi="仿宋_GB2312" w:eastAsia="仿宋_GB2312" w:cs="仿宋_GB2312"/>
          <w:lang w:val="en-US" w:eastAsia="zh-CN"/>
        </w:rPr>
        <w:t>推动</w:t>
      </w:r>
      <w:r>
        <w:rPr>
          <w:rFonts w:hint="eastAsia" w:ascii="仿宋_GB2312" w:hAnsi="仿宋_GB2312" w:eastAsia="仿宋_GB2312" w:cs="仿宋_GB2312"/>
        </w:rPr>
        <w:t>经开区着力构建</w:t>
      </w:r>
      <w:r>
        <w:rPr>
          <w:rFonts w:hint="eastAsia" w:ascii="仿宋_GB2312" w:hAnsi="仿宋_GB2312" w:eastAsia="仿宋_GB2312" w:cs="仿宋_GB2312"/>
          <w:lang w:eastAsia="zh-CN"/>
        </w:rPr>
        <w:t>“</w:t>
      </w:r>
      <w:r>
        <w:rPr>
          <w:rFonts w:hint="eastAsia" w:ascii="仿宋_GB2312" w:hAnsi="仿宋_GB2312" w:eastAsia="仿宋_GB2312" w:cs="仿宋_GB2312"/>
        </w:rPr>
        <w:t>创业培训、创业服务、创业孵化、创业活动”四创联动的</w:t>
      </w:r>
      <w:r>
        <w:rPr>
          <w:rFonts w:hint="eastAsia" w:ascii="仿宋_GB2312" w:hAnsi="仿宋_GB2312" w:eastAsia="仿宋_GB2312" w:cs="仿宋_GB2312"/>
          <w:lang w:val="en-US" w:eastAsia="zh-CN"/>
        </w:rPr>
        <w:t>支撑</w:t>
      </w:r>
      <w:r>
        <w:rPr>
          <w:rFonts w:hint="eastAsia" w:ascii="仿宋_GB2312" w:hAnsi="仿宋_GB2312" w:eastAsia="仿宋_GB2312" w:cs="仿宋_GB2312"/>
        </w:rPr>
        <w:t>体系。培育双创示范基地和众创空间等创新创业公共平台，推进新型创业孵化载体服务质量提升。持续开展创业大赛，营造全社会创业创新浓厚氛围。强化部门协同、数据共享，打造“一网受理、一链办理、一次办好”的创业服务新模式。落实财政贴息、取消反担保等政策，优化创业担保贷款流程，加强纯信用贷款、创业扶持贷款等金融服务对创业就业</w:t>
      </w:r>
      <w:r>
        <w:rPr>
          <w:rFonts w:hint="eastAsia" w:ascii="仿宋_GB2312" w:hAnsi="仿宋_GB2312" w:eastAsia="仿宋_GB2312" w:cs="仿宋_GB2312"/>
          <w:lang w:eastAsia="zh-CN"/>
        </w:rPr>
        <w:t>的</w:t>
      </w:r>
      <w:r>
        <w:rPr>
          <w:rFonts w:hint="eastAsia" w:ascii="仿宋_GB2312" w:hAnsi="仿宋_GB2312" w:eastAsia="仿宋_GB2312" w:cs="仿宋_GB2312"/>
        </w:rPr>
        <w:t>支持力度</w:t>
      </w:r>
      <w:r>
        <w:rPr>
          <w:rFonts w:hint="eastAsia" w:ascii="仿宋_GB2312" w:hAnsi="仿宋_GB2312" w:cs="仿宋_GB2312"/>
          <w:lang w:eastAsia="zh-CN"/>
        </w:rPr>
        <w:t>。</w:t>
      </w:r>
    </w:p>
    <w:p w14:paraId="5F352BF9">
      <w:pPr>
        <w:bidi w:val="0"/>
        <w:rPr>
          <w:rFonts w:hint="eastAsia" w:ascii="仿宋_GB2312" w:hAnsi="仿宋_GB2312" w:eastAsia="仿宋_GB2312" w:cs="仿宋_GB2312"/>
          <w:lang w:eastAsia="zh-CN"/>
        </w:rPr>
      </w:pPr>
      <w:r>
        <w:rPr>
          <w:rFonts w:hint="eastAsia" w:ascii="仿宋_GB2312" w:hAnsi="仿宋_GB2312" w:eastAsia="仿宋_GB2312" w:cs="仿宋_GB2312"/>
          <w:b/>
          <w:bCs/>
        </w:rPr>
        <w:t>推进就业服务提质增效</w:t>
      </w:r>
      <w:r>
        <w:rPr>
          <w:rFonts w:hint="eastAsia" w:ascii="仿宋_GB2312" w:hAnsi="仿宋_GB2312" w:cs="仿宋_GB2312"/>
          <w:b/>
          <w:bCs/>
          <w:lang w:eastAsia="zh-CN"/>
        </w:rPr>
        <w:t>。</w:t>
      </w:r>
      <w:r>
        <w:rPr>
          <w:rFonts w:hint="eastAsia" w:ascii="仿宋_GB2312" w:hAnsi="仿宋_GB2312" w:eastAsia="仿宋_GB2312" w:cs="仿宋_GB2312"/>
        </w:rPr>
        <w:t>构建全市统一的“智慧就业”数字服务平台，集成岗位智能匹配、政策精准推送、技能培训报名、劳动关系咨询等功能，实现“一网通办、一键直达”</w:t>
      </w:r>
      <w:r>
        <w:rPr>
          <w:rFonts w:hint="eastAsia" w:ascii="仿宋_GB2312" w:hAnsi="仿宋_GB2312" w:eastAsia="仿宋_GB2312" w:cs="仿宋_GB2312"/>
          <w:lang w:eastAsia="zh-CN"/>
        </w:rPr>
        <w:t>，</w:t>
      </w:r>
      <w:r>
        <w:rPr>
          <w:rFonts w:hint="eastAsia" w:ascii="仿宋_GB2312" w:hAnsi="仿宋_GB2312" w:eastAsia="仿宋_GB2312" w:cs="仿宋_GB2312"/>
        </w:rPr>
        <w:t>促进供需精准对接</w:t>
      </w:r>
      <w:r>
        <w:rPr>
          <w:rFonts w:hint="eastAsia" w:ascii="仿宋_GB2312" w:hAnsi="仿宋_GB2312" w:eastAsia="仿宋_GB2312" w:cs="仿宋_GB2312"/>
          <w:lang w:eastAsia="zh-CN"/>
        </w:rPr>
        <w:t>。</w:t>
      </w:r>
      <w:r>
        <w:rPr>
          <w:rFonts w:hint="eastAsia" w:ascii="仿宋_GB2312" w:hAnsi="仿宋_GB2312" w:cs="仿宋_GB2312"/>
          <w:lang w:val="en-US" w:eastAsia="zh-CN"/>
        </w:rPr>
        <w:t>推广</w:t>
      </w:r>
      <w:r>
        <w:rPr>
          <w:rFonts w:hint="eastAsia" w:ascii="仿宋_GB2312" w:hAnsi="仿宋_GB2312" w:eastAsia="仿宋_GB2312" w:cs="仿宋_GB2312"/>
        </w:rPr>
        <w:t>“家门口”就业服务驿站模式</w:t>
      </w:r>
      <w:r>
        <w:rPr>
          <w:rFonts w:hint="default" w:ascii="仿宋_GB2312" w:hAnsi="仿宋_GB2312" w:eastAsia="仿宋_GB2312" w:cs="仿宋_GB2312"/>
        </w:rPr>
        <w:t>，依托街道（乡镇）和重点社区（村）服务点，推动职业指导、招聘对接、创业咨询等下沉基层</w:t>
      </w:r>
      <w:r>
        <w:rPr>
          <w:rFonts w:hint="eastAsia" w:ascii="仿宋_GB2312" w:hAnsi="仿宋_GB2312" w:cs="仿宋_GB2312"/>
          <w:lang w:eastAsia="zh-CN"/>
        </w:rPr>
        <w:t>。</w:t>
      </w:r>
      <w:r>
        <w:rPr>
          <w:rFonts w:hint="eastAsia" w:ascii="仿宋_GB2312" w:hAnsi="仿宋_GB2312" w:eastAsia="仿宋_GB2312" w:cs="仿宋_GB2312"/>
        </w:rPr>
        <w:t>引进和培育一批优质人力资源服务机构，高标准建设人力资源市场。</w:t>
      </w:r>
    </w:p>
    <w:p w14:paraId="0C2B8148">
      <w:pPr>
        <w:bidi w:val="0"/>
        <w:ind w:left="0" w:leftChars="0" w:firstLine="0" w:firstLineChars="0"/>
        <w:rPr>
          <w:rFonts w:hint="default"/>
          <w:lang w:val="en-US" w:eastAsia="zh-CN"/>
        </w:rPr>
      </w:pPr>
      <w:r>
        <w:rPr>
          <w:rFonts w:hint="eastAsia"/>
          <w:lang w:val="en-US" w:eastAsia="zh-CN"/>
        </w:rPr>
        <w:t xml:space="preserve">   </w:t>
      </w:r>
      <w:r>
        <w:rPr>
          <w:rFonts w:hint="eastAsia"/>
          <w:b/>
          <w:bCs/>
          <w:lang w:val="en-US" w:eastAsia="zh-CN"/>
        </w:rPr>
        <w:t xml:space="preserve"> 五、优化就业环境与政策保障体系</w:t>
      </w:r>
    </w:p>
    <w:p w14:paraId="56410446">
      <w:pPr>
        <w:keepNext w:val="0"/>
        <w:keepLines w:val="0"/>
        <w:pageBreakBefore w:val="0"/>
        <w:widowControl w:val="0"/>
        <w:kinsoku/>
        <w:wordWrap/>
        <w:overflowPunct/>
        <w:bidi w:val="0"/>
        <w:spacing w:line="600" w:lineRule="exact"/>
        <w:textAlignment w:val="auto"/>
        <w:rPr>
          <w:rFonts w:hint="default" w:ascii="Times New Roman" w:hAnsi="Times New Roman" w:eastAsia="仿宋_GB2312" w:cs="Times New Roman"/>
          <w:color w:val="000000"/>
          <w:kern w:val="2"/>
          <w:sz w:val="32"/>
          <w:szCs w:val="32"/>
          <w:highlight w:val="none"/>
          <w:u w:val="none"/>
          <w:lang w:val="en-US" w:eastAsia="zh-CN" w:bidi="ar-SA"/>
        </w:rPr>
      </w:pPr>
      <w:r>
        <w:rPr>
          <w:rFonts w:hint="default" w:ascii="Times New Roman" w:hAnsi="Times New Roman" w:eastAsia="仿宋_GB2312" w:cs="Times New Roman"/>
          <w:color w:val="000000"/>
          <w:kern w:val="2"/>
          <w:sz w:val="32"/>
          <w:szCs w:val="32"/>
          <w:highlight w:val="none"/>
          <w:u w:val="none"/>
          <w:lang w:val="en-US" w:eastAsia="zh-CN" w:bidi="ar-SA"/>
        </w:rPr>
        <w:t>深化产业工人队伍建设改革，完善劳动关系协商协调机制，加强劳动者权益保障，营造公平有序就业环境。加强就业影响评估和监测分析，分类细化政策措施，健全精准有效的就业支持体系，稳住就业基本盘。</w:t>
      </w:r>
    </w:p>
    <w:p w14:paraId="5AB32C6A">
      <w:pPr>
        <w:pStyle w:val="3"/>
        <w:bidi w:val="0"/>
        <w:rPr>
          <w:rFonts w:hint="default"/>
          <w:lang w:val="en-US" w:eastAsia="zh-CN"/>
        </w:rPr>
      </w:pPr>
      <w:bookmarkStart w:id="81" w:name="_Toc22388"/>
      <w:r>
        <w:rPr>
          <w:rFonts w:hint="eastAsia"/>
          <w:lang w:val="en-US" w:eastAsia="zh-CN"/>
        </w:rPr>
        <w:t>第二节  以分配改革驱动群众增收致富</w:t>
      </w:r>
      <w:bookmarkEnd w:id="81"/>
    </w:p>
    <w:p w14:paraId="24D61741">
      <w:pPr>
        <w:bidi w:val="0"/>
        <w:rPr>
          <w:rFonts w:hint="default"/>
          <w:lang w:val="en-US" w:eastAsia="zh-CN"/>
        </w:rPr>
      </w:pPr>
      <w:r>
        <w:rPr>
          <w:rFonts w:hint="eastAsia"/>
          <w:b/>
          <w:bCs/>
          <w:lang w:val="en-US" w:eastAsia="zh-CN"/>
        </w:rPr>
        <w:t>健全初次分配机制，强化按劳分配与要素贡献。</w:t>
      </w:r>
      <w:r>
        <w:rPr>
          <w:rFonts w:hint="default"/>
          <w:lang w:val="en-US" w:eastAsia="zh-CN"/>
        </w:rPr>
        <w:t>坚持按劳分配为主体、多种分配方式并存，健全各类要素由市场评价贡献、按贡献决定报酬的初次分配机制</w:t>
      </w:r>
      <w:r>
        <w:rPr>
          <w:rFonts w:hint="eastAsia"/>
          <w:lang w:val="en-US" w:eastAsia="zh-CN"/>
        </w:rPr>
        <w:t>。</w:t>
      </w:r>
      <w:r>
        <w:rPr>
          <w:rFonts w:hint="default"/>
          <w:lang w:val="en-US" w:eastAsia="zh-CN"/>
        </w:rPr>
        <w:t>逐步提高劳动报酬在初次分配中的比重，促进多劳者多得、技高者多得、创新者多得。完善劳动者工资决定、合理增长、支付保障机制，推行工资集体协商制度</w:t>
      </w:r>
      <w:r>
        <w:rPr>
          <w:rFonts w:hint="eastAsia"/>
          <w:lang w:val="en-US" w:eastAsia="zh-CN"/>
        </w:rPr>
        <w:t>。</w:t>
      </w:r>
      <w:r>
        <w:rPr>
          <w:rFonts w:hint="default"/>
          <w:lang w:val="en-US" w:eastAsia="zh-CN"/>
        </w:rPr>
        <w:t>健全最低工资标准调整机制，落实最低工资标准，促进工资性收入合理增长。</w:t>
      </w:r>
      <w:r>
        <w:rPr>
          <w:rFonts w:hint="eastAsia"/>
          <w:lang w:val="en-US" w:eastAsia="zh-CN"/>
        </w:rPr>
        <w:t>拓展居民收入渠道，</w:t>
      </w:r>
      <w:r>
        <w:rPr>
          <w:rFonts w:hint="default"/>
          <w:lang w:val="en-US" w:eastAsia="zh-CN"/>
        </w:rPr>
        <w:t>多渠道增加城乡居民财产性收入。</w:t>
      </w:r>
    </w:p>
    <w:p w14:paraId="7FDFC534">
      <w:pPr>
        <w:bidi w:val="0"/>
        <w:rPr>
          <w:rFonts w:hint="default"/>
          <w:lang w:val="en-US" w:eastAsia="zh-CN"/>
        </w:rPr>
      </w:pPr>
      <w:r>
        <w:rPr>
          <w:rFonts w:hint="eastAsia"/>
          <w:b/>
          <w:bCs/>
          <w:lang w:val="en-US" w:eastAsia="zh-CN"/>
        </w:rPr>
        <w:t>精准发挥再分配调节作用，筑牢公平保障底线。</w:t>
      </w:r>
      <w:r>
        <w:rPr>
          <w:rFonts w:hint="default"/>
          <w:lang w:val="en-US" w:eastAsia="zh-CN"/>
        </w:rPr>
        <w:t>落实国家税收、社会保障、转移支付等再分配调节政策</w:t>
      </w:r>
      <w:r>
        <w:rPr>
          <w:rFonts w:hint="eastAsia"/>
          <w:lang w:val="en-US" w:eastAsia="zh-CN"/>
        </w:rPr>
        <w:t>，配合推进个人所得税改革，优化财政转移支付体系，加大对农村、基层和困难群体的倾斜力度。弘扬“大爱富锦”精神，</w:t>
      </w:r>
      <w:r>
        <w:rPr>
          <w:rFonts w:hint="default"/>
          <w:lang w:val="en-US" w:eastAsia="zh-CN"/>
        </w:rPr>
        <w:t>促进和规范公益慈善事业发展</w:t>
      </w:r>
      <w:r>
        <w:rPr>
          <w:rFonts w:hint="eastAsia"/>
          <w:lang w:val="en-US" w:eastAsia="zh-CN"/>
        </w:rPr>
        <w:t>，落实公益性捐赠税收优惠政策，鼓励引导企业、社会组织和高收入人群投身慈善事业，发挥第三次分配在改善民生、促进和谐中的补充作用</w:t>
      </w:r>
      <w:r>
        <w:rPr>
          <w:rFonts w:hint="default"/>
          <w:lang w:val="en-US" w:eastAsia="zh-CN"/>
        </w:rPr>
        <w:t>。</w:t>
      </w:r>
    </w:p>
    <w:p w14:paraId="72EC7A7C">
      <w:pPr>
        <w:bidi w:val="0"/>
        <w:rPr>
          <w:rFonts w:hint="default"/>
          <w:lang w:val="en-US" w:eastAsia="zh-CN"/>
        </w:rPr>
      </w:pPr>
      <w:r>
        <w:rPr>
          <w:rFonts w:hint="eastAsia"/>
          <w:b/>
          <w:bCs/>
          <w:lang w:val="en-US" w:eastAsia="zh-CN"/>
        </w:rPr>
        <w:t>弘扬勤劳创新致富，营造健康有序分配环境。</w:t>
      </w:r>
      <w:r>
        <w:rPr>
          <w:rFonts w:hint="eastAsia" w:ascii="仿宋_GB2312" w:hAnsi="仿宋_GB2312" w:eastAsia="仿宋_GB2312" w:cs="仿宋_GB2312"/>
          <w:lang w:val="en-US" w:eastAsia="zh-CN"/>
        </w:rPr>
        <w:t>积极倡导“</w:t>
      </w:r>
      <w:r>
        <w:rPr>
          <w:rFonts w:hint="eastAsia" w:ascii="仿宋_GB2312" w:hAnsi="仿宋_GB2312" w:cs="仿宋_GB2312"/>
          <w:lang w:val="en-US" w:eastAsia="zh-CN"/>
        </w:rPr>
        <w:t>幸福源自奋斗</w:t>
      </w:r>
      <w:r>
        <w:rPr>
          <w:rFonts w:hint="eastAsia" w:ascii="仿宋_GB2312" w:hAnsi="仿宋_GB2312" w:eastAsia="仿宋_GB2312" w:cs="仿宋_GB2312"/>
          <w:lang w:val="en-US" w:eastAsia="zh-CN"/>
        </w:rPr>
        <w:t>”的价值理念，</w:t>
      </w:r>
      <w:r>
        <w:rPr>
          <w:rFonts w:hint="default"/>
          <w:lang w:val="en-US" w:eastAsia="zh-CN"/>
        </w:rPr>
        <w:t>支持勤劳创新合法致富，依法保护各类市场主体的合法财产和收入。鼓励先富带后富促共富</w:t>
      </w:r>
      <w:r>
        <w:rPr>
          <w:rFonts w:hint="eastAsia"/>
          <w:lang w:val="en-US" w:eastAsia="zh-CN"/>
        </w:rPr>
        <w:t>，</w:t>
      </w:r>
      <w:r>
        <w:rPr>
          <w:rFonts w:hint="default"/>
          <w:lang w:val="en-US" w:eastAsia="zh-CN"/>
        </w:rPr>
        <w:t>探索建立先富群体通过产业联动、技术帮扶、就业带动、公益捐赠等多种形式回报社会的有效机制。</w:t>
      </w:r>
      <w:r>
        <w:rPr>
          <w:rFonts w:hint="eastAsia"/>
          <w:lang w:val="en-US" w:eastAsia="zh-CN"/>
        </w:rPr>
        <w:t>坚决</w:t>
      </w:r>
      <w:r>
        <w:rPr>
          <w:rFonts w:hint="default"/>
          <w:lang w:val="en-US" w:eastAsia="zh-CN"/>
        </w:rPr>
        <w:t>取缔非法收入，营造公平竞争、守法经营的市场经济环境。</w:t>
      </w:r>
    </w:p>
    <w:p w14:paraId="2A553B41">
      <w:pPr>
        <w:bidi w:val="0"/>
        <w:rPr>
          <w:rFonts w:hint="default"/>
          <w:lang w:val="en-US" w:eastAsia="zh-CN"/>
        </w:rPr>
      </w:pPr>
      <w:r>
        <w:rPr>
          <w:rFonts w:hint="eastAsia"/>
          <w:b/>
          <w:bCs/>
          <w:lang w:val="en-US" w:eastAsia="zh-CN"/>
        </w:rPr>
        <w:t>实施增收行动计划，优化社会收入分配格局。</w:t>
      </w:r>
      <w:r>
        <w:rPr>
          <w:rFonts w:hint="default"/>
          <w:lang w:val="en-US" w:eastAsia="zh-CN"/>
        </w:rPr>
        <w:t>推进城乡居民增收计划，</w:t>
      </w:r>
      <w:r>
        <w:rPr>
          <w:rFonts w:hint="eastAsia"/>
          <w:lang w:val="en-US" w:eastAsia="zh-CN"/>
        </w:rPr>
        <w:t>实施差别化收入激励政策。</w:t>
      </w:r>
      <w:r>
        <w:rPr>
          <w:rFonts w:hint="default"/>
          <w:lang w:val="en-US" w:eastAsia="zh-CN"/>
        </w:rPr>
        <w:t>有效增加低收入群体收入，稳步扩大中等收入群体规模，合理调节过高收入</w:t>
      </w:r>
      <w:r>
        <w:rPr>
          <w:rFonts w:hint="eastAsia"/>
          <w:lang w:val="en-US" w:eastAsia="zh-CN"/>
        </w:rPr>
        <w:t>。多措并举推动全市社会收入分配结构持续优化，</w:t>
      </w:r>
      <w:r>
        <w:rPr>
          <w:rFonts w:hint="default"/>
          <w:lang w:val="en-US" w:eastAsia="zh-CN"/>
        </w:rPr>
        <w:t>推动形成橄榄型分配格局</w:t>
      </w:r>
      <w:r>
        <w:rPr>
          <w:rFonts w:hint="eastAsia"/>
          <w:lang w:val="en-US" w:eastAsia="zh-CN"/>
        </w:rPr>
        <w:t>，为全市经济社会高质量发展奠定坚实基础。</w:t>
      </w:r>
    </w:p>
    <w:p w14:paraId="13988B1B">
      <w:pPr>
        <w:pStyle w:val="3"/>
        <w:bidi w:val="0"/>
        <w:rPr>
          <w:rFonts w:hint="default"/>
          <w:highlight w:val="none"/>
          <w:lang w:val="en-US" w:eastAsia="zh-CN"/>
        </w:rPr>
      </w:pPr>
      <w:bookmarkStart w:id="82" w:name="_Toc28151"/>
      <w:r>
        <w:rPr>
          <w:rFonts w:hint="eastAsia"/>
          <w:highlight w:val="none"/>
          <w:lang w:val="en-US" w:eastAsia="zh-CN"/>
        </w:rPr>
        <w:t>第三节  全力办好人民满意教育</w:t>
      </w:r>
      <w:bookmarkEnd w:id="82"/>
    </w:p>
    <w:p w14:paraId="492E3406">
      <w:pPr>
        <w:bidi w:val="0"/>
        <w:rPr>
          <w:rFonts w:hint="default"/>
          <w:b/>
          <w:bCs/>
          <w:sz w:val="32"/>
          <w:szCs w:val="32"/>
          <w:highlight w:val="none"/>
          <w:lang w:val="en-US" w:eastAsia="zh-CN"/>
        </w:rPr>
      </w:pPr>
      <w:r>
        <w:rPr>
          <w:rFonts w:hint="eastAsia"/>
          <w:b/>
          <w:bCs/>
          <w:sz w:val="32"/>
          <w:szCs w:val="32"/>
          <w:highlight w:val="none"/>
          <w:lang w:val="en-US" w:eastAsia="zh-CN"/>
        </w:rPr>
        <w:t>一、</w:t>
      </w:r>
      <w:r>
        <w:rPr>
          <w:rFonts w:hint="default" w:ascii="Times New Roman" w:hAnsi="Times New Roman" w:eastAsia="仿宋_GB2312" w:cs="Times New Roman"/>
          <w:b/>
          <w:bCs/>
          <w:color w:val="000000"/>
          <w:kern w:val="2"/>
          <w:sz w:val="32"/>
          <w:szCs w:val="32"/>
          <w:highlight w:val="none"/>
          <w:u w:val="none"/>
          <w:lang w:val="en-US" w:eastAsia="zh-CN" w:bidi="ar-SA"/>
        </w:rPr>
        <w:t>实施新时代立德树人工程</w:t>
      </w:r>
    </w:p>
    <w:p w14:paraId="2C341322">
      <w:pPr>
        <w:bidi w:val="0"/>
        <w:ind w:left="0" w:leftChars="0" w:firstLine="640" w:firstLineChars="200"/>
        <w:rPr>
          <w:rFonts w:hint="eastAsia" w:ascii="仿宋_GB2312" w:hAnsi="仿宋_GB2312" w:eastAsia="仿宋_GB2312" w:cs="仿宋_GB2312"/>
          <w:sz w:val="32"/>
          <w:szCs w:val="32"/>
          <w:lang w:val="en-US" w:eastAsia="zh-CN"/>
        </w:rPr>
      </w:pPr>
      <w:r>
        <w:rPr>
          <w:rFonts w:hint="default" w:ascii="Times New Roman" w:hAnsi="Times New Roman" w:eastAsia="仿宋_GB2312" w:cs="Times New Roman"/>
          <w:color w:val="000000"/>
          <w:kern w:val="2"/>
          <w:sz w:val="32"/>
          <w:szCs w:val="32"/>
          <w:u w:val="none"/>
          <w:lang w:val="en-US" w:eastAsia="zh-CN" w:bidi="ar-SA"/>
        </w:rPr>
        <w:t>促进思政课堂和社会课堂有效融合，加强体育、美育、劳动教育，完善教育评价体系</w:t>
      </w:r>
      <w:r>
        <w:rPr>
          <w:rFonts w:hint="eastAsia" w:ascii="Times New Roman" w:hAnsi="Times New Roman" w:cs="Times New Roman"/>
          <w:color w:val="000000"/>
          <w:kern w:val="2"/>
          <w:sz w:val="32"/>
          <w:szCs w:val="32"/>
          <w:u w:val="none"/>
          <w:lang w:val="en-US" w:eastAsia="zh-CN" w:bidi="ar-SA"/>
        </w:rPr>
        <w:t>，</w:t>
      </w:r>
      <w:r>
        <w:rPr>
          <w:rFonts w:hint="default" w:ascii="Times New Roman" w:hAnsi="Times New Roman" w:eastAsia="仿宋_GB2312" w:cs="Times New Roman"/>
          <w:color w:val="000000"/>
          <w:kern w:val="2"/>
          <w:sz w:val="32"/>
          <w:szCs w:val="32"/>
          <w:u w:val="none"/>
          <w:lang w:val="en-US" w:eastAsia="zh-CN" w:bidi="ar-SA"/>
        </w:rPr>
        <w:t>健全学校家庭社会协同育人机制。</w:t>
      </w:r>
      <w:r>
        <w:rPr>
          <w:rFonts w:hint="eastAsia" w:ascii="仿宋_GB2312" w:hAnsi="仿宋_GB2312" w:eastAsia="仿宋_GB2312" w:cs="仿宋_GB2312"/>
          <w:sz w:val="32"/>
          <w:szCs w:val="32"/>
          <w:lang w:val="en-US" w:eastAsia="zh-CN"/>
        </w:rPr>
        <w:t>全面加强党对教育工作的领导，强化</w:t>
      </w:r>
      <w:r>
        <w:rPr>
          <w:rFonts w:hint="eastAsia" w:ascii="仿宋_GB2312" w:hAnsi="仿宋_GB2312" w:cs="仿宋_GB2312"/>
          <w:sz w:val="32"/>
          <w:szCs w:val="32"/>
          <w:lang w:val="en-US" w:eastAsia="zh-CN"/>
        </w:rPr>
        <w:t>为党育人、为国育才</w:t>
      </w:r>
      <w:r>
        <w:rPr>
          <w:rFonts w:hint="eastAsia" w:ascii="仿宋_GB2312" w:hAnsi="仿宋_GB2312" w:eastAsia="仿宋_GB2312" w:cs="仿宋_GB2312"/>
          <w:sz w:val="32"/>
          <w:szCs w:val="32"/>
          <w:lang w:val="en-US" w:eastAsia="zh-CN"/>
        </w:rPr>
        <w:t>”责任感和使命感。强化党建引领，筑牢思想根基。加强基层党组织建设，深化能力作风和党风廉政建设。推动教育观念转变。坚持育人为本、德育为先，把立德树人作为教育的根本任务，更加注重学生道德品质、行为规范和人格精神的塑造。完善中小学思政课一体化建设模式，提升思政课针对性、时效性，促进思政课堂和社会课堂有效融合，构建全面立体的德育格局。</w:t>
      </w:r>
      <w:r>
        <w:rPr>
          <w:rFonts w:hint="eastAsia" w:ascii="仿宋_GB2312" w:hAnsi="仿宋_GB2312" w:eastAsia="仿宋_GB2312" w:cs="仿宋_GB2312"/>
          <w:sz w:val="32"/>
          <w:szCs w:val="32"/>
        </w:rPr>
        <w:t>深入实施素质教育，</w:t>
      </w:r>
      <w:r>
        <w:rPr>
          <w:rFonts w:hint="eastAsia" w:ascii="仿宋_GB2312" w:hAnsi="仿宋_GB2312" w:eastAsia="仿宋_GB2312" w:cs="仿宋_GB2312"/>
          <w:sz w:val="32"/>
          <w:szCs w:val="32"/>
          <w:lang w:val="en-US" w:eastAsia="zh-CN"/>
        </w:rPr>
        <w:t>实施学生体质强健计划，</w:t>
      </w:r>
      <w:r>
        <w:rPr>
          <w:rFonts w:hint="eastAsia" w:ascii="仿宋_GB2312" w:hAnsi="仿宋_GB2312" w:eastAsia="仿宋_GB2312" w:cs="仿宋_GB2312"/>
          <w:sz w:val="32"/>
          <w:szCs w:val="32"/>
        </w:rPr>
        <w:t>加快补齐体育、美育</w:t>
      </w:r>
      <w:r>
        <w:rPr>
          <w:rFonts w:hint="eastAsia" w:ascii="仿宋_GB2312" w:hAnsi="仿宋_GB2312" w:eastAsia="仿宋_GB2312" w:cs="仿宋_GB2312"/>
          <w:sz w:val="32"/>
          <w:szCs w:val="32"/>
          <w:lang w:val="en-US" w:eastAsia="zh-CN"/>
        </w:rPr>
        <w:t>和</w:t>
      </w:r>
      <w:r>
        <w:rPr>
          <w:rFonts w:hint="eastAsia" w:ascii="仿宋_GB2312" w:hAnsi="仿宋_GB2312" w:eastAsia="仿宋_GB2312" w:cs="仿宋_GB2312"/>
          <w:sz w:val="32"/>
          <w:szCs w:val="32"/>
        </w:rPr>
        <w:t>劳动教育短板</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健全德智体美劳全面培养体系。</w:t>
      </w:r>
    </w:p>
    <w:p w14:paraId="0F438A6D">
      <w:pPr>
        <w:numPr>
          <w:ilvl w:val="0"/>
          <w:numId w:val="0"/>
        </w:numPr>
        <w:bidi w:val="0"/>
        <w:ind w:left="0" w:leftChars="0" w:firstLine="643" w:firstLineChars="200"/>
        <w:rPr>
          <w:rFonts w:hint="eastAsia" w:ascii="仿宋_GB2312" w:hAnsi="仿宋_GB2312" w:cs="仿宋_GB2312"/>
          <w:b/>
          <w:bCs/>
          <w:lang w:val="en-US" w:eastAsia="zh-CN"/>
        </w:rPr>
      </w:pPr>
      <w:r>
        <w:rPr>
          <w:rFonts w:hint="eastAsia" w:ascii="仿宋_GB2312" w:hAnsi="仿宋_GB2312" w:eastAsia="仿宋_GB2312" w:cs="仿宋_GB2312"/>
          <w:b/>
          <w:bCs/>
          <w:kern w:val="2"/>
          <w:sz w:val="32"/>
          <w:szCs w:val="24"/>
          <w:lang w:val="en-US" w:eastAsia="zh-CN" w:bidi="ar-SA"/>
        </w:rPr>
        <w:t>二、</w:t>
      </w:r>
      <w:r>
        <w:rPr>
          <w:rFonts w:hint="eastAsia" w:ascii="仿宋_GB2312" w:hAnsi="仿宋_GB2312" w:cs="仿宋_GB2312"/>
          <w:b/>
          <w:bCs/>
          <w:lang w:val="en-US" w:eastAsia="zh-CN"/>
        </w:rPr>
        <w:t>推进城乡基础教育一体化</w:t>
      </w:r>
    </w:p>
    <w:p w14:paraId="3803161D">
      <w:pPr>
        <w:bidi w:val="0"/>
        <w:rPr>
          <w:rFonts w:hint="default"/>
          <w:lang w:val="en-US" w:eastAsia="zh-CN"/>
        </w:rPr>
      </w:pPr>
      <w:r>
        <w:rPr>
          <w:rFonts w:hint="default"/>
          <w:lang w:val="en-US" w:eastAsia="zh-CN"/>
        </w:rPr>
        <w:t>健全与人口变化相适应的教育资源配置机制，促进区域基础教育教师队伍结构均衡，稳步扩大免费教育范围。推动基础教育扩优提质，统筹义务教育优质均衡发展、学前教育优质普惠发展、高中阶段学校多样化特色化发展，办好特殊教育，健全残疾学生资助体系。</w:t>
      </w:r>
    </w:p>
    <w:p w14:paraId="51058AFC">
      <w:pPr>
        <w:bidi w:val="0"/>
        <w:rPr>
          <w:rFonts w:hint="eastAsia" w:ascii="仿宋_GB2312" w:hAnsi="仿宋_GB2312" w:eastAsia="仿宋_GB2312" w:cs="仿宋_GB2312"/>
          <w:lang w:val="en-US" w:eastAsia="zh-CN"/>
        </w:rPr>
      </w:pPr>
      <w:r>
        <w:rPr>
          <w:rFonts w:hint="eastAsia" w:ascii="仿宋_GB2312" w:hAnsi="仿宋_GB2312" w:eastAsia="仿宋_GB2312" w:cs="仿宋_GB2312"/>
          <w:b/>
          <w:bCs/>
          <w:lang w:val="en-US" w:eastAsia="zh-CN"/>
        </w:rPr>
        <w:t>实施学前教育普惠优质工程。</w:t>
      </w:r>
      <w:r>
        <w:rPr>
          <w:rFonts w:hint="eastAsia" w:ascii="仿宋_GB2312" w:hAnsi="仿宋_GB2312" w:eastAsia="仿宋_GB2312" w:cs="仿宋_GB2312"/>
          <w:lang w:val="en-US" w:eastAsia="zh-CN"/>
        </w:rPr>
        <w:t>扩大普惠性学前教育资源供给。新建公办幼儿园1所，新增学位360个，解决“入公办园难”问题。完善普惠性民办园认定标准和扶持政策，确保普惠性幼儿园覆盖率达到90%以上。提升学前教育保教质量。创建省一类幼儿园1所。加强幼儿教师队伍建设，幼儿教师持证上岗率达到100%。加强幼儿园安全管理和卫生保健工作。完善学前教育保障机制。对家庭经济困难儿童、孤儿和残疾儿童给予资助。</w:t>
      </w:r>
    </w:p>
    <w:p w14:paraId="333BE84C">
      <w:pPr>
        <w:bidi w:val="0"/>
        <w:rPr>
          <w:rFonts w:hint="eastAsia" w:ascii="仿宋_GB2312" w:hAnsi="仿宋_GB2312" w:eastAsia="仿宋_GB2312" w:cs="仿宋_GB2312"/>
          <w:lang w:val="en-US" w:eastAsia="zh-CN"/>
        </w:rPr>
      </w:pPr>
      <w:r>
        <w:rPr>
          <w:rFonts w:hint="eastAsia" w:ascii="仿宋_GB2312" w:hAnsi="仿宋_GB2312" w:eastAsia="仿宋_GB2312" w:cs="仿宋_GB2312"/>
          <w:b/>
          <w:bCs/>
          <w:lang w:val="en-US" w:eastAsia="zh-CN"/>
        </w:rPr>
        <w:t>推进义务教育优质均衡工程。</w:t>
      </w:r>
      <w:r>
        <w:rPr>
          <w:rFonts w:hint="eastAsia" w:ascii="仿宋_GB2312" w:hAnsi="仿宋_GB2312" w:eastAsia="仿宋_GB2312" w:cs="仿宋_GB2312"/>
          <w:lang w:val="en-US" w:eastAsia="zh-CN"/>
        </w:rPr>
        <w:t>持续改善义务教育办学条件。义务教育学校在资源配置、政府保障程度、教育质量等方面全面达到国家县域义务教育优质均衡县评估验收标准。深化义务教育综合改革。建立10所教研基地校。完善课后服务体系，课后服务覆盖率达到100%。全面提升义务教育质量。推进习近平新时代中国特色社会主义思想进教材、进课堂、进头脑。全面开展学生体质健康促进行动，严格执行每天综合体育活动不低于2小时的要求，到2030年体质健康优良率明显提升。系统推进美育浸润行动，充分发挥艺术课程主渠道作用，深入挖掘地方美育资源。加强中小学生心理健康教育，</w:t>
      </w:r>
      <w:r>
        <w:rPr>
          <w:rFonts w:hint="eastAsia" w:ascii="仿宋_GB2312" w:hAnsi="仿宋_GB2312" w:cs="仿宋_GB2312"/>
          <w:lang w:val="en-US" w:eastAsia="zh-CN"/>
        </w:rPr>
        <w:t>加大对中小学心理健康教育专职教师的配备力度，</w:t>
      </w:r>
      <w:r>
        <w:rPr>
          <w:rFonts w:hint="eastAsia" w:ascii="仿宋_GB2312" w:hAnsi="仿宋_GB2312" w:eastAsia="仿宋_GB2312" w:cs="仿宋_GB2312"/>
          <w:lang w:val="en-US" w:eastAsia="zh-CN"/>
        </w:rPr>
        <w:t>实现中小学心理辅导室全覆盖，推进抑郁症筛查，形成“预防一干预一转介”全链条心理支持体系。保障特殊群体受教育权利。做好随迁子女义务教育工作，确保符合条件的随迁子女在公办学校就读比例达到100%。建立留守儿童档案和帮扶制度，保障残疾儿童少年受教育权利，残疾儿童少年义务教育入学率达到97%以上。</w:t>
      </w:r>
    </w:p>
    <w:p w14:paraId="558B402A">
      <w:pPr>
        <w:bidi w:val="0"/>
        <w:rPr>
          <w:rFonts w:hint="eastAsia" w:ascii="仿宋_GB2312" w:hAnsi="仿宋_GB2312" w:eastAsia="仿宋_GB2312" w:cs="仿宋_GB2312"/>
          <w:lang w:val="en-US" w:eastAsia="zh-CN"/>
        </w:rPr>
      </w:pPr>
      <w:r>
        <w:rPr>
          <w:rFonts w:hint="eastAsia" w:ascii="仿宋_GB2312" w:hAnsi="仿宋_GB2312" w:eastAsia="仿宋_GB2312" w:cs="仿宋_GB2312"/>
          <w:b/>
          <w:bCs/>
          <w:lang w:val="en-US" w:eastAsia="zh-CN"/>
        </w:rPr>
        <w:t>推动高中教育高质量发展。</w:t>
      </w:r>
      <w:r>
        <w:rPr>
          <w:rFonts w:hint="eastAsia" w:ascii="仿宋_GB2312" w:hAnsi="仿宋_GB2312" w:eastAsia="仿宋_GB2312" w:cs="仿宋_GB2312"/>
          <w:lang w:val="en-US" w:eastAsia="zh-CN"/>
        </w:rPr>
        <w:t>改善高中阶段教育办学条件，增加优质高中招生占比。推动普通高中多样化发展，支持学校立足自身传统和优势，形成办学特色。提升教育教学质量，加强教学研究和教师培训，高考本科上线率突破85%，建成1所省级特色示范高中。健全教师培训体系，提高教师待遇，吸引优秀人才长期从教，提高研究生学历教师比例。加强学校自主管理，落实学校办学自主权。强化教育教学督导，规范办学行为，提高治理水平。</w:t>
      </w:r>
    </w:p>
    <w:p w14:paraId="0477058B">
      <w:pPr>
        <w:bidi w:val="0"/>
        <w:rPr>
          <w:rFonts w:hint="eastAsia" w:ascii="仿宋_GB2312" w:hAnsi="仿宋_GB2312" w:eastAsia="仿宋_GB2312" w:cs="仿宋_GB2312"/>
          <w:lang w:val="en-US" w:eastAsia="zh-CN"/>
        </w:rPr>
      </w:pPr>
      <w:r>
        <w:rPr>
          <w:rFonts w:hint="eastAsia" w:ascii="仿宋_GB2312" w:hAnsi="仿宋_GB2312" w:eastAsia="仿宋_GB2312" w:cs="仿宋_GB2312"/>
          <w:b/>
          <w:bCs/>
          <w:lang w:val="en-US" w:eastAsia="zh-CN"/>
        </w:rPr>
        <w:t>推进特殊教育优质融合发展。</w:t>
      </w:r>
      <w:r>
        <w:rPr>
          <w:rFonts w:hint="eastAsia" w:ascii="仿宋_GB2312" w:hAnsi="仿宋_GB2312" w:eastAsia="仿宋_GB2312" w:cs="仿宋_GB2312"/>
          <w:lang w:val="en-US" w:eastAsia="zh-CN"/>
        </w:rPr>
        <w:t>完善特殊教育体系。建设标准化特殊教育学校，发展非义务教育阶段特殊教育，发展以职业教育为主的高中阶段特殊教育。提高特殊教育质量。健全残疾儿童入学评估机制，推进差异化和个性化教学。配齐配足特殊教育教师。健全特殊教育保障机制。健全残疾学生资助体系，实现从学前教育到高中阶段教育全覆盖。</w:t>
      </w:r>
    </w:p>
    <w:p w14:paraId="401FA590">
      <w:pPr>
        <w:bidi w:val="0"/>
        <w:rPr>
          <w:rFonts w:hint="eastAsia" w:ascii="仿宋_GB2312" w:hAnsi="仿宋_GB2312" w:eastAsia="仿宋_GB2312" w:cs="仿宋_GB2312"/>
          <w:lang w:val="en-US" w:eastAsia="zh-CN"/>
        </w:rPr>
      </w:pPr>
      <w:r>
        <w:rPr>
          <w:rFonts w:hint="eastAsia" w:ascii="仿宋_GB2312" w:hAnsi="仿宋_GB2312" w:eastAsia="仿宋_GB2312" w:cs="仿宋_GB2312"/>
          <w:b/>
          <w:bCs/>
          <w:lang w:val="en-US" w:eastAsia="zh-CN"/>
        </w:rPr>
        <w:t>着力推动教育数字化转型。</w:t>
      </w:r>
      <w:r>
        <w:rPr>
          <w:rFonts w:hint="default" w:ascii="Times New Roman" w:hAnsi="Times New Roman" w:eastAsia="仿宋_GB2312" w:cs="Times New Roman"/>
          <w:color w:val="000000"/>
          <w:kern w:val="2"/>
          <w:sz w:val="32"/>
          <w:szCs w:val="32"/>
          <w:u w:val="none"/>
          <w:lang w:val="en-US" w:eastAsia="zh-CN" w:bidi="ar-SA"/>
        </w:rPr>
        <w:t>加快教育信息化基础设施建设，推进人工智能与教育融合</w:t>
      </w:r>
      <w:r>
        <w:rPr>
          <w:rFonts w:hint="eastAsia" w:ascii="Times New Roman" w:hAnsi="Times New Roman" w:cs="Times New Roman"/>
          <w:color w:val="000000"/>
          <w:kern w:val="2"/>
          <w:sz w:val="32"/>
          <w:szCs w:val="32"/>
          <w:u w:val="none"/>
          <w:lang w:val="en-US" w:eastAsia="zh-CN" w:bidi="ar-SA"/>
        </w:rPr>
        <w:t>。</w:t>
      </w:r>
      <w:r>
        <w:rPr>
          <w:rFonts w:hint="eastAsia" w:ascii="仿宋_GB2312" w:hAnsi="仿宋_GB2312" w:eastAsia="仿宋_GB2312" w:cs="仿宋_GB2312"/>
          <w:lang w:val="en-US" w:eastAsia="zh-CN"/>
        </w:rPr>
        <w:t>建设智慧教育新基建，推进教育专网建设，准时对接佳木斯市教育网，优化网络枢纽并推进IPv6改造</w:t>
      </w:r>
      <w:r>
        <w:rPr>
          <w:rFonts w:hint="eastAsia" w:ascii="仿宋_GB2312" w:hAnsi="仿宋_GB2312" w:cs="仿宋_GB2312"/>
          <w:lang w:val="en-US" w:eastAsia="zh-CN"/>
        </w:rPr>
        <w:t>；</w:t>
      </w:r>
      <w:r>
        <w:rPr>
          <w:rFonts w:hint="eastAsia" w:ascii="仿宋_GB2312" w:hAnsi="仿宋_GB2312" w:eastAsia="仿宋_GB2312" w:cs="仿宋_GB2312"/>
          <w:lang w:val="en-US" w:eastAsia="zh-CN"/>
        </w:rPr>
        <w:t>加大数字终端与设施投入，争取资金更新学校教学终端，实现教室智能大屏、学生添加智能终端，同步升级科研设施与公共设施</w:t>
      </w:r>
      <w:r>
        <w:rPr>
          <w:rFonts w:hint="eastAsia" w:ascii="仿宋_GB2312" w:hAnsi="仿宋_GB2312" w:cs="仿宋_GB2312"/>
          <w:lang w:val="en-US" w:eastAsia="zh-CN"/>
        </w:rPr>
        <w:t>；</w:t>
      </w:r>
      <w:r>
        <w:rPr>
          <w:rFonts w:hint="eastAsia" w:ascii="仿宋_GB2312" w:hAnsi="仿宋_GB2312" w:eastAsia="仿宋_GB2312" w:cs="仿宋_GB2312"/>
          <w:lang w:val="en-US" w:eastAsia="zh-CN"/>
        </w:rPr>
        <w:t>升级传统基础设施，促进优质资源共享，打造“三个课堂”平台，健全资源审核机制，开发地方特色资源，增强数字资源服务能力。深化智慧校园建设，升级智慧校园，探索数字化教学模式。提升师生数字素养，将数字素养纳入教师资格认定标准，完成教师全员轮训，开设学生信息素养课程，培养数字化学习能力。</w:t>
      </w:r>
    </w:p>
    <w:p w14:paraId="72D4278E">
      <w:pPr>
        <w:bidi w:val="0"/>
        <w:rPr>
          <w:rFonts w:hint="eastAsia" w:ascii="仿宋_GB2312" w:hAnsi="仿宋_GB2312" w:eastAsia="仿宋_GB2312" w:cs="仿宋_GB2312"/>
          <w:lang w:val="en-US" w:eastAsia="zh-CN"/>
        </w:rPr>
      </w:pPr>
      <w:r>
        <w:rPr>
          <w:rFonts w:hint="eastAsia" w:ascii="仿宋_GB2312" w:hAnsi="仿宋_GB2312" w:eastAsia="仿宋_GB2312" w:cs="仿宋_GB2312"/>
          <w:b/>
          <w:bCs/>
          <w:lang w:val="en-US" w:eastAsia="zh-CN"/>
        </w:rPr>
        <w:t>建强教师队伍夯实育人根基。</w:t>
      </w:r>
      <w:r>
        <w:rPr>
          <w:rFonts w:hint="default" w:ascii="Times New Roman" w:hAnsi="Times New Roman" w:eastAsia="仿宋_GB2312" w:cs="Times New Roman"/>
          <w:color w:val="000000"/>
          <w:kern w:val="2"/>
          <w:sz w:val="32"/>
          <w:szCs w:val="32"/>
          <w:u w:val="none"/>
          <w:lang w:val="en-US" w:eastAsia="zh-CN" w:bidi="ar-SA"/>
        </w:rPr>
        <w:t>弘扬教育家精神，培养造就高水平教师队伍，健全高质量教师教育体系，强化教师待遇保障。</w:t>
      </w:r>
      <w:r>
        <w:rPr>
          <w:rFonts w:hint="eastAsia" w:ascii="仿宋_GB2312" w:hAnsi="仿宋_GB2312" w:eastAsia="仿宋_GB2312" w:cs="仿宋_GB2312"/>
          <w:lang w:val="en-US" w:eastAsia="zh-CN"/>
        </w:rPr>
        <w:t>优化教师资源配置，建立编制动态调整机制，五年内重点补充紧缺学科教师150名。加大教师交流轮岗力度，每年交流教师比例不低于符合交流条件教师的10%。提升教师专业素质，五年内完成一轮全员培训。加强骨干教师培养，建设5</w:t>
      </w:r>
      <w:r>
        <w:rPr>
          <w:rFonts w:hint="eastAsia" w:ascii="仿宋_GB2312" w:hAnsi="仿宋_GB2312" w:cs="仿宋_GB2312"/>
          <w:lang w:val="en-US" w:eastAsia="zh-CN"/>
        </w:rPr>
        <w:t>—</w:t>
      </w:r>
      <w:r>
        <w:rPr>
          <w:rFonts w:hint="eastAsia" w:ascii="仿宋_GB2312" w:hAnsi="仿宋_GB2312" w:eastAsia="仿宋_GB2312" w:cs="仿宋_GB2312"/>
          <w:lang w:val="en-US" w:eastAsia="zh-CN"/>
        </w:rPr>
        <w:t>10个名师工作室，培养</w:t>
      </w:r>
      <w:r>
        <w:rPr>
          <w:rFonts w:hint="eastAsia" w:ascii="仿宋_GB2312" w:hAnsi="仿宋_GB2312" w:cs="仿宋_GB2312"/>
          <w:lang w:val="en-US" w:eastAsia="zh-CN"/>
        </w:rPr>
        <w:t>至少200名市级</w:t>
      </w:r>
      <w:r>
        <w:rPr>
          <w:rFonts w:hint="eastAsia" w:ascii="仿宋_GB2312" w:hAnsi="仿宋_GB2312" w:eastAsia="仿宋_GB2312" w:cs="仿宋_GB2312"/>
          <w:lang w:val="en-US" w:eastAsia="zh-CN"/>
        </w:rPr>
        <w:t>骨干教师。完善教师管理制度，优化教师考核评价制度，突出教育教学实绩。严肃查处师德失范行为，将师德师风作为评价教师素质的第一标准。</w:t>
      </w:r>
    </w:p>
    <w:p w14:paraId="5E91FB12">
      <w:pPr>
        <w:bidi w:val="0"/>
        <w:rPr>
          <w:rFonts w:hint="eastAsia" w:ascii="仿宋_GB2312" w:hAnsi="仿宋_GB2312" w:eastAsia="仿宋_GB2312" w:cs="仿宋_GB2312"/>
        </w:rPr>
      </w:pPr>
      <w:r>
        <w:rPr>
          <w:rFonts w:hint="eastAsia" w:ascii="仿宋_GB2312" w:hAnsi="仿宋_GB2312" w:eastAsia="仿宋_GB2312" w:cs="仿宋_GB2312"/>
          <w:b/>
          <w:bCs/>
          <w:lang w:val="en-US" w:eastAsia="zh-CN"/>
        </w:rPr>
        <w:t>深化基础教育领域综合改革。</w:t>
      </w:r>
      <w:r>
        <w:rPr>
          <w:rFonts w:hint="eastAsia" w:ascii="仿宋_GB2312" w:hAnsi="仿宋_GB2312" w:eastAsia="仿宋_GB2312" w:cs="仿宋_GB2312"/>
          <w:lang w:val="en-US" w:eastAsia="zh-CN"/>
        </w:rPr>
        <w:t>进一步优化教育布局，建立适应人口变化的基础教育资源调配机制，坚持一校一案，完善基础教育布局优化调整规划。大力发展公办园、规范民办园，形成覆盖城乡、公平优质、多元发展的学前教育体系。常态化开展义务教育学校常规工作监督检查，健全完善义务教育经费保障机制和质量监测体系，加快实施校舍安全、薄弱学校改造等工程，全面改善义务教育办学条件。以实施普通高中新课程改革和高考改革工作为契机，持续深化高中教育教学综合改革，进一步优化课程体系、教学体系，提升高中教学水平。改革教师评价，破除“唯论文、唯帽子”，将教学实绩、育人成效、数字素养作为核心指标。</w:t>
      </w:r>
    </w:p>
    <w:p w14:paraId="754C073D">
      <w:pPr>
        <w:bidi w:val="0"/>
        <w:rPr>
          <w:rFonts w:hint="eastAsia" w:ascii="仿宋_GB2312" w:hAnsi="仿宋_GB2312" w:eastAsia="仿宋_GB2312" w:cs="仿宋_GB2312"/>
          <w:b/>
          <w:bCs/>
        </w:rPr>
      </w:pPr>
      <w:r>
        <w:rPr>
          <w:rFonts w:hint="eastAsia" w:ascii="仿宋_GB2312" w:hAnsi="仿宋_GB2312" w:cs="仿宋_GB2312"/>
          <w:b/>
          <w:bCs/>
          <w:lang w:val="en-US" w:eastAsia="zh-CN"/>
        </w:rPr>
        <w:t>三</w:t>
      </w:r>
      <w:r>
        <w:rPr>
          <w:rFonts w:hint="eastAsia" w:ascii="仿宋_GB2312" w:hAnsi="仿宋_GB2312" w:eastAsia="仿宋_GB2312" w:cs="仿宋_GB2312"/>
          <w:b/>
          <w:bCs/>
        </w:rPr>
        <w:t>、加快建设</w:t>
      </w:r>
      <w:r>
        <w:rPr>
          <w:rFonts w:hint="eastAsia" w:ascii="仿宋_GB2312" w:hAnsi="仿宋_GB2312" w:cs="仿宋_GB2312"/>
          <w:b/>
          <w:bCs/>
          <w:lang w:eastAsia="zh-CN"/>
        </w:rPr>
        <w:t>现代职业教育体系</w:t>
      </w:r>
    </w:p>
    <w:p w14:paraId="674FC392">
      <w:pPr>
        <w:bidi w:val="0"/>
        <w:rPr>
          <w:rFonts w:hint="eastAsia" w:ascii="仿宋_GB2312" w:hAnsi="仿宋_GB2312" w:eastAsia="仿宋_GB2312" w:cs="仿宋_GB2312"/>
        </w:rPr>
      </w:pPr>
      <w:r>
        <w:rPr>
          <w:rFonts w:hint="eastAsia" w:ascii="仿宋_GB2312" w:hAnsi="仿宋_GB2312" w:eastAsia="仿宋_GB2312" w:cs="仿宋_GB2312"/>
          <w:lang w:val="en-US" w:eastAsia="zh-CN"/>
        </w:rPr>
        <w:t>提升职业学校办学能力，扩大职教高考参考规模，打造特色职业教育品牌，深化职业教育产教融合，建设一批产教融合型企业培育库，培养一批高素质技术技能人才。</w:t>
      </w:r>
      <w:r>
        <w:rPr>
          <w:rFonts w:hint="eastAsia" w:ascii="仿宋_GB2312" w:hAnsi="仿宋_GB2312" w:eastAsia="仿宋_GB2312" w:cs="仿宋_GB2312"/>
        </w:rPr>
        <w:t>优化职业教育结构布局。对接富锦市产业发展需求，优化职业院校和专业布局，建设2个高水平专业化产教融合实训基地。</w:t>
      </w:r>
      <w:r>
        <w:rPr>
          <w:rFonts w:hint="eastAsia" w:ascii="仿宋_GB2312" w:hAnsi="仿宋_GB2312" w:eastAsia="仿宋_GB2312" w:cs="仿宋_GB2312"/>
          <w:lang w:val="en-US" w:eastAsia="zh-CN"/>
        </w:rPr>
        <w:t>推动</w:t>
      </w:r>
      <w:r>
        <w:rPr>
          <w:rFonts w:hint="eastAsia" w:ascii="仿宋_GB2312" w:hAnsi="仿宋_GB2312" w:eastAsia="仿宋_GB2312" w:cs="仿宋_GB2312"/>
        </w:rPr>
        <w:t>职业教育与产业升级深度融合。培育1家以上产教融合型企业。建立校企人员双向流动机制</w:t>
      </w:r>
      <w:r>
        <w:rPr>
          <w:rFonts w:hint="eastAsia" w:ascii="仿宋_GB2312" w:hAnsi="仿宋_GB2312" w:cs="仿宋_GB2312"/>
          <w:lang w:eastAsia="zh-CN"/>
        </w:rPr>
        <w:t>，</w:t>
      </w:r>
      <w:r>
        <w:rPr>
          <w:rFonts w:hint="eastAsia" w:ascii="仿宋_GB2312" w:hAnsi="仿宋_GB2312" w:eastAsia="仿宋_GB2312" w:cs="仿宋_GB2312"/>
        </w:rPr>
        <w:t>“双师型”教师比例达到40%。提升技术人才培养质量。推行项目教学、案例教学、情景教学等教学方法，强化学生实践能力培养。加强职业素养教育，培养学生工匠精神、职业道德和就业创业能力。</w:t>
      </w:r>
      <w:r>
        <w:rPr>
          <w:rFonts w:hint="eastAsia" w:ascii="仿宋_GB2312" w:hAnsi="仿宋_GB2312" w:eastAsia="仿宋_GB2312" w:cs="仿宋_GB2312"/>
          <w:lang w:val="en-US" w:eastAsia="zh-CN"/>
        </w:rPr>
        <w:t>引导规范民办教育发展。优化终身学习公共服务。</w:t>
      </w:r>
    </w:p>
    <w:p w14:paraId="3C18B4A4">
      <w:pPr>
        <w:pStyle w:val="3"/>
        <w:bidi w:val="0"/>
        <w:rPr>
          <w:rFonts w:hint="default"/>
          <w:lang w:val="en-US" w:eastAsia="zh-CN"/>
        </w:rPr>
      </w:pPr>
      <w:bookmarkStart w:id="83" w:name="_Toc29036"/>
      <w:r>
        <w:rPr>
          <w:rFonts w:hint="eastAsia"/>
          <w:lang w:val="en-US" w:eastAsia="zh-CN"/>
        </w:rPr>
        <w:t>第四节  健全多层次社会保障体系</w:t>
      </w:r>
      <w:bookmarkEnd w:id="83"/>
    </w:p>
    <w:p w14:paraId="2417889B">
      <w:pPr>
        <w:bidi w:val="0"/>
        <w:rPr>
          <w:rFonts w:hint="eastAsia" w:ascii="仿宋_GB2312" w:hAnsi="仿宋_GB2312" w:eastAsia="仿宋_GB2312" w:cs="仿宋_GB2312"/>
        </w:rPr>
      </w:pPr>
      <w:r>
        <w:rPr>
          <w:rFonts w:hint="eastAsia" w:ascii="仿宋_GB2312" w:hAnsi="仿宋_GB2312" w:eastAsia="仿宋_GB2312" w:cs="仿宋_GB2312"/>
        </w:rPr>
        <w:t>围绕社会保险、社会救助、住房保障及特殊群体服务等，健全覆盖全</w:t>
      </w:r>
      <w:r>
        <w:rPr>
          <w:rFonts w:hint="eastAsia" w:ascii="仿宋_GB2312" w:hAnsi="仿宋_GB2312" w:eastAsia="仿宋_GB2312" w:cs="仿宋_GB2312"/>
          <w:lang w:val="en-US" w:eastAsia="zh-CN"/>
        </w:rPr>
        <w:t>民的</w:t>
      </w:r>
      <w:r>
        <w:rPr>
          <w:rFonts w:hint="eastAsia" w:ascii="仿宋_GB2312" w:hAnsi="仿宋_GB2312" w:eastAsia="仿宋_GB2312" w:cs="仿宋_GB2312"/>
        </w:rPr>
        <w:t>社会保障体系，推动服务水平持续升级，</w:t>
      </w:r>
      <w:r>
        <w:rPr>
          <w:rFonts w:hint="eastAsia" w:ascii="仿宋_GB2312" w:hAnsi="仿宋_GB2312" w:eastAsia="仿宋_GB2312" w:cs="仿宋_GB2312"/>
          <w:lang w:val="en-US" w:eastAsia="zh-CN"/>
        </w:rPr>
        <w:t>夯实</w:t>
      </w:r>
      <w:r>
        <w:rPr>
          <w:rFonts w:hint="eastAsia" w:ascii="仿宋_GB2312" w:hAnsi="仿宋_GB2312" w:eastAsia="仿宋_GB2312" w:cs="仿宋_GB2312"/>
        </w:rPr>
        <w:t>民生福祉</w:t>
      </w:r>
      <w:r>
        <w:rPr>
          <w:rFonts w:hint="eastAsia" w:ascii="仿宋_GB2312" w:hAnsi="仿宋_GB2312" w:eastAsia="仿宋_GB2312" w:cs="仿宋_GB2312"/>
          <w:lang w:eastAsia="zh-CN"/>
        </w:rPr>
        <w:t>的</w:t>
      </w:r>
      <w:r>
        <w:rPr>
          <w:rFonts w:hint="eastAsia" w:ascii="仿宋_GB2312" w:hAnsi="仿宋_GB2312" w:eastAsia="仿宋_GB2312" w:cs="仿宋_GB2312"/>
        </w:rPr>
        <w:t>供给</w:t>
      </w:r>
      <w:r>
        <w:rPr>
          <w:rFonts w:hint="eastAsia" w:ascii="仿宋_GB2312" w:hAnsi="仿宋_GB2312" w:eastAsia="仿宋_GB2312" w:cs="仿宋_GB2312"/>
          <w:lang w:val="en-US" w:eastAsia="zh-CN"/>
        </w:rPr>
        <w:t>基础</w:t>
      </w:r>
      <w:r>
        <w:rPr>
          <w:rFonts w:hint="eastAsia" w:ascii="仿宋_GB2312" w:hAnsi="仿宋_GB2312" w:eastAsia="仿宋_GB2312" w:cs="仿宋_GB2312"/>
        </w:rPr>
        <w:t>。</w:t>
      </w:r>
    </w:p>
    <w:p w14:paraId="7EED94E5">
      <w:pPr>
        <w:bidi w:val="0"/>
        <w:rPr>
          <w:rFonts w:hint="eastAsia"/>
          <w:lang w:eastAsia="zh-CN"/>
        </w:rPr>
      </w:pPr>
      <w:r>
        <w:rPr>
          <w:rFonts w:hint="eastAsia"/>
          <w:b/>
          <w:bCs/>
        </w:rPr>
        <w:t>推动社会保险精准扩面。</w:t>
      </w:r>
      <w:r>
        <w:rPr>
          <w:rFonts w:hint="default"/>
          <w:lang w:val="en-US" w:eastAsia="zh-CN"/>
        </w:rPr>
        <w:t>落实企业职工基本养老保险全国统筹制度，加快发展多层次、多支柱养老保险体系，逐步提高城乡居民基础养老金</w:t>
      </w:r>
      <w:r>
        <w:rPr>
          <w:rFonts w:hint="eastAsia"/>
          <w:lang w:eastAsia="zh-CN"/>
        </w:rPr>
        <w:t>。</w:t>
      </w:r>
      <w:r>
        <w:rPr>
          <w:rFonts w:hint="default"/>
          <w:lang w:val="en-US" w:eastAsia="zh-CN"/>
        </w:rPr>
        <w:t>健全多层次医疗保障体系，推进基本医疗保险省级统筹，落实药品集采、医保支付和结余资金使用政策。完善长期护理保险制度，扩大失业、工伤保险覆盖面，建立健全职业伤害保障制度。落实社保关系转移接续政策，取消在就业地参保户籍限制，提高灵活就业人员、农民工、新就业形态人员参保率。发挥各类商业保险补充保障作用</w:t>
      </w:r>
      <w:r>
        <w:rPr>
          <w:rFonts w:hint="eastAsia"/>
          <w:lang w:val="en-US" w:eastAsia="zh-CN"/>
        </w:rPr>
        <w:t>，</w:t>
      </w:r>
      <w:r>
        <w:rPr>
          <w:rFonts w:hint="eastAsia"/>
        </w:rPr>
        <w:t>推动养老、医疗、意外伤害商业保险发展。稳步提升医疗、失业、工伤和生育保险待遇水平，加大对弱势群体参加社会保险的资助力度</w:t>
      </w:r>
      <w:r>
        <w:rPr>
          <w:rFonts w:hint="eastAsia"/>
          <w:lang w:eastAsia="zh-CN"/>
        </w:rPr>
        <w:t>。</w:t>
      </w:r>
    </w:p>
    <w:p w14:paraId="65DFF447">
      <w:pPr>
        <w:bidi w:val="0"/>
        <w:rPr>
          <w:rFonts w:hint="eastAsia" w:ascii="仿宋_GB2312" w:hAnsi="仿宋_GB2312" w:eastAsia="仿宋_GB2312" w:cs="仿宋_GB2312"/>
          <w:lang w:eastAsia="zh-CN"/>
        </w:rPr>
      </w:pPr>
      <w:r>
        <w:rPr>
          <w:rFonts w:hint="eastAsia" w:ascii="仿宋_GB2312" w:hAnsi="仿宋_GB2312" w:eastAsia="仿宋_GB2312" w:cs="仿宋_GB2312"/>
          <w:b/>
          <w:bCs/>
          <w:lang w:val="en-US" w:eastAsia="zh-CN"/>
        </w:rPr>
        <w:t>健全分层分类的社会救助体系。</w:t>
      </w:r>
      <w:r>
        <w:rPr>
          <w:rFonts w:hint="eastAsia" w:ascii="仿宋_GB2312" w:hAnsi="仿宋_GB2312" w:eastAsia="仿宋_GB2312" w:cs="仿宋_GB2312"/>
          <w:lang w:val="en-US" w:eastAsia="zh-CN"/>
        </w:rPr>
        <w:t>加强低收入人口动态监测和常态化救助帮扶。完善特殊困难老人、失独家庭、困境儿童、残疾人等群体服务保障体系，保障妇女儿童合法权益。</w:t>
      </w:r>
      <w:r>
        <w:rPr>
          <w:rFonts w:hint="eastAsia" w:ascii="仿宋_GB2312" w:hAnsi="仿宋_GB2312" w:eastAsia="仿宋_GB2312" w:cs="仿宋_GB2312"/>
        </w:rPr>
        <w:t>推动急难救助与长效帮扶结合机制，加强对突发重大事故、低保、重度残疾人、特困人员等特殊群体专项保障力度，同步提高特困人员供养标准</w:t>
      </w:r>
      <w:r>
        <w:rPr>
          <w:rFonts w:hint="eastAsia" w:ascii="仿宋_GB2312" w:hAnsi="仿宋_GB2312" w:eastAsia="仿宋_GB2312" w:cs="仿宋_GB2312"/>
          <w:lang w:eastAsia="zh-CN"/>
        </w:rPr>
        <w:t>。</w:t>
      </w:r>
      <w:r>
        <w:rPr>
          <w:rFonts w:hint="eastAsia" w:ascii="仿宋_GB2312" w:hAnsi="仿宋_GB2312" w:eastAsia="仿宋_GB2312" w:cs="仿宋_GB2312"/>
        </w:rPr>
        <w:t>完善优抚安置、助残、救孤、济困等社会福利制度，引导慈善事业健康发展。</w:t>
      </w:r>
      <w:r>
        <w:rPr>
          <w:rFonts w:hint="eastAsia" w:ascii="仿宋_GB2312" w:hAnsi="仿宋_GB2312" w:eastAsia="仿宋_GB2312" w:cs="仿宋_GB2312"/>
          <w:lang w:val="en-US" w:eastAsia="zh-CN"/>
        </w:rPr>
        <w:t>探索开展</w:t>
      </w:r>
      <w:r>
        <w:rPr>
          <w:rFonts w:hint="eastAsia" w:ascii="仿宋_GB2312" w:hAnsi="仿宋_GB2312" w:eastAsia="仿宋_GB2312" w:cs="仿宋_GB2312"/>
        </w:rPr>
        <w:t>“慈善超市+社工站”试点，</w:t>
      </w:r>
      <w:r>
        <w:rPr>
          <w:rFonts w:hint="eastAsia" w:ascii="仿宋_GB2312" w:hAnsi="仿宋_GB2312" w:eastAsia="仿宋_GB2312" w:cs="仿宋_GB2312"/>
          <w:lang w:val="en-US" w:eastAsia="zh-CN"/>
        </w:rPr>
        <w:t>推动</w:t>
      </w:r>
      <w:r>
        <w:rPr>
          <w:rFonts w:hint="eastAsia" w:ascii="仿宋_GB2312" w:hAnsi="仿宋_GB2312" w:eastAsia="仿宋_GB2312" w:cs="仿宋_GB2312"/>
        </w:rPr>
        <w:t>建立爱心物资共享站，提升救助综合效能。鼓励社会力量提供就业指导、爱心岗位、技能培训、创业支持、法律援助等救助服务。</w:t>
      </w:r>
    </w:p>
    <w:p w14:paraId="7940F72C">
      <w:pPr>
        <w:bidi w:val="0"/>
        <w:rPr>
          <w:rFonts w:hint="eastAsia" w:ascii="仿宋_GB2312" w:hAnsi="仿宋_GB2312" w:eastAsia="仿宋_GB2312" w:cs="仿宋_GB2312"/>
          <w:lang w:val="en-US" w:eastAsia="zh-CN"/>
        </w:rPr>
      </w:pPr>
      <w:r>
        <w:rPr>
          <w:rFonts w:hint="eastAsia" w:ascii="仿宋_GB2312" w:hAnsi="仿宋_GB2312" w:eastAsia="仿宋_GB2312" w:cs="仿宋_GB2312"/>
          <w:b/>
          <w:bCs/>
        </w:rPr>
        <w:t>完善住房保障体系。</w:t>
      </w:r>
      <w:r>
        <w:rPr>
          <w:rFonts w:hint="eastAsia" w:ascii="仿宋_GB2312" w:hAnsi="仿宋_GB2312" w:eastAsia="仿宋_GB2312" w:cs="仿宋_GB2312"/>
          <w:lang w:val="en-US" w:eastAsia="zh-CN"/>
        </w:rPr>
        <w:t>优化住房供应结构，加快发展保障性住房，结合实际增加改善性住房供给，满足城镇工薪群体和各类困难家庭基本住房需求。建设安全舒适绿色智慧的“好房子”，实施房屋品质提升工程和物业服务质量提升行动，加强房屋使用全生命周期管理。</w:t>
      </w:r>
    </w:p>
    <w:p w14:paraId="6D0FD8C8">
      <w:pPr>
        <w:bidi w:val="0"/>
        <w:rPr>
          <w:rFonts w:hint="eastAsia"/>
          <w:lang w:val="en-US" w:eastAsia="zh-CN"/>
        </w:rPr>
      </w:pPr>
      <w:r>
        <w:rPr>
          <w:rFonts w:hint="eastAsia" w:ascii="仿宋_GB2312" w:hAnsi="仿宋_GB2312" w:eastAsia="仿宋_GB2312" w:cs="仿宋_GB2312"/>
          <w:b/>
          <w:bCs/>
        </w:rPr>
        <w:t>推进其他社会事业全面发展。</w:t>
      </w:r>
      <w:r>
        <w:rPr>
          <w:rFonts w:hint="eastAsia" w:ascii="仿宋_GB2312" w:hAnsi="仿宋_GB2312" w:eastAsia="仿宋_GB2312" w:cs="仿宋_GB2312"/>
        </w:rPr>
        <w:t>充分发挥工人阶级和广大劳动群众主力军作用，</w:t>
      </w:r>
      <w:r>
        <w:rPr>
          <w:rFonts w:hint="eastAsia" w:ascii="仿宋_GB2312" w:hAnsi="仿宋_GB2312" w:eastAsia="仿宋_GB2312" w:cs="仿宋_GB2312"/>
          <w:lang w:val="en-US" w:eastAsia="zh-CN"/>
        </w:rPr>
        <w:t>加强产业工人队伍建设，</w:t>
      </w:r>
      <w:r>
        <w:rPr>
          <w:rFonts w:hint="eastAsia" w:ascii="仿宋_GB2312" w:hAnsi="仿宋_GB2312" w:eastAsia="仿宋_GB2312" w:cs="仿宋_GB2312"/>
        </w:rPr>
        <w:t>努力建设高素质劳动大军，切实实现好、维护好、发展好劳动者合法权益。</w:t>
      </w:r>
      <w:r>
        <w:rPr>
          <w:rFonts w:hint="default" w:ascii="Times New Roman" w:hAnsi="Times New Roman" w:eastAsia="仿宋_GB2312" w:cs="Times New Roman"/>
          <w:color w:val="000000"/>
          <w:kern w:val="2"/>
          <w:sz w:val="32"/>
          <w:szCs w:val="32"/>
          <w:u w:val="none"/>
          <w:lang w:val="en-US" w:eastAsia="zh-CN" w:bidi="ar-SA"/>
        </w:rPr>
        <w:t>加强殡葬行业管理，建立健全基本殡葬服务制度，</w:t>
      </w:r>
      <w:r>
        <w:rPr>
          <w:rFonts w:hint="eastAsia" w:ascii="仿宋_GB2312" w:hAnsi="仿宋_GB2312" w:eastAsia="仿宋_GB2312" w:cs="仿宋_GB2312"/>
          <w:sz w:val="32"/>
          <w:szCs w:val="32"/>
          <w:lang w:val="en-US" w:eastAsia="zh-CN"/>
        </w:rPr>
        <w:t>谋划建设一座城市公益性</w:t>
      </w:r>
      <w:r>
        <w:rPr>
          <w:rFonts w:hint="eastAsia" w:ascii="仿宋_GB2312" w:hAnsi="仿宋_GB2312" w:cs="仿宋_GB2312"/>
          <w:sz w:val="32"/>
          <w:szCs w:val="32"/>
          <w:lang w:val="en-US" w:eastAsia="zh-CN"/>
        </w:rPr>
        <w:t>公墓</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开展妇幼健康行动，建设妇幼健康服务体系，保障妇女平等参与经</w:t>
      </w:r>
      <w:r>
        <w:rPr>
          <w:rFonts w:hint="eastAsia" w:ascii="仿宋_GB2312" w:hAnsi="仿宋_GB2312" w:eastAsia="仿宋_GB2312" w:cs="仿宋_GB2312"/>
        </w:rPr>
        <w:t>济社会发展权益。深入开展科学普及工作，加大科普投入和设施建设，提升全民科学素质</w:t>
      </w:r>
      <w:r>
        <w:rPr>
          <w:rFonts w:hint="eastAsia" w:ascii="仿宋_GB2312" w:hAnsi="仿宋_GB2312" w:cs="仿宋_GB2312"/>
          <w:lang w:eastAsia="zh-CN"/>
        </w:rPr>
        <w:t>。</w:t>
      </w:r>
      <w:r>
        <w:rPr>
          <w:rFonts w:hint="eastAsia" w:ascii="仿宋_GB2312" w:hAnsi="仿宋_GB2312" w:eastAsia="仿宋_GB2312" w:cs="仿宋_GB2312"/>
        </w:rPr>
        <w:t>有序</w:t>
      </w:r>
      <w:r>
        <w:rPr>
          <w:rFonts w:hint="eastAsia" w:ascii="仿宋_GB2312" w:hAnsi="仿宋_GB2312" w:eastAsia="仿宋_GB2312" w:cs="仿宋_GB2312"/>
          <w:sz w:val="32"/>
          <w:szCs w:val="32"/>
        </w:rPr>
        <w:t>开展退役军人事业，推动退役军人事业纳入</w:t>
      </w:r>
      <w:r>
        <w:rPr>
          <w:rFonts w:hint="eastAsia" w:ascii="仿宋_GB2312" w:hAnsi="仿宋_GB2312" w:cs="仿宋_GB2312"/>
          <w:sz w:val="32"/>
          <w:szCs w:val="32"/>
          <w:lang w:eastAsia="zh-CN"/>
        </w:rPr>
        <w:t>法治化</w:t>
      </w:r>
      <w:r>
        <w:rPr>
          <w:rFonts w:hint="eastAsia" w:ascii="仿宋_GB2312" w:hAnsi="仿宋_GB2312" w:eastAsia="仿宋_GB2312" w:cs="仿宋_GB2312"/>
          <w:sz w:val="32"/>
          <w:szCs w:val="32"/>
        </w:rPr>
        <w:t>、制度化轨道，</w:t>
      </w:r>
      <w:r>
        <w:rPr>
          <w:rFonts w:hint="default" w:ascii="Times New Roman" w:hAnsi="Times New Roman" w:eastAsia="仿宋_GB2312" w:cs="Times New Roman"/>
          <w:color w:val="000000"/>
          <w:kern w:val="2"/>
          <w:sz w:val="32"/>
          <w:szCs w:val="32"/>
          <w:u w:val="none"/>
          <w:lang w:val="en-US" w:eastAsia="zh-CN" w:bidi="ar-SA"/>
        </w:rPr>
        <w:t>加强退役军人服务保障</w:t>
      </w:r>
      <w:r>
        <w:rPr>
          <w:rFonts w:hint="eastAsia" w:ascii="Times New Roman" w:hAnsi="Times New Roman" w:cs="Times New Roman"/>
          <w:color w:val="000000"/>
          <w:kern w:val="2"/>
          <w:sz w:val="32"/>
          <w:szCs w:val="32"/>
          <w:u w:val="none"/>
          <w:lang w:val="en-US" w:eastAsia="zh-CN" w:bidi="ar-SA"/>
        </w:rPr>
        <w:t>，</w:t>
      </w:r>
      <w:r>
        <w:rPr>
          <w:rFonts w:hint="eastAsia" w:ascii="仿宋_GB2312" w:hAnsi="仿宋_GB2312" w:eastAsia="仿宋_GB2312" w:cs="仿宋_GB2312"/>
        </w:rPr>
        <w:t>重点做好移交安置工作，大力扶持创业就业，健全待遇保障制度等工作。加强国防教育，深入开展拥军优属和拥政爱民活动，巩固和发展军政军民团结。扎实推动国防动员、档案史志、气象服务、地震、慈善、老龄、关心下一代等事业全面发展。</w:t>
      </w:r>
    </w:p>
    <w:p w14:paraId="13676B1C">
      <w:pPr>
        <w:pStyle w:val="3"/>
        <w:bidi w:val="0"/>
        <w:rPr>
          <w:rFonts w:hint="default"/>
          <w:lang w:val="en-US" w:eastAsia="zh-CN"/>
        </w:rPr>
      </w:pPr>
      <w:bookmarkStart w:id="84" w:name="_Toc5952"/>
      <w:r>
        <w:rPr>
          <w:rFonts w:hint="eastAsia"/>
          <w:lang w:val="en-US" w:eastAsia="zh-CN"/>
        </w:rPr>
        <w:t>第五节  加快推进健康富锦建设</w:t>
      </w:r>
      <w:bookmarkEnd w:id="84"/>
    </w:p>
    <w:p w14:paraId="039DA6C6">
      <w:pPr>
        <w:bidi w:val="0"/>
        <w:rPr>
          <w:rFonts w:hint="eastAsia"/>
        </w:rPr>
      </w:pPr>
      <w:r>
        <w:rPr>
          <w:rFonts w:hint="default"/>
          <w:lang w:val="en-US" w:eastAsia="zh-CN"/>
        </w:rPr>
        <w:t>落实健康优先发展战略，完善卫生健康服务体系，提升爱国卫生运动成效，倡导健康生活方式，提高人均预期寿命和人民健康水平。</w:t>
      </w:r>
    </w:p>
    <w:p w14:paraId="3B43FEAE">
      <w:pPr>
        <w:bidi w:val="0"/>
        <w:rPr>
          <w:rFonts w:hint="default" w:ascii="仿宋_GB2312" w:hAnsi="仿宋_GB2312" w:eastAsia="仿宋_GB2312" w:cs="仿宋_GB2312"/>
          <w:b/>
          <w:bCs/>
          <w:lang w:val="en-US" w:eastAsia="zh-CN"/>
        </w:rPr>
      </w:pPr>
      <w:r>
        <w:rPr>
          <w:rFonts w:hint="eastAsia" w:ascii="仿宋_GB2312" w:hAnsi="仿宋_GB2312" w:eastAsia="仿宋_GB2312" w:cs="仿宋_GB2312"/>
          <w:b/>
          <w:bCs/>
        </w:rPr>
        <w:t>一、</w:t>
      </w:r>
      <w:r>
        <w:rPr>
          <w:rFonts w:hint="eastAsia" w:ascii="仿宋_GB2312" w:hAnsi="仿宋_GB2312" w:cs="仿宋_GB2312"/>
          <w:b/>
          <w:bCs/>
          <w:lang w:val="en-US" w:eastAsia="zh-CN"/>
        </w:rPr>
        <w:t>实施公共卫生体系强化行动</w:t>
      </w:r>
    </w:p>
    <w:p w14:paraId="083F9D06">
      <w:pPr>
        <w:bidi w:val="0"/>
        <w:rPr>
          <w:rFonts w:hint="eastAsia" w:ascii="仿宋_GB2312" w:hAnsi="仿宋_GB2312" w:eastAsia="仿宋_GB2312" w:cs="仿宋_GB2312"/>
        </w:rPr>
      </w:pPr>
      <w:r>
        <w:rPr>
          <w:rFonts w:hint="eastAsia" w:ascii="仿宋_GB2312" w:hAnsi="仿宋_GB2312" w:eastAsia="仿宋_GB2312" w:cs="仿宋_GB2312"/>
          <w:b/>
          <w:bCs/>
        </w:rPr>
        <w:t>建强</w:t>
      </w:r>
      <w:r>
        <w:rPr>
          <w:rFonts w:hint="eastAsia" w:ascii="仿宋_GB2312" w:hAnsi="仿宋_GB2312" w:cs="仿宋_GB2312"/>
          <w:b/>
          <w:bCs/>
          <w:lang w:val="en-US" w:eastAsia="zh-CN"/>
        </w:rPr>
        <w:t>市镇村</w:t>
      </w:r>
      <w:r>
        <w:rPr>
          <w:rFonts w:hint="eastAsia" w:ascii="仿宋_GB2312" w:hAnsi="仿宋_GB2312" w:eastAsia="仿宋_GB2312" w:cs="仿宋_GB2312"/>
          <w:b/>
          <w:bCs/>
        </w:rPr>
        <w:t>三级公共医疗卫生服务网络。</w:t>
      </w:r>
      <w:r>
        <w:rPr>
          <w:rFonts w:hint="eastAsia" w:ascii="仿宋_GB2312" w:hAnsi="仿宋_GB2312" w:eastAsia="仿宋_GB2312" w:cs="仿宋_GB2312"/>
          <w:lang w:val="en-US" w:eastAsia="zh-CN"/>
        </w:rPr>
        <w:t>贯彻国家</w:t>
      </w:r>
      <w:r>
        <w:rPr>
          <w:rFonts w:hint="eastAsia" w:ascii="仿宋_GB2312" w:hAnsi="仿宋_GB2312" w:cs="仿宋_GB2312"/>
          <w:lang w:val="en-US" w:eastAsia="zh-CN"/>
        </w:rPr>
        <w:t>医疗卫生“强基工程”</w:t>
      </w:r>
      <w:r>
        <w:rPr>
          <w:rFonts w:hint="eastAsia" w:ascii="仿宋_GB2312" w:hAnsi="仿宋_GB2312" w:eastAsia="仿宋_GB2312" w:cs="仿宋_GB2312"/>
          <w:lang w:val="en-US" w:eastAsia="zh-CN"/>
        </w:rPr>
        <w:t>，</w:t>
      </w:r>
      <w:r>
        <w:rPr>
          <w:rFonts w:hint="eastAsia" w:ascii="仿宋_GB2312" w:hAnsi="仿宋_GB2312" w:cs="仿宋_GB2312"/>
          <w:lang w:val="en-US" w:eastAsia="zh-CN"/>
        </w:rPr>
        <w:t>深化</w:t>
      </w:r>
      <w:r>
        <w:rPr>
          <w:rFonts w:hint="eastAsia" w:ascii="仿宋_GB2312" w:hAnsi="仿宋_GB2312" w:eastAsia="仿宋_GB2312" w:cs="仿宋_GB2312"/>
          <w:lang w:val="en-US" w:eastAsia="zh-CN"/>
        </w:rPr>
        <w:t>服务体系</w:t>
      </w:r>
      <w:r>
        <w:rPr>
          <w:rFonts w:hint="eastAsia" w:ascii="仿宋_GB2312" w:hAnsi="仿宋_GB2312" w:cs="仿宋_GB2312"/>
          <w:lang w:val="en-US" w:eastAsia="zh-CN"/>
        </w:rPr>
        <w:t>建设，健全“市直医院牵头、乡镇卫生院枢纽、村卫生室前哨”的整合型服务网络</w:t>
      </w:r>
      <w:r>
        <w:rPr>
          <w:rFonts w:hint="eastAsia" w:ascii="仿宋_GB2312" w:hAnsi="仿宋_GB2312" w:eastAsia="仿宋_GB2312" w:cs="仿宋_GB2312"/>
          <w:lang w:val="en-US" w:eastAsia="zh-CN"/>
        </w:rPr>
        <w:t>。</w:t>
      </w:r>
      <w:r>
        <w:rPr>
          <w:rFonts w:hint="eastAsia" w:ascii="仿宋_GB2312" w:hAnsi="仿宋_GB2312" w:eastAsia="仿宋_GB2312" w:cs="仿宋_GB2312"/>
        </w:rPr>
        <w:t>着力提升</w:t>
      </w:r>
      <w:r>
        <w:rPr>
          <w:rFonts w:hint="eastAsia" w:ascii="仿宋_GB2312" w:hAnsi="仿宋_GB2312" w:cs="仿宋_GB2312"/>
          <w:lang w:val="en-US" w:eastAsia="zh-CN"/>
        </w:rPr>
        <w:t>市直</w:t>
      </w:r>
      <w:r>
        <w:rPr>
          <w:rFonts w:hint="eastAsia" w:ascii="仿宋_GB2312" w:hAnsi="仿宋_GB2312" w:eastAsia="仿宋_GB2312" w:cs="仿宋_GB2312"/>
        </w:rPr>
        <w:t>医院综合服务能力，有序推进富锦市医院改扩建</w:t>
      </w:r>
      <w:r>
        <w:rPr>
          <w:rFonts w:hint="eastAsia" w:ascii="仿宋_GB2312" w:hAnsi="仿宋_GB2312" w:eastAsia="仿宋_GB2312" w:cs="仿宋_GB2312"/>
          <w:lang w:val="en-US" w:eastAsia="zh-CN"/>
        </w:rPr>
        <w:t>工程</w:t>
      </w:r>
      <w:r>
        <w:rPr>
          <w:rFonts w:hint="eastAsia" w:ascii="仿宋_GB2312" w:hAnsi="仿宋_GB2312" w:eastAsia="仿宋_GB2312" w:cs="仿宋_GB2312"/>
        </w:rPr>
        <w:t>，重点</w:t>
      </w:r>
      <w:r>
        <w:rPr>
          <w:rFonts w:hint="eastAsia" w:ascii="仿宋_GB2312" w:hAnsi="仿宋_GB2312" w:eastAsia="仿宋_GB2312" w:cs="仿宋_GB2312"/>
          <w:lang w:val="en-US" w:eastAsia="zh-CN"/>
        </w:rPr>
        <w:t>加强</w:t>
      </w:r>
      <w:r>
        <w:rPr>
          <w:rFonts w:hint="eastAsia" w:ascii="仿宋_GB2312" w:hAnsi="仿宋_GB2312" w:eastAsia="仿宋_GB2312" w:cs="仿宋_GB2312"/>
        </w:rPr>
        <w:t>心脑血管</w:t>
      </w:r>
      <w:r>
        <w:rPr>
          <w:rFonts w:hint="eastAsia" w:ascii="仿宋_GB2312" w:hAnsi="仿宋_GB2312" w:eastAsia="仿宋_GB2312" w:cs="仿宋_GB2312"/>
          <w:lang w:val="en-US" w:eastAsia="zh-CN"/>
        </w:rPr>
        <w:t>疾病诊治和急诊</w:t>
      </w:r>
      <w:r>
        <w:rPr>
          <w:rFonts w:hint="eastAsia" w:ascii="仿宋_GB2312" w:hAnsi="仿宋_GB2312" w:eastAsia="仿宋_GB2312" w:cs="仿宋_GB2312"/>
        </w:rPr>
        <w:t>急救能力；推动实施富锦市中心医院医疗设备购置项目，为</w:t>
      </w:r>
      <w:r>
        <w:rPr>
          <w:rFonts w:hint="eastAsia" w:ascii="仿宋_GB2312" w:hAnsi="仿宋_GB2312" w:eastAsia="仿宋_GB2312" w:cs="仿宋_GB2312"/>
          <w:lang w:val="en-US" w:eastAsia="zh-CN"/>
        </w:rPr>
        <w:t>其</w:t>
      </w:r>
      <w:r>
        <w:rPr>
          <w:rFonts w:hint="eastAsia" w:ascii="仿宋_GB2312" w:hAnsi="仿宋_GB2312" w:eastAsia="仿宋_GB2312" w:cs="仿宋_GB2312"/>
        </w:rPr>
        <w:t>晋升三级医院</w:t>
      </w:r>
      <w:r>
        <w:rPr>
          <w:rFonts w:hint="eastAsia" w:ascii="仿宋_GB2312" w:hAnsi="仿宋_GB2312" w:eastAsia="仿宋_GB2312" w:cs="仿宋_GB2312"/>
          <w:lang w:val="en-US" w:eastAsia="zh-CN"/>
        </w:rPr>
        <w:t>夯实硬件基础</w:t>
      </w:r>
      <w:r>
        <w:rPr>
          <w:rFonts w:hint="eastAsia" w:ascii="仿宋_GB2312" w:hAnsi="仿宋_GB2312" w:eastAsia="仿宋_GB2312" w:cs="仿宋_GB2312"/>
        </w:rPr>
        <w:t>。提升乡镇卫生院服务</w:t>
      </w:r>
      <w:r>
        <w:rPr>
          <w:rFonts w:hint="eastAsia" w:ascii="仿宋_GB2312" w:hAnsi="仿宋_GB2312" w:eastAsia="仿宋_GB2312" w:cs="仿宋_GB2312"/>
          <w:lang w:val="en-US" w:eastAsia="zh-CN"/>
        </w:rPr>
        <w:t>水平</w:t>
      </w:r>
      <w:r>
        <w:rPr>
          <w:rFonts w:hint="eastAsia" w:ascii="仿宋_GB2312" w:hAnsi="仿宋_GB2312" w:eastAsia="仿宋_GB2312" w:cs="仿宋_GB2312"/>
        </w:rPr>
        <w:t>，</w:t>
      </w:r>
      <w:r>
        <w:rPr>
          <w:rFonts w:hint="eastAsia" w:ascii="仿宋_GB2312" w:hAnsi="仿宋_GB2312" w:eastAsia="仿宋_GB2312" w:cs="仿宋_GB2312"/>
          <w:lang w:val="en-US" w:eastAsia="zh-CN"/>
        </w:rPr>
        <w:t>推进</w:t>
      </w:r>
      <w:r>
        <w:rPr>
          <w:rFonts w:hint="eastAsia" w:ascii="仿宋_GB2312" w:hAnsi="仿宋_GB2312" w:eastAsia="仿宋_GB2312" w:cs="仿宋_GB2312"/>
        </w:rPr>
        <w:t>乡镇卫生院升级改造，重点加强全科医疗、中医服务、急诊急救和康复护理能力，加快</w:t>
      </w:r>
      <w:r>
        <w:rPr>
          <w:rFonts w:hint="eastAsia" w:ascii="仿宋_GB2312" w:hAnsi="仿宋_GB2312" w:eastAsia="仿宋_GB2312" w:cs="仿宋_GB2312"/>
          <w:lang w:val="en-US" w:eastAsia="zh-CN"/>
        </w:rPr>
        <w:t>配备</w:t>
      </w:r>
      <w:r>
        <w:rPr>
          <w:rFonts w:hint="eastAsia" w:ascii="仿宋_GB2312" w:hAnsi="仿宋_GB2312" w:eastAsia="仿宋_GB2312" w:cs="仿宋_GB2312"/>
        </w:rPr>
        <w:t>数字化诊疗设备，实现“小病不出镇”，</w:t>
      </w:r>
      <w:r>
        <w:rPr>
          <w:rFonts w:hint="eastAsia" w:ascii="仿宋_GB2312" w:hAnsi="仿宋_GB2312" w:cs="仿宋_GB2312"/>
          <w:lang w:val="en-US" w:eastAsia="zh-CN"/>
        </w:rPr>
        <w:t>加快</w:t>
      </w:r>
      <w:r>
        <w:rPr>
          <w:rFonts w:hint="eastAsia" w:ascii="仿宋_GB2312" w:hAnsi="仿宋_GB2312" w:eastAsia="仿宋_GB2312" w:cs="仿宋_GB2312"/>
        </w:rPr>
        <w:t>实施锦西社区卫生服务中心原址重建项目。优化村卫生室服务功能，推进村医队伍专业化、年轻化建设，深入开展村医专项培训；完善“智慧村医”系统，推动</w:t>
      </w:r>
      <w:r>
        <w:rPr>
          <w:rFonts w:hint="eastAsia" w:ascii="仿宋_GB2312" w:hAnsi="仿宋_GB2312" w:eastAsia="仿宋_GB2312" w:cs="仿宋_GB2312"/>
          <w:lang w:val="en-US" w:eastAsia="zh-CN"/>
        </w:rPr>
        <w:t>全市288</w:t>
      </w:r>
      <w:r>
        <w:rPr>
          <w:rFonts w:hint="eastAsia" w:ascii="仿宋_GB2312" w:hAnsi="仿宋_GB2312" w:eastAsia="仿宋_GB2312" w:cs="仿宋_GB2312"/>
        </w:rPr>
        <w:t>个村卫生室实现远程会诊和健康监测全覆盖。</w:t>
      </w:r>
    </w:p>
    <w:p w14:paraId="333D02AE">
      <w:pPr>
        <w:bidi w:val="0"/>
        <w:rPr>
          <w:rFonts w:hint="eastAsia" w:ascii="仿宋_GB2312" w:hAnsi="仿宋_GB2312" w:cs="仿宋_GB2312"/>
          <w:lang w:val="en-US" w:eastAsia="zh-CN"/>
        </w:rPr>
      </w:pPr>
      <w:r>
        <w:rPr>
          <w:rFonts w:hint="eastAsia" w:ascii="仿宋_GB2312" w:hAnsi="仿宋_GB2312" w:eastAsia="仿宋_GB2312" w:cs="仿宋_GB2312"/>
          <w:b/>
          <w:bCs/>
        </w:rPr>
        <w:t>深入推进紧密型县域医共体建设。</w:t>
      </w:r>
      <w:r>
        <w:rPr>
          <w:rFonts w:hint="eastAsia" w:ascii="仿宋_GB2312" w:hAnsi="仿宋_GB2312" w:eastAsia="仿宋_GB2312" w:cs="仿宋_GB2312"/>
        </w:rPr>
        <w:t>以富锦市中心医院、中医医院为龙头</w:t>
      </w:r>
      <w:r>
        <w:rPr>
          <w:rFonts w:hint="eastAsia" w:ascii="仿宋_GB2312" w:hAnsi="仿宋_GB2312" w:cs="仿宋_GB2312"/>
          <w:lang w:val="en-US" w:eastAsia="zh-CN"/>
        </w:rPr>
        <w:t>组建2个医共体</w:t>
      </w:r>
      <w:r>
        <w:rPr>
          <w:rFonts w:hint="eastAsia" w:ascii="仿宋_GB2312" w:hAnsi="仿宋_GB2312" w:eastAsia="仿宋_GB2312" w:cs="仿宋_GB2312"/>
        </w:rPr>
        <w:t>，</w:t>
      </w:r>
      <w:r>
        <w:rPr>
          <w:rFonts w:hint="eastAsia" w:ascii="仿宋_GB2312" w:hAnsi="仿宋_GB2312" w:cs="仿宋_GB2312"/>
          <w:lang w:val="en-US" w:eastAsia="zh-CN"/>
        </w:rPr>
        <w:t>建立“市级医院抓重症、乡镇抓常见病、村社抓健康管理”分工机制，推进县域内检查检验结果互认，加快</w:t>
      </w:r>
      <w:r>
        <w:rPr>
          <w:rFonts w:hint="eastAsia" w:ascii="仿宋_GB2312" w:hAnsi="仿宋_GB2312" w:eastAsia="仿宋_GB2312" w:cs="仿宋_GB2312"/>
          <w:lang w:val="en-US" w:eastAsia="zh-CN"/>
        </w:rPr>
        <w:t>完善</w:t>
      </w:r>
      <w:r>
        <w:rPr>
          <w:rFonts w:hint="eastAsia" w:ascii="仿宋_GB2312" w:hAnsi="仿宋_GB2312" w:eastAsia="仿宋_GB2312" w:cs="仿宋_GB2312"/>
        </w:rPr>
        <w:t>县域医共体核心功能，</w:t>
      </w:r>
      <w:r>
        <w:rPr>
          <w:rFonts w:hint="eastAsia" w:ascii="仿宋_GB2312" w:hAnsi="仿宋_GB2312" w:cs="仿宋_GB2312"/>
          <w:lang w:val="en-US" w:eastAsia="zh-CN"/>
        </w:rPr>
        <w:t>同步推进中心医院检验中心、远程会诊中心、影像诊断中心、心电诊断中心和病理会诊中心“五中心”建设，</w:t>
      </w:r>
      <w:r>
        <w:rPr>
          <w:rFonts w:hint="eastAsia" w:ascii="仿宋_GB2312" w:hAnsi="仿宋_GB2312" w:eastAsia="仿宋_GB2312" w:cs="仿宋_GB2312"/>
          <w:lang w:val="en-US" w:eastAsia="zh-CN"/>
        </w:rPr>
        <w:t>健全</w:t>
      </w:r>
      <w:r>
        <w:rPr>
          <w:rFonts w:hint="eastAsia" w:ascii="仿宋_GB2312" w:hAnsi="仿宋_GB2312" w:eastAsia="仿宋_GB2312" w:cs="仿宋_GB2312"/>
        </w:rPr>
        <w:t>县域医共体支持政策，建立二级医院包乡镇、乡镇卫生院包村</w:t>
      </w:r>
      <w:r>
        <w:rPr>
          <w:rFonts w:hint="eastAsia" w:ascii="仿宋_GB2312" w:hAnsi="仿宋_GB2312" w:eastAsia="仿宋_GB2312" w:cs="仿宋_GB2312"/>
          <w:lang w:eastAsia="zh-CN"/>
        </w:rPr>
        <w:t>的</w:t>
      </w:r>
      <w:r>
        <w:rPr>
          <w:rFonts w:hint="eastAsia" w:ascii="仿宋_GB2312" w:hAnsi="仿宋_GB2312" w:eastAsia="仿宋_GB2312" w:cs="仿宋_GB2312"/>
        </w:rPr>
        <w:t>工作机制，推进市</w:t>
      </w:r>
      <w:r>
        <w:rPr>
          <w:rFonts w:hint="eastAsia" w:ascii="仿宋_GB2312" w:hAnsi="仿宋_GB2312" w:eastAsia="仿宋_GB2312" w:cs="仿宋_GB2312"/>
          <w:lang w:eastAsia="zh-CN"/>
        </w:rPr>
        <w:t>、</w:t>
      </w:r>
      <w:r>
        <w:rPr>
          <w:rFonts w:hint="eastAsia" w:ascii="仿宋_GB2312" w:hAnsi="仿宋_GB2312" w:eastAsia="仿宋_GB2312" w:cs="仿宋_GB2312"/>
        </w:rPr>
        <w:t>镇</w:t>
      </w:r>
      <w:r>
        <w:rPr>
          <w:rFonts w:hint="eastAsia" w:ascii="仿宋_GB2312" w:hAnsi="仿宋_GB2312" w:eastAsia="仿宋_GB2312" w:cs="仿宋_GB2312"/>
          <w:lang w:eastAsia="zh-CN"/>
        </w:rPr>
        <w:t>、</w:t>
      </w:r>
      <w:r>
        <w:rPr>
          <w:rFonts w:hint="eastAsia" w:ascii="仿宋_GB2312" w:hAnsi="仿宋_GB2312" w:eastAsia="仿宋_GB2312" w:cs="仿宋_GB2312"/>
        </w:rPr>
        <w:t>村三级医疗机构一体化管理</w:t>
      </w:r>
      <w:r>
        <w:rPr>
          <w:rFonts w:hint="eastAsia" w:ascii="仿宋_GB2312" w:hAnsi="仿宋_GB2312" w:eastAsia="仿宋_GB2312" w:cs="仿宋_GB2312"/>
          <w:lang w:eastAsia="zh-CN"/>
        </w:rPr>
        <w:t>。</w:t>
      </w:r>
      <w:r>
        <w:rPr>
          <w:rFonts w:hint="eastAsia" w:ascii="仿宋_GB2312" w:hAnsi="仿宋_GB2312" w:cs="仿宋_GB2312"/>
          <w:lang w:val="en-US" w:eastAsia="zh-CN"/>
        </w:rPr>
        <w:t>加快实施</w:t>
      </w:r>
      <w:r>
        <w:rPr>
          <w:rFonts w:hint="eastAsia" w:ascii="仿宋_GB2312" w:hAnsi="仿宋_GB2312" w:eastAsia="仿宋_GB2312" w:cs="仿宋_GB2312"/>
        </w:rPr>
        <w:t>富锦市紧密型医共体信息化</w:t>
      </w:r>
      <w:r>
        <w:rPr>
          <w:rFonts w:hint="eastAsia" w:ascii="仿宋_GB2312" w:hAnsi="仿宋_GB2312" w:cs="仿宋_GB2312"/>
          <w:lang w:val="en-US" w:eastAsia="zh-CN"/>
        </w:rPr>
        <w:t>平台</w:t>
      </w:r>
      <w:r>
        <w:rPr>
          <w:rFonts w:hint="eastAsia" w:ascii="仿宋_GB2312" w:hAnsi="仿宋_GB2312" w:eastAsia="仿宋_GB2312" w:cs="仿宋_GB2312"/>
        </w:rPr>
        <w:t>建设项目，</w:t>
      </w:r>
      <w:r>
        <w:rPr>
          <w:rFonts w:hint="eastAsia" w:ascii="仿宋_GB2312" w:hAnsi="仿宋_GB2312" w:cs="仿宋_GB2312"/>
          <w:lang w:val="en-US" w:eastAsia="zh-CN"/>
        </w:rPr>
        <w:t>实现市、镇、村三级医疗机构数据互联互通和业务协同高效开展</w:t>
      </w:r>
      <w:r>
        <w:rPr>
          <w:rFonts w:hint="eastAsia" w:ascii="仿宋_GB2312" w:hAnsi="仿宋_GB2312" w:eastAsia="仿宋_GB2312" w:cs="仿宋_GB2312"/>
        </w:rPr>
        <w:t>，</w:t>
      </w:r>
      <w:r>
        <w:rPr>
          <w:rFonts w:hint="eastAsia" w:ascii="仿宋_GB2312" w:hAnsi="仿宋_GB2312" w:cs="仿宋_GB2312"/>
          <w:lang w:val="en-US" w:eastAsia="zh-CN"/>
        </w:rPr>
        <w:t>全面提升基层诊疗能力，让群众获得更高质量、更加便捷、更为经济的医疗卫生服务。</w:t>
      </w:r>
    </w:p>
    <w:p w14:paraId="03E00481">
      <w:pPr>
        <w:bidi w:val="0"/>
        <w:rPr>
          <w:rFonts w:hint="default" w:ascii="仿宋_GB2312" w:hAnsi="仿宋_GB2312" w:eastAsia="仿宋_GB2312" w:cs="仿宋_GB2312"/>
          <w:lang w:val="en-US" w:eastAsia="zh-CN"/>
        </w:rPr>
      </w:pPr>
      <w:r>
        <w:rPr>
          <w:rFonts w:hint="eastAsia" w:ascii="仿宋_GB2312" w:hAnsi="仿宋_GB2312" w:cs="仿宋_GB2312"/>
          <w:b/>
          <w:bCs/>
          <w:lang w:val="en-US" w:eastAsia="zh-CN"/>
        </w:rPr>
        <w:t>推进医疗服务能力升级。</w:t>
      </w:r>
      <w:r>
        <w:rPr>
          <w:rFonts w:hint="eastAsia" w:ascii="仿宋_GB2312" w:hAnsi="仿宋_GB2312" w:eastAsia="仿宋_GB2312" w:cs="仿宋_GB2312"/>
          <w:lang w:val="en-US" w:eastAsia="zh-CN"/>
        </w:rPr>
        <w:t>加强专科能力建设，支持中心医院建设心血管内科、神经外科等5个佳木斯市级重点专科，支持中医医院打造针灸康复、骨伤科2个省级重点专科培育单位</w:t>
      </w:r>
      <w:r>
        <w:rPr>
          <w:rFonts w:hint="eastAsia" w:ascii="仿宋_GB2312" w:hAnsi="仿宋_GB2312" w:cs="仿宋_GB2312"/>
          <w:lang w:val="en-US" w:eastAsia="zh-CN"/>
        </w:rPr>
        <w:t>，推广中医适宜技术。加强医疗卫生队伍能力和作风建设，实施“人才强卫”计划，通过“柔性引进+本土培养”模式，强化省级学科带头人引进和市级骨干医师培养，实施“全科医生+专科特长”双轨培养，推行“师带徒”机制，构建梯队化人才培养体系，</w:t>
      </w:r>
      <w:r>
        <w:rPr>
          <w:rFonts w:hint="eastAsia" w:ascii="仿宋_GB2312" w:hAnsi="仿宋_GB2312" w:eastAsia="仿宋_GB2312" w:cs="仿宋_GB2312"/>
          <w:lang w:val="en-US" w:eastAsia="zh-CN"/>
        </w:rPr>
        <w:t>健全医务人员信用评价与医德考评体系</w:t>
      </w:r>
      <w:r>
        <w:rPr>
          <w:rFonts w:hint="eastAsia" w:ascii="仿宋_GB2312" w:hAnsi="仿宋_GB2312" w:cs="仿宋_GB2312"/>
          <w:lang w:val="en-US" w:eastAsia="zh-CN"/>
        </w:rPr>
        <w:t>。深化基层人才“留育用”机制，落实“扎根基层30年破格晋升高级职称”政策，完善职称评审体系，扩大基层倾斜力度，</w:t>
      </w:r>
      <w:r>
        <w:rPr>
          <w:rFonts w:hint="eastAsia" w:ascii="仿宋_GB2312" w:hAnsi="仿宋_GB2312" w:eastAsia="仿宋_GB2312" w:cs="仿宋_GB2312"/>
          <w:lang w:val="en-US" w:eastAsia="zh-CN"/>
        </w:rPr>
        <w:t>并依托紧密型县域医共体促进人才、技术、管理下沉，着力打造一支规模适宜、结构优化、医术精湛、服务优良、人民信赖的医疗卫生人才队伍，为保障全市人民健康提供坚实支撑。</w:t>
      </w:r>
    </w:p>
    <w:p w14:paraId="133700D5">
      <w:pPr>
        <w:numPr>
          <w:ilvl w:val="0"/>
          <w:numId w:val="0"/>
        </w:numPr>
        <w:bidi w:val="0"/>
        <w:ind w:firstLine="643" w:firstLineChars="200"/>
        <w:rPr>
          <w:rFonts w:hint="eastAsia" w:ascii="仿宋_GB2312" w:hAnsi="仿宋_GB2312" w:cs="仿宋_GB2312"/>
          <w:b/>
          <w:bCs/>
          <w:lang w:val="en-US" w:eastAsia="zh-CN"/>
        </w:rPr>
      </w:pPr>
      <w:r>
        <w:rPr>
          <w:rFonts w:hint="eastAsia" w:ascii="仿宋_GB2312" w:hAnsi="仿宋_GB2312" w:eastAsia="仿宋_GB2312" w:cs="仿宋_GB2312"/>
          <w:b/>
          <w:bCs/>
          <w:kern w:val="2"/>
          <w:sz w:val="32"/>
          <w:szCs w:val="24"/>
          <w:lang w:val="en-US" w:eastAsia="zh-CN" w:bidi="ar-SA"/>
        </w:rPr>
        <w:t>二、</w:t>
      </w:r>
      <w:r>
        <w:rPr>
          <w:rFonts w:hint="eastAsia" w:ascii="仿宋_GB2312" w:hAnsi="仿宋_GB2312" w:cs="仿宋_GB2312"/>
          <w:b/>
          <w:bCs/>
          <w:lang w:val="en-US" w:eastAsia="zh-CN"/>
        </w:rPr>
        <w:t>深化医防融合体系建设</w:t>
      </w:r>
    </w:p>
    <w:p w14:paraId="425C5CA6">
      <w:pPr>
        <w:bidi w:val="0"/>
        <w:rPr>
          <w:rFonts w:hint="eastAsia" w:ascii="仿宋_GB2312" w:hAnsi="仿宋_GB2312" w:eastAsia="仿宋_GB2312" w:cs="仿宋_GB2312"/>
          <w:b/>
          <w:bCs/>
          <w:lang w:val="en-US" w:eastAsia="zh-CN"/>
        </w:rPr>
      </w:pPr>
      <w:r>
        <w:rPr>
          <w:rFonts w:hint="eastAsia" w:ascii="仿宋_GB2312" w:hAnsi="仿宋_GB2312" w:cs="仿宋_GB2312"/>
          <w:b/>
          <w:bCs/>
          <w:lang w:val="en-US" w:eastAsia="zh-CN"/>
        </w:rPr>
        <w:t>深化医药卫生体制改革。</w:t>
      </w:r>
      <w:r>
        <w:rPr>
          <w:rFonts w:hint="eastAsia" w:ascii="仿宋_GB2312" w:hAnsi="仿宋_GB2312" w:eastAsia="仿宋_GB2312" w:cs="仿宋_GB2312"/>
          <w:lang w:val="en-US" w:eastAsia="zh-CN"/>
        </w:rPr>
        <w:t>加强医疗、医保、医药协同发展和治理，推进分级诊疗体系建设。以公益性为导向深化公立医院改革，加强医疗机构运行保障。优化医疗机构功能定位和布局，实施</w:t>
      </w:r>
      <w:r>
        <w:rPr>
          <w:rFonts w:hint="eastAsia" w:ascii="仿宋_GB2312" w:hAnsi="仿宋_GB2312" w:cs="仿宋_GB2312"/>
          <w:lang w:val="en-US" w:eastAsia="zh-CN"/>
        </w:rPr>
        <w:t>医疗卫生“强基工程”</w:t>
      </w:r>
      <w:r>
        <w:rPr>
          <w:rFonts w:hint="eastAsia" w:ascii="仿宋_GB2312" w:hAnsi="仿宋_GB2312" w:eastAsia="仿宋_GB2312" w:cs="仿宋_GB2312"/>
          <w:lang w:val="en-US" w:eastAsia="zh-CN"/>
        </w:rPr>
        <w:t>，推进远程医疗、巡回医疗，提升医疗服务能力。</w:t>
      </w:r>
    </w:p>
    <w:p w14:paraId="4EE928CA">
      <w:pPr>
        <w:bidi w:val="0"/>
        <w:rPr>
          <w:rFonts w:hint="eastAsia" w:ascii="Times New Roman" w:hAnsi="Times New Roman" w:eastAsia="仿宋_GB2312" w:cs="Times New Roman"/>
          <w:color w:val="000000"/>
          <w:kern w:val="2"/>
          <w:sz w:val="34"/>
          <w:szCs w:val="34"/>
          <w:u w:val="none"/>
          <w:lang w:val="en-US" w:eastAsia="zh-CN" w:bidi="ar-SA"/>
        </w:rPr>
      </w:pPr>
      <w:r>
        <w:rPr>
          <w:rFonts w:hint="eastAsia" w:ascii="仿宋_GB2312" w:hAnsi="仿宋_GB2312" w:eastAsia="仿宋_GB2312" w:cs="仿宋_GB2312"/>
          <w:b/>
          <w:bCs/>
          <w:lang w:val="en-US" w:eastAsia="zh-CN"/>
        </w:rPr>
        <w:t>强化疾病精准防控能力</w:t>
      </w:r>
      <w:r>
        <w:rPr>
          <w:rFonts w:hint="eastAsia" w:ascii="仿宋_GB2312" w:hAnsi="仿宋_GB2312" w:cs="仿宋_GB2312"/>
          <w:b/>
          <w:bCs/>
          <w:lang w:val="en-US" w:eastAsia="zh-CN"/>
        </w:rPr>
        <w:t>建设</w:t>
      </w:r>
      <w:r>
        <w:rPr>
          <w:rFonts w:hint="eastAsia" w:ascii="仿宋_GB2312" w:hAnsi="仿宋_GB2312" w:eastAsia="仿宋_GB2312" w:cs="仿宋_GB2312"/>
          <w:b/>
          <w:bCs/>
          <w:lang w:val="en-US" w:eastAsia="zh-CN"/>
        </w:rPr>
        <w:t>。</w:t>
      </w:r>
      <w:r>
        <w:rPr>
          <w:rFonts w:hint="eastAsia" w:ascii="仿宋_GB2312" w:hAnsi="仿宋_GB2312" w:eastAsia="仿宋_GB2312" w:cs="仿宋_GB2312"/>
          <w:lang w:val="en-US" w:eastAsia="zh-CN"/>
        </w:rPr>
        <w:t>加快建立健全公共卫生应急管理体系，防控重大传染病，完善疾病预防控制网络，全面提升应对重大突发公共卫生事件的能力。提升传染病防控能力，强化传染病监测预警、流行病学调查和应急处置能力，为17家乡镇卫生院和2家社区卫生服务中心配备传染病快检设备</w:t>
      </w:r>
      <w:r>
        <w:rPr>
          <w:rFonts w:hint="eastAsia" w:ascii="仿宋_GB2312" w:hAnsi="仿宋_GB2312" w:cs="仿宋_GB2312"/>
          <w:lang w:val="en-US" w:eastAsia="zh-CN"/>
        </w:rPr>
        <w:t>，</w:t>
      </w:r>
      <w:r>
        <w:rPr>
          <w:rFonts w:hint="eastAsia" w:ascii="仿宋_GB2312" w:hAnsi="仿宋_GB2312" w:eastAsia="仿宋_GB2312" w:cs="仿宋_GB2312"/>
          <w:sz w:val="32"/>
          <w:szCs w:val="32"/>
        </w:rPr>
        <w:t>重点推进富锦市铁路医院传染病区能力建设项目</w:t>
      </w:r>
      <w:r>
        <w:rPr>
          <w:rFonts w:hint="eastAsia" w:ascii="仿宋_GB2312" w:hAnsi="仿宋_GB2312" w:cs="仿宋_GB2312"/>
          <w:sz w:val="32"/>
          <w:szCs w:val="32"/>
          <w:lang w:eastAsia="zh-CN"/>
        </w:rPr>
        <w:t>。</w:t>
      </w:r>
      <w:r>
        <w:rPr>
          <w:rFonts w:hint="default" w:ascii="仿宋_GB2312" w:hAnsi="仿宋_GB2312" w:eastAsia="仿宋_GB2312" w:cs="仿宋_GB2312"/>
          <w:kern w:val="2"/>
          <w:sz w:val="32"/>
          <w:szCs w:val="32"/>
          <w:lang w:val="en-US" w:eastAsia="zh-CN" w:bidi="ar-SA"/>
        </w:rPr>
        <w:t>提升急诊急救、血液保障和应急能力。</w:t>
      </w:r>
      <w:r>
        <w:rPr>
          <w:rFonts w:hint="eastAsia" w:ascii="仿宋_GB2312" w:hAnsi="仿宋_GB2312" w:eastAsia="仿宋_GB2312" w:cs="仿宋_GB2312"/>
        </w:rPr>
        <w:t>加强卫生应急队伍建设，加快组建专业化卫生应急队伍，定期开展多部门联合演练，强化应急物资储备</w:t>
      </w:r>
      <w:r>
        <w:rPr>
          <w:rFonts w:hint="eastAsia" w:ascii="仿宋_GB2312" w:hAnsi="仿宋_GB2312" w:eastAsia="仿宋_GB2312" w:cs="仿宋_GB2312"/>
          <w:lang w:val="en-US" w:eastAsia="zh-CN"/>
        </w:rPr>
        <w:t>与管理</w:t>
      </w:r>
      <w:r>
        <w:rPr>
          <w:rFonts w:hint="eastAsia" w:ascii="仿宋_GB2312" w:hAnsi="仿宋_GB2312" w:eastAsia="仿宋_GB2312" w:cs="仿宋_GB2312"/>
        </w:rPr>
        <w:t>。</w:t>
      </w:r>
    </w:p>
    <w:p w14:paraId="02032284">
      <w:pPr>
        <w:bidi w:val="0"/>
        <w:rPr>
          <w:rFonts w:hint="default"/>
          <w:lang w:val="en-US" w:eastAsia="zh-CN"/>
        </w:rPr>
      </w:pPr>
      <w:r>
        <w:rPr>
          <w:rFonts w:hint="default"/>
          <w:b/>
          <w:bCs/>
          <w:lang w:val="en-US" w:eastAsia="zh-CN"/>
        </w:rPr>
        <w:t>加强慢性病综合防控</w:t>
      </w:r>
      <w:r>
        <w:rPr>
          <w:rFonts w:hint="eastAsia"/>
          <w:b/>
          <w:bCs/>
          <w:lang w:val="en-US" w:eastAsia="zh-CN"/>
        </w:rPr>
        <w:t>。</w:t>
      </w:r>
      <w:r>
        <w:rPr>
          <w:rFonts w:hint="default"/>
          <w:lang w:val="en-US" w:eastAsia="zh-CN"/>
        </w:rPr>
        <w:t>推广早筛早诊早治，</w:t>
      </w:r>
      <w:r>
        <w:rPr>
          <w:rFonts w:hint="eastAsia"/>
          <w:lang w:val="en-US" w:eastAsia="zh-CN"/>
        </w:rPr>
        <w:t>建立慢性病管理大数据平台，为患者提供个性化健康指导。建立医疗机构与疾控中心信息共享平台，实现肺结核、高血压等病例数据实时互通，建立“医疗救治－疾病防控”无缝衔接机制。依托医共体建立高血压、糖尿病“筛查－干预－随访”服务链，建立</w:t>
      </w:r>
      <w:r>
        <w:rPr>
          <w:rFonts w:hint="default"/>
          <w:lang w:val="en-US" w:eastAsia="zh-CN"/>
        </w:rPr>
        <w:t>慢性病“防、筛、治、管”一体化服务模式</w:t>
      </w:r>
      <w:r>
        <w:rPr>
          <w:rFonts w:hint="eastAsia"/>
          <w:lang w:val="en-US" w:eastAsia="zh-CN"/>
        </w:rPr>
        <w:t>，</w:t>
      </w:r>
      <w:r>
        <w:rPr>
          <w:rFonts w:hint="default"/>
          <w:lang w:val="en-US" w:eastAsia="zh-CN"/>
        </w:rPr>
        <w:t>发展防治康管全链条服务。</w:t>
      </w:r>
    </w:p>
    <w:p w14:paraId="5E15738E">
      <w:pPr>
        <w:bidi w:val="0"/>
        <w:rPr>
          <w:rFonts w:hint="default" w:ascii="仿宋_GB2312" w:hAnsi="仿宋_GB2312" w:eastAsia="仿宋_GB2312" w:cs="仿宋_GB2312"/>
          <w:b/>
          <w:bCs/>
          <w:lang w:val="en-US" w:eastAsia="zh-CN"/>
        </w:rPr>
      </w:pPr>
      <w:r>
        <w:rPr>
          <w:rFonts w:hint="eastAsia" w:ascii="仿宋_GB2312" w:hAnsi="仿宋_GB2312" w:cs="仿宋_GB2312"/>
          <w:b/>
          <w:bCs/>
          <w:lang w:val="en-US" w:eastAsia="zh-CN"/>
        </w:rPr>
        <w:t>三</w:t>
      </w:r>
      <w:r>
        <w:rPr>
          <w:rFonts w:hint="eastAsia" w:ascii="仿宋_GB2312" w:hAnsi="仿宋_GB2312" w:eastAsia="仿宋_GB2312" w:cs="仿宋_GB2312"/>
          <w:b/>
          <w:bCs/>
        </w:rPr>
        <w:t>、</w:t>
      </w:r>
      <w:r>
        <w:rPr>
          <w:rFonts w:hint="eastAsia" w:ascii="仿宋_GB2312" w:hAnsi="仿宋_GB2312" w:cs="仿宋_GB2312"/>
          <w:b/>
          <w:bCs/>
          <w:lang w:val="en-US" w:eastAsia="zh-CN"/>
        </w:rPr>
        <w:t>推进中医药传承创新</w:t>
      </w:r>
    </w:p>
    <w:p w14:paraId="7EEB9063">
      <w:pPr>
        <w:bidi w:val="0"/>
        <w:rPr>
          <w:rFonts w:hint="default"/>
          <w:lang w:val="en-US" w:eastAsia="zh-CN"/>
        </w:rPr>
      </w:pPr>
      <w:r>
        <w:rPr>
          <w:rFonts w:hint="default"/>
          <w:lang w:val="en-US" w:eastAsia="zh-CN"/>
        </w:rPr>
        <w:t>实施中医药振兴发展行动，促进中西医结合，健全中医药适宜技术体系，建设中医优势专科，</w:t>
      </w:r>
      <w:r>
        <w:rPr>
          <w:rFonts w:hint="eastAsia"/>
          <w:lang w:val="en-US" w:eastAsia="zh-CN"/>
        </w:rPr>
        <w:t>加强中医人才培养，</w:t>
      </w:r>
      <w:r>
        <w:rPr>
          <w:rFonts w:hint="default"/>
          <w:lang w:val="en-US" w:eastAsia="zh-CN"/>
        </w:rPr>
        <w:t>推动中医药传承创新发展。</w:t>
      </w:r>
    </w:p>
    <w:p w14:paraId="13BEEB42">
      <w:pPr>
        <w:bidi w:val="0"/>
        <w:rPr>
          <w:rFonts w:hint="eastAsia" w:ascii="仿宋_GB2312" w:hAnsi="仿宋_GB2312" w:cs="仿宋_GB2312"/>
          <w:lang w:val="en-US" w:eastAsia="zh-CN"/>
        </w:rPr>
      </w:pPr>
      <w:r>
        <w:rPr>
          <w:rFonts w:hint="eastAsia"/>
          <w:b/>
          <w:bCs/>
          <w:lang w:val="en-US" w:eastAsia="zh-CN"/>
        </w:rPr>
        <w:t>加强中医服务网络建设。</w:t>
      </w:r>
      <w:r>
        <w:rPr>
          <w:rFonts w:hint="eastAsia"/>
          <w:lang w:val="en-US" w:eastAsia="zh-CN"/>
        </w:rPr>
        <w:t>加快在乡镇卫生院设立“中医馆”，推广针</w:t>
      </w:r>
      <w:r>
        <w:rPr>
          <w:rFonts w:hint="eastAsia" w:ascii="仿宋_GB2312" w:hAnsi="仿宋_GB2312" w:eastAsia="仿宋_GB2312" w:cs="仿宋_GB2312"/>
          <w:lang w:val="en-US" w:eastAsia="zh-CN"/>
        </w:rPr>
        <w:t>灸、艾灸等适宜技术，</w:t>
      </w:r>
      <w:r>
        <w:rPr>
          <w:rFonts w:hint="eastAsia" w:ascii="仿宋_GB2312" w:hAnsi="仿宋_GB2312" w:cs="仿宋_GB2312"/>
          <w:lang w:val="en-US" w:eastAsia="zh-CN"/>
        </w:rPr>
        <w:t>实现乡镇卫生院中医药服务全覆盖</w:t>
      </w:r>
      <w:r>
        <w:rPr>
          <w:rFonts w:hint="eastAsia" w:ascii="仿宋_GB2312" w:hAnsi="仿宋_GB2312" w:eastAsia="仿宋_GB2312" w:cs="仿宋_GB2312"/>
          <w:lang w:val="en-US" w:eastAsia="zh-CN"/>
        </w:rPr>
        <w:t>。</w:t>
      </w:r>
      <w:r>
        <w:rPr>
          <w:rFonts w:hint="eastAsia" w:ascii="仿宋_GB2312" w:hAnsi="仿宋_GB2312" w:cs="仿宋_GB2312"/>
          <w:lang w:val="en-US" w:eastAsia="zh-CN"/>
        </w:rPr>
        <w:t>联合养老机构推行“医养托管”模式，为老年人提供体质辨识、慢性病调理等特色服务，并</w:t>
      </w:r>
      <w:r>
        <w:rPr>
          <w:rFonts w:hint="eastAsia"/>
        </w:rPr>
        <w:t>将中医药融入家庭医生签约服务，提高中医药在基层的可及性</w:t>
      </w:r>
      <w:r>
        <w:rPr>
          <w:rFonts w:hint="eastAsia"/>
          <w:lang w:eastAsia="zh-CN"/>
        </w:rPr>
        <w:t>。</w:t>
      </w:r>
      <w:r>
        <w:rPr>
          <w:rFonts w:hint="eastAsia" w:ascii="仿宋_GB2312" w:hAnsi="仿宋_GB2312" w:cs="仿宋_GB2312"/>
          <w:lang w:val="en-US" w:eastAsia="zh-CN"/>
        </w:rPr>
        <w:t>开发中药足浴包、养生茶饮等特色产品，打造“富锦中医康养”品牌。</w:t>
      </w:r>
    </w:p>
    <w:p w14:paraId="5670F34C">
      <w:pPr>
        <w:bidi w:val="0"/>
        <w:rPr>
          <w:rFonts w:hint="eastAsia"/>
          <w:lang w:eastAsia="zh-CN"/>
        </w:rPr>
      </w:pPr>
      <w:r>
        <w:rPr>
          <w:rFonts w:hint="eastAsia"/>
          <w:b/>
          <w:bCs/>
          <w:lang w:val="en-US" w:eastAsia="zh-CN"/>
        </w:rPr>
        <w:t>加强中医人才培养体系建设。</w:t>
      </w:r>
      <w:r>
        <w:rPr>
          <w:rFonts w:hint="eastAsia"/>
          <w:lang w:val="en-US" w:eastAsia="zh-CN"/>
        </w:rPr>
        <w:t>加快构建富锦“骨干专家－中青年医师－后备人才”三级中医人才体系。建立“师带徒”机制，由院内名老中医带教青年医师，定期开展中医经典研读、辨证论治培训，构建脉络清晰、薪火相传的中医药人才梯队，筑牢富锦中医药事业长远发展的人才根基。针对人口老龄化需求，推动在基层医疗机构设立“老年健康服务岗”，培养具备慢病管理、康复护理、心理疏导能力的复合型人才。</w:t>
      </w:r>
    </w:p>
    <w:p w14:paraId="1C2D48E9">
      <w:pPr>
        <w:bidi w:val="0"/>
        <w:rPr>
          <w:rFonts w:hint="default" w:ascii="仿宋_GB2312" w:hAnsi="仿宋_GB2312" w:eastAsia="仿宋_GB2312" w:cs="仿宋_GB2312"/>
          <w:b/>
          <w:bCs/>
          <w:lang w:val="en-US" w:eastAsia="zh-CN"/>
        </w:rPr>
      </w:pPr>
      <w:r>
        <w:rPr>
          <w:rFonts w:hint="eastAsia" w:ascii="仿宋_GB2312" w:hAnsi="仿宋_GB2312" w:eastAsia="仿宋_GB2312" w:cs="仿宋_GB2312"/>
          <w:b/>
          <w:bCs/>
        </w:rPr>
        <w:t>四、推进</w:t>
      </w:r>
      <w:r>
        <w:rPr>
          <w:rFonts w:hint="eastAsia" w:ascii="仿宋_GB2312" w:hAnsi="仿宋_GB2312" w:cs="仿宋_GB2312"/>
          <w:b/>
          <w:bCs/>
          <w:lang w:val="en-US" w:eastAsia="zh-CN"/>
        </w:rPr>
        <w:t>全面健康数字化建设</w:t>
      </w:r>
    </w:p>
    <w:p w14:paraId="0E6DC4F7">
      <w:pPr>
        <w:bidi w:val="0"/>
        <w:rPr>
          <w:rFonts w:hint="eastAsia"/>
          <w:lang w:eastAsia="zh-CN"/>
        </w:rPr>
      </w:pPr>
      <w:r>
        <w:rPr>
          <w:rFonts w:hint="eastAsia" w:ascii="仿宋_GB2312" w:hAnsi="仿宋_GB2312" w:eastAsia="仿宋_GB2312" w:cs="仿宋_GB2312"/>
          <w:lang w:val="en-US" w:eastAsia="zh-CN"/>
        </w:rPr>
        <w:t>提高县域医疗卫生数智化服务水平，</w:t>
      </w:r>
      <w:r>
        <w:rPr>
          <w:rFonts w:hint="eastAsia" w:ascii="仿宋_GB2312" w:hAnsi="仿宋_GB2312" w:eastAsia="仿宋_GB2312" w:cs="仿宋_GB2312"/>
        </w:rPr>
        <w:t>统筹建设县域卫生健康综合信息平台，结合县域医共体建设，整合居民电子健康档案、电子病历和全员人口数据库，实现公共卫生信息互联互通。</w:t>
      </w:r>
      <w:r>
        <w:rPr>
          <w:rFonts w:hint="eastAsia" w:ascii="仿宋_GB2312" w:hAnsi="仿宋_GB2312" w:eastAsia="仿宋_GB2312" w:cs="仿宋_GB2312"/>
          <w:lang w:val="en-US" w:eastAsia="zh-CN"/>
        </w:rPr>
        <w:t>以人工智能优化医疗服务，</w:t>
      </w:r>
      <w:r>
        <w:rPr>
          <w:rFonts w:hint="eastAsia" w:ascii="仿宋_GB2312" w:hAnsi="仿宋_GB2312" w:cs="仿宋_GB2312"/>
          <w:lang w:val="en-US" w:eastAsia="zh-CN"/>
        </w:rPr>
        <w:t>拓展智慧服务场景，在放射科、病理科推行人工智能辅助诊断系统，开展肺结节、糖尿病视网膜病变智能筛查，有效提升诊断准确率。</w:t>
      </w:r>
      <w:r>
        <w:rPr>
          <w:rFonts w:hint="eastAsia" w:ascii="仿宋_GB2312" w:hAnsi="仿宋_GB2312" w:eastAsia="仿宋_GB2312" w:cs="仿宋_GB2312"/>
        </w:rPr>
        <w:t>积极推广远程医疗服务，依托5G技术开展</w:t>
      </w:r>
      <w:r>
        <w:rPr>
          <w:rFonts w:hint="eastAsia" w:ascii="仿宋_GB2312" w:hAnsi="仿宋_GB2312" w:eastAsia="仿宋_GB2312" w:cs="仿宋_GB2312"/>
          <w:lang w:val="en-US" w:eastAsia="zh-CN"/>
        </w:rPr>
        <w:t>向上对接、向下覆盖</w:t>
      </w:r>
      <w:r>
        <w:rPr>
          <w:rFonts w:hint="eastAsia" w:ascii="仿宋_GB2312" w:hAnsi="仿宋_GB2312" w:eastAsia="仿宋_GB2312" w:cs="仿宋_GB2312"/>
        </w:rPr>
        <w:t>的远程会诊、教学和影像诊断，</w:t>
      </w:r>
      <w:r>
        <w:rPr>
          <w:rFonts w:hint="eastAsia" w:ascii="仿宋_GB2312" w:hAnsi="仿宋_GB2312" w:eastAsia="仿宋_GB2312" w:cs="仿宋_GB2312"/>
          <w:lang w:val="en-US" w:eastAsia="zh-CN"/>
        </w:rPr>
        <w:t>使</w:t>
      </w:r>
      <w:r>
        <w:rPr>
          <w:rFonts w:hint="eastAsia" w:ascii="仿宋_GB2312" w:hAnsi="仿宋_GB2312" w:eastAsia="仿宋_GB2312" w:cs="仿宋_GB2312"/>
        </w:rPr>
        <w:t>优质医疗</w:t>
      </w:r>
      <w:r>
        <w:rPr>
          <w:rFonts w:hint="eastAsia" w:ascii="仿宋_GB2312" w:hAnsi="仿宋_GB2312" w:eastAsia="仿宋_GB2312" w:cs="仿宋_GB2312"/>
          <w:lang w:val="en-US" w:eastAsia="zh-CN"/>
        </w:rPr>
        <w:t>资源</w:t>
      </w:r>
      <w:r>
        <w:rPr>
          <w:rFonts w:hint="eastAsia" w:ascii="仿宋_GB2312" w:hAnsi="仿宋_GB2312" w:eastAsia="仿宋_GB2312" w:cs="仿宋_GB2312"/>
        </w:rPr>
        <w:t>“触手可及”。</w:t>
      </w:r>
      <w:bookmarkStart w:id="85" w:name="OLE_LINK37"/>
      <w:r>
        <w:rPr>
          <w:rFonts w:hint="eastAsia" w:ascii="仿宋_GB2312" w:hAnsi="仿宋_GB2312" w:eastAsia="仿宋_GB2312" w:cs="仿宋_GB2312"/>
          <w:lang w:val="en-US" w:eastAsia="zh-CN"/>
        </w:rPr>
        <w:t>推进全民健康数智化建设，</w:t>
      </w:r>
      <w:r>
        <w:rPr>
          <w:rFonts w:hint="eastAsia" w:ascii="仿宋_GB2312" w:hAnsi="仿宋_GB2312" w:cs="仿宋_GB2312"/>
          <w:lang w:val="en-US" w:eastAsia="zh-CN"/>
        </w:rPr>
        <w:t>建成涵盖在线挂号、缴费、报告查询的智慧服务体系，</w:t>
      </w:r>
      <w:r>
        <w:rPr>
          <w:rFonts w:hint="eastAsia" w:ascii="仿宋_GB2312" w:hAnsi="仿宋_GB2312" w:eastAsia="仿宋_GB2312" w:cs="仿宋_GB2312"/>
        </w:rPr>
        <w:t>推动开发县域</w:t>
      </w:r>
      <w:r>
        <w:rPr>
          <w:rFonts w:hint="eastAsia" w:ascii="仿宋_GB2312" w:hAnsi="仿宋_GB2312" w:eastAsia="仿宋_GB2312" w:cs="仿宋_GB2312"/>
          <w:lang w:val="en-US" w:eastAsia="zh-CN"/>
        </w:rPr>
        <w:t>统一</w:t>
      </w:r>
      <w:r>
        <w:rPr>
          <w:rFonts w:hint="eastAsia" w:ascii="仿宋_GB2312" w:hAnsi="仿宋_GB2312" w:eastAsia="仿宋_GB2312" w:cs="仿宋_GB2312"/>
        </w:rPr>
        <w:t>健康管理APP</w:t>
      </w:r>
      <w:bookmarkEnd w:id="85"/>
      <w:r>
        <w:rPr>
          <w:rFonts w:hint="eastAsia" w:ascii="仿宋_GB2312" w:hAnsi="仿宋_GB2312" w:eastAsia="仿宋_GB2312" w:cs="仿宋_GB2312"/>
        </w:rPr>
        <w:t>，提供在线问诊、用药提醒、健康知识推送等便民服务。</w:t>
      </w:r>
    </w:p>
    <w:p w14:paraId="27D5B4F2">
      <w:pPr>
        <w:bidi w:val="0"/>
        <w:rPr>
          <w:rFonts w:hint="eastAsia" w:ascii="仿宋_GB2312" w:hAnsi="仿宋_GB2312" w:eastAsia="仿宋_GB2312" w:cs="仿宋_GB2312"/>
          <w:b/>
          <w:bCs/>
        </w:rPr>
      </w:pPr>
      <w:r>
        <w:rPr>
          <w:rFonts w:hint="eastAsia" w:ascii="仿宋_GB2312" w:hAnsi="仿宋_GB2312" w:cs="仿宋_GB2312"/>
          <w:b/>
          <w:bCs/>
          <w:lang w:val="en-US" w:eastAsia="zh-CN"/>
        </w:rPr>
        <w:t>五</w:t>
      </w:r>
      <w:r>
        <w:rPr>
          <w:rFonts w:hint="eastAsia" w:ascii="仿宋_GB2312" w:hAnsi="仿宋_GB2312" w:eastAsia="仿宋_GB2312" w:cs="仿宋_GB2312"/>
          <w:b/>
          <w:bCs/>
        </w:rPr>
        <w:t>、提升乡村和重点人群健康服务水平</w:t>
      </w:r>
    </w:p>
    <w:p w14:paraId="175E501B">
      <w:pPr>
        <w:bidi w:val="0"/>
        <w:rPr>
          <w:rFonts w:hint="eastAsia" w:ascii="仿宋_GB2312" w:hAnsi="仿宋_GB2312" w:eastAsia="仿宋_GB2312" w:cs="仿宋_GB2312"/>
        </w:rPr>
      </w:pPr>
      <w:r>
        <w:rPr>
          <w:rFonts w:hint="eastAsia" w:ascii="仿宋_GB2312" w:hAnsi="仿宋_GB2312" w:eastAsia="仿宋_GB2312" w:cs="仿宋_GB2312"/>
          <w:b/>
          <w:bCs/>
        </w:rPr>
        <w:t>提升乡村健康服务水平。</w:t>
      </w:r>
      <w:r>
        <w:rPr>
          <w:rFonts w:hint="eastAsia" w:ascii="仿宋_GB2312" w:hAnsi="仿宋_GB2312" w:eastAsia="仿宋_GB2312" w:cs="仿宋_GB2312"/>
        </w:rPr>
        <w:t>深入开展爱国卫生运动，结合农村人居环境整治，推进“健康细胞”示范工程建设，组织开展健康家庭、健康村屯等创建活动。</w:t>
      </w:r>
      <w:r>
        <w:rPr>
          <w:rFonts w:hint="eastAsia" w:ascii="仿宋_GB2312" w:hAnsi="仿宋_GB2312" w:eastAsia="仿宋_GB2312" w:cs="仿宋_GB2312"/>
          <w:lang w:val="en-US" w:eastAsia="zh-CN"/>
        </w:rPr>
        <w:t>加强</w:t>
      </w:r>
      <w:r>
        <w:rPr>
          <w:rFonts w:hint="eastAsia" w:ascii="仿宋_GB2312" w:hAnsi="仿宋_GB2312" w:eastAsia="仿宋_GB2312" w:cs="仿宋_GB2312"/>
        </w:rPr>
        <w:t>本土健康人才培育，</w:t>
      </w:r>
      <w:r>
        <w:rPr>
          <w:rFonts w:hint="eastAsia" w:ascii="仿宋_GB2312" w:hAnsi="仿宋_GB2312" w:eastAsia="仿宋_GB2312" w:cs="仿宋_GB2312"/>
          <w:lang w:val="en-US" w:eastAsia="zh-CN"/>
        </w:rPr>
        <w:t>深化</w:t>
      </w:r>
      <w:r>
        <w:rPr>
          <w:rFonts w:hint="eastAsia" w:ascii="仿宋_GB2312" w:hAnsi="仿宋_GB2312" w:eastAsia="仿宋_GB2312" w:cs="仿宋_GB2312"/>
        </w:rPr>
        <w:t>与省内医学院校对接，</w:t>
      </w:r>
      <w:r>
        <w:rPr>
          <w:rFonts w:hint="eastAsia" w:ascii="仿宋_GB2312" w:hAnsi="仿宋_GB2312" w:eastAsia="仿宋_GB2312" w:cs="仿宋_GB2312"/>
          <w:lang w:val="en-US" w:eastAsia="zh-CN"/>
        </w:rPr>
        <w:t>开展</w:t>
      </w:r>
      <w:r>
        <w:rPr>
          <w:rFonts w:hint="eastAsia" w:ascii="仿宋_GB2312" w:hAnsi="仿宋_GB2312" w:eastAsia="仿宋_GB2312" w:cs="仿宋_GB2312"/>
        </w:rPr>
        <w:t>订单定向培养全科医生、公共卫生和中医药专业人才。</w:t>
      </w:r>
    </w:p>
    <w:p w14:paraId="1035174A">
      <w:pPr>
        <w:bidi w:val="0"/>
        <w:rPr>
          <w:rFonts w:hint="default"/>
          <w:lang w:val="en-US" w:eastAsia="zh-CN"/>
        </w:rPr>
      </w:pPr>
      <w:r>
        <w:rPr>
          <w:rFonts w:hint="eastAsia" w:ascii="仿宋_GB2312" w:hAnsi="仿宋_GB2312" w:eastAsia="仿宋_GB2312" w:cs="仿宋_GB2312"/>
          <w:b/>
          <w:bCs/>
        </w:rPr>
        <w:t>强化重点人群健康保障。</w:t>
      </w:r>
      <w:r>
        <w:rPr>
          <w:rFonts w:hint="eastAsia" w:ascii="仿宋_GB2312" w:hAnsi="仿宋_GB2312" w:eastAsia="仿宋_GB2312" w:cs="仿宋_GB2312"/>
        </w:rPr>
        <w:t>谋划实施老年健康服务工程，推动医疗机构与养老机构合作，</w:t>
      </w:r>
      <w:r>
        <w:rPr>
          <w:rFonts w:hint="eastAsia" w:ascii="仿宋_GB2312" w:hAnsi="仿宋_GB2312" w:eastAsia="仿宋_GB2312" w:cs="仿宋_GB2312"/>
          <w:lang w:val="en-US" w:eastAsia="zh-CN"/>
        </w:rPr>
        <w:t>组建</w:t>
      </w:r>
      <w:r>
        <w:rPr>
          <w:rFonts w:hint="eastAsia" w:ascii="仿宋_GB2312" w:hAnsi="仿宋_GB2312" w:eastAsia="仿宋_GB2312" w:cs="仿宋_GB2312"/>
        </w:rPr>
        <w:t>医疗养老联合体，探索“医养结合”</w:t>
      </w:r>
      <w:r>
        <w:rPr>
          <w:rFonts w:hint="eastAsia" w:ascii="仿宋_GB2312" w:hAnsi="仿宋_GB2312" w:eastAsia="仿宋_GB2312" w:cs="仿宋_GB2312"/>
          <w:lang w:val="en-US" w:eastAsia="zh-CN"/>
        </w:rPr>
        <w:t>新型服务</w:t>
      </w:r>
      <w:r>
        <w:rPr>
          <w:rFonts w:hint="eastAsia" w:ascii="仿宋_GB2312" w:hAnsi="仿宋_GB2312" w:eastAsia="仿宋_GB2312" w:cs="仿宋_GB2312"/>
        </w:rPr>
        <w:t>模式，建设</w:t>
      </w:r>
      <w:r>
        <w:rPr>
          <w:rFonts w:hint="eastAsia" w:ascii="仿宋_GB2312" w:hAnsi="仿宋_GB2312" w:cs="仿宋_GB2312"/>
          <w:lang w:eastAsia="zh-CN"/>
        </w:rPr>
        <w:t>2～3个</w:t>
      </w:r>
      <w:r>
        <w:rPr>
          <w:rFonts w:hint="eastAsia" w:ascii="仿宋_GB2312" w:hAnsi="仿宋_GB2312" w:eastAsia="仿宋_GB2312" w:cs="仿宋_GB2312"/>
        </w:rPr>
        <w:t>区域性养老医疗服务中心，发展家庭病床和安宁疗护服务。推进妇幼健康</w:t>
      </w:r>
      <w:r>
        <w:rPr>
          <w:rFonts w:hint="eastAsia" w:ascii="仿宋_GB2312" w:hAnsi="仿宋_GB2312" w:eastAsia="仿宋_GB2312" w:cs="仿宋_GB2312"/>
          <w:lang w:val="en-US" w:eastAsia="zh-CN"/>
        </w:rPr>
        <w:t>提质</w:t>
      </w:r>
      <w:r>
        <w:rPr>
          <w:rFonts w:hint="eastAsia" w:ascii="仿宋_GB2312" w:hAnsi="仿宋_GB2312" w:eastAsia="仿宋_GB2312" w:cs="仿宋_GB2312"/>
        </w:rPr>
        <w:t>行动，</w:t>
      </w:r>
      <w:r>
        <w:rPr>
          <w:rFonts w:hint="eastAsia" w:ascii="仿宋_GB2312" w:hAnsi="仿宋_GB2312" w:eastAsia="仿宋_GB2312" w:cs="仿宋_GB2312"/>
          <w:lang w:val="en-US" w:eastAsia="zh-CN"/>
        </w:rPr>
        <w:t>加强</w:t>
      </w:r>
      <w:r>
        <w:rPr>
          <w:rFonts w:hint="eastAsia" w:ascii="仿宋_GB2312" w:hAnsi="仿宋_GB2312" w:eastAsia="仿宋_GB2312" w:cs="仿宋_GB2312"/>
        </w:rPr>
        <w:t>危重孕产妇和新生儿救治中心建设，实现出生缺陷三级预防全覆盖。</w:t>
      </w:r>
    </w:p>
    <w:p w14:paraId="2D9AADB5">
      <w:pPr>
        <w:pStyle w:val="3"/>
        <w:bidi w:val="0"/>
        <w:rPr>
          <w:rFonts w:hint="default"/>
          <w:lang w:val="en-US" w:eastAsia="zh-CN"/>
        </w:rPr>
      </w:pPr>
      <w:bookmarkStart w:id="86" w:name="_Toc17822"/>
      <w:r>
        <w:rPr>
          <w:rFonts w:hint="eastAsia"/>
          <w:lang w:val="en-US" w:eastAsia="zh-CN"/>
        </w:rPr>
        <w:t>第六节  促进人口高质量发展</w:t>
      </w:r>
      <w:bookmarkEnd w:id="86"/>
    </w:p>
    <w:p w14:paraId="5328D42B">
      <w:pPr>
        <w:bidi w:val="0"/>
        <w:rPr>
          <w:rFonts w:hint="eastAsia"/>
        </w:rPr>
      </w:pPr>
      <w:r>
        <w:rPr>
          <w:rFonts w:hint="default"/>
          <w:lang w:val="en-US" w:eastAsia="zh-CN"/>
        </w:rPr>
        <w:t>以积极应对少子化、老龄化为重点，健全覆盖全人群、全生命周期的人口服务体系，积极建设生育友好型、青年发展型、家庭和谐型、老年保障型社会。</w:t>
      </w:r>
    </w:p>
    <w:p w14:paraId="772FD148">
      <w:pPr>
        <w:bidi w:val="0"/>
        <w:rPr>
          <w:rFonts w:hint="eastAsia" w:ascii="仿宋_GB2312" w:hAnsi="仿宋_GB2312" w:eastAsia="仿宋_GB2312" w:cs="仿宋_GB2312"/>
          <w:lang w:val="en-US" w:eastAsia="zh-CN"/>
        </w:rPr>
      </w:pPr>
      <w:r>
        <w:rPr>
          <w:rFonts w:hint="eastAsia" w:ascii="仿宋_GB2312" w:hAnsi="仿宋_GB2312" w:eastAsia="仿宋_GB2312" w:cs="仿宋_GB2312"/>
          <w:b/>
          <w:bCs/>
        </w:rPr>
        <w:t>促进人口长期均衡发展。</w:t>
      </w:r>
      <w:r>
        <w:rPr>
          <w:rFonts w:hint="eastAsia" w:ascii="仿宋_GB2312" w:hAnsi="仿宋_GB2312" w:eastAsia="仿宋_GB2312" w:cs="仿宋_GB2312"/>
          <w:lang w:val="en-US" w:eastAsia="zh-CN"/>
        </w:rPr>
        <w:t>实施提升生育率专项行动，落实生育支持、育儿补贴政策，有效降低家庭生育养育教育成本。优化生殖健康服务，实施早孕关爱行动、孕育和出生缺陷防治能力提升计划，推广基因疾病检测筛查。落实生育保险、生育休假制度。</w:t>
      </w:r>
      <w:r>
        <w:rPr>
          <w:rFonts w:hint="eastAsia" w:ascii="仿宋_GB2312" w:hAnsi="仿宋_GB2312" w:cs="仿宋_GB2312"/>
          <w:lang w:val="en-US" w:eastAsia="zh-CN"/>
        </w:rPr>
        <w:t>大力发展普惠托育服务体系，鼓励和支持社会力量举办普惠托育机构，</w:t>
      </w:r>
      <w:r>
        <w:rPr>
          <w:rFonts w:hint="eastAsia" w:ascii="仿宋_GB2312" w:hAnsi="仿宋_GB2312" w:eastAsia="仿宋_GB2312" w:cs="仿宋_GB2312"/>
          <w:lang w:val="en-US" w:eastAsia="zh-CN"/>
        </w:rPr>
        <w:t>提高普惠托位占比，发展普惠托育和托幼一体化服务。加强妇女和儿童健康服务，</w:t>
      </w:r>
      <w:r>
        <w:rPr>
          <w:rFonts w:hint="eastAsia" w:ascii="仿宋_GB2312" w:hAnsi="仿宋_GB2312" w:eastAsia="仿宋_GB2312" w:cs="仿宋_GB2312"/>
        </w:rPr>
        <w:t>全面落实母婴安全五项制度，强化孕期保健和风险评估管理，扎实开展0至6岁儿童健康管理</w:t>
      </w:r>
      <w:r>
        <w:rPr>
          <w:rFonts w:hint="eastAsia" w:ascii="仿宋_GB2312" w:hAnsi="仿宋_GB2312" w:eastAsia="仿宋_GB2312" w:cs="仿宋_GB2312"/>
          <w:lang w:val="en-US" w:eastAsia="zh-CN"/>
        </w:rPr>
        <w:t>。建立健全促进青年发展体系，拓展青年成长发展空间。</w:t>
      </w:r>
    </w:p>
    <w:p w14:paraId="718CB6DB">
      <w:pPr>
        <w:bidi w:val="0"/>
        <w:rPr>
          <w:rFonts w:hint="eastAsia" w:ascii="仿宋_GB2312" w:hAnsi="仿宋_GB2312" w:eastAsia="仿宋_GB2312" w:cs="仿宋_GB2312"/>
          <w:b/>
          <w:bCs/>
          <w:sz w:val="32"/>
          <w:szCs w:val="32"/>
        </w:rPr>
      </w:pPr>
      <w:r>
        <w:rPr>
          <w:rFonts w:hint="eastAsia" w:ascii="仿宋_GB2312" w:hAnsi="仿宋_GB2312" w:eastAsia="仿宋_GB2312" w:cs="仿宋_GB2312"/>
          <w:b/>
          <w:bCs/>
          <w:lang w:eastAsia="zh-CN"/>
        </w:rPr>
        <w:t>健全</w:t>
      </w:r>
      <w:r>
        <w:rPr>
          <w:rFonts w:hint="eastAsia" w:ascii="仿宋_GB2312" w:hAnsi="仿宋_GB2312" w:eastAsia="仿宋_GB2312" w:cs="仿宋_GB2312"/>
          <w:b/>
          <w:bCs/>
        </w:rPr>
        <w:t>多层次养老服务体系。</w:t>
      </w:r>
      <w:r>
        <w:rPr>
          <w:rFonts w:hint="eastAsia" w:ascii="仿宋_GB2312" w:hAnsi="仿宋_GB2312" w:eastAsia="仿宋_GB2312" w:cs="仿宋_GB2312"/>
          <w:color w:val="000000"/>
          <w:kern w:val="2"/>
          <w:sz w:val="32"/>
          <w:szCs w:val="32"/>
          <w:u w:val="none"/>
          <w:lang w:val="en-US" w:eastAsia="zh-CN" w:bidi="ar-SA"/>
        </w:rPr>
        <w:t>积极应对人口老龄化，健全养老事业和产业协同发展政策机制，落实延迟法定退休年龄政策，健全失能失智老年人照护体系，加强公共设施适老化和无障碍改造。全面提升社区街道养老服务供给，推广“社区+物业+居家”养老服务模式，推进市、镇、村三级养老服务网络建设，加快补齐农村养老服务短板。</w:t>
      </w:r>
      <w:r>
        <w:rPr>
          <w:rFonts w:hint="eastAsia" w:ascii="仿宋_GB2312" w:hAnsi="仿宋_GB2312" w:eastAsia="仿宋_GB2312" w:cs="仿宋_GB2312"/>
          <w:sz w:val="32"/>
          <w:szCs w:val="32"/>
        </w:rPr>
        <w:t>推动中心敬老院、锦山敬老院、第三敬老院服务标准化规范化建设，扩大普惠养老服务供给，到2030年形成以居家为基础、社区为依托、机构为补充覆盖城乡的多层次养老服务体系。</w:t>
      </w:r>
    </w:p>
    <w:p w14:paraId="66ADB6EF">
      <w:pPr>
        <w:bidi w:val="0"/>
        <w:rPr>
          <w:rFonts w:hint="eastAsia" w:ascii="仿宋_GB2312" w:hAnsi="仿宋_GB2312" w:eastAsia="仿宋_GB2312" w:cs="仿宋_GB2312"/>
          <w:lang w:val="en-US" w:eastAsia="zh-CN"/>
        </w:rPr>
      </w:pPr>
      <w:r>
        <w:rPr>
          <w:rFonts w:hint="eastAsia" w:ascii="仿宋_GB2312" w:hAnsi="仿宋_GB2312" w:eastAsia="仿宋_GB2312" w:cs="仿宋_GB2312"/>
          <w:b/>
          <w:bCs/>
        </w:rPr>
        <w:t>发展高质量养老产业。</w:t>
      </w:r>
      <w:r>
        <w:rPr>
          <w:rFonts w:hint="eastAsia" w:ascii="仿宋_GB2312" w:hAnsi="仿宋_GB2312" w:eastAsia="仿宋_GB2312" w:cs="仿宋_GB2312"/>
          <w:lang w:val="en-US" w:eastAsia="zh-CN"/>
        </w:rPr>
        <w:t>支持各类市场主体积极参与养老服务，发展高质量养老产业。发展医育、医养结合服务，扩大康复护理、安宁疗护服务供给，推动</w:t>
      </w:r>
      <w:r>
        <w:rPr>
          <w:rFonts w:hint="eastAsia" w:ascii="仿宋_GB2312" w:hAnsi="仿宋_GB2312" w:eastAsia="仿宋_GB2312" w:cs="仿宋_GB2312"/>
        </w:rPr>
        <w:t>养老服务与医疗、健康、文化、旅游等产业一体化融合</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开发老年人力资源，发展银发经济，</w:t>
      </w:r>
      <w:r>
        <w:rPr>
          <w:rFonts w:hint="eastAsia" w:ascii="仿宋_GB2312" w:hAnsi="仿宋_GB2312" w:eastAsia="仿宋_GB2312" w:cs="仿宋_GB2312"/>
        </w:rPr>
        <w:t>培育“银发智库”，创新“银发人才二次开发”计划，设立老年人力资源站，开发农田质检员、红色导游等轻体力岗位，提升60岁以上低龄老人社会参与率。优化养老消费环境，建立健全养老服务综合监管制度，加快形成高效规范、公平竞争的养老服务统一市场。</w:t>
      </w:r>
    </w:p>
    <w:p w14:paraId="55E70F1E">
      <w:pPr>
        <w:pStyle w:val="3"/>
        <w:bidi w:val="0"/>
        <w:rPr>
          <w:rFonts w:hint="default"/>
          <w:lang w:val="en-US" w:eastAsia="zh-CN"/>
        </w:rPr>
      </w:pPr>
      <w:bookmarkStart w:id="87" w:name="_Toc2464"/>
      <w:r>
        <w:rPr>
          <w:rFonts w:hint="eastAsia"/>
          <w:lang w:val="en-US" w:eastAsia="zh-CN"/>
        </w:rPr>
        <w:t>第七节  稳步推进基本公共服务均等化</w:t>
      </w:r>
      <w:bookmarkEnd w:id="87"/>
    </w:p>
    <w:p w14:paraId="0651AE28">
      <w:pPr>
        <w:bidi w:val="0"/>
        <w:rPr>
          <w:rFonts w:hint="eastAsia" w:ascii="仿宋_GB2312" w:hAnsi="仿宋_GB2312" w:eastAsia="仿宋_GB2312" w:cs="仿宋_GB2312"/>
        </w:rPr>
      </w:pPr>
      <w:r>
        <w:rPr>
          <w:rFonts w:hint="eastAsia" w:ascii="仿宋_GB2312" w:hAnsi="仿宋_GB2312" w:eastAsia="仿宋_GB2312" w:cs="仿宋_GB2312"/>
        </w:rPr>
        <w:t>以</w:t>
      </w:r>
      <w:r>
        <w:rPr>
          <w:rFonts w:hint="eastAsia" w:ascii="仿宋_GB2312" w:hAnsi="仿宋_GB2312" w:eastAsia="仿宋_GB2312" w:cs="仿宋_GB2312"/>
          <w:lang w:val="en-US" w:eastAsia="zh-CN"/>
        </w:rPr>
        <w:t>资源配置均等化机制建设为引领</w:t>
      </w:r>
      <w:r>
        <w:rPr>
          <w:rFonts w:hint="eastAsia" w:ascii="仿宋_GB2312" w:hAnsi="仿宋_GB2312" w:eastAsia="仿宋_GB2312" w:cs="仿宋_GB2312"/>
        </w:rPr>
        <w:t>，围绕制度创新、资源统筹、动态调整等，构建覆盖城乡、精准高效的资源配置体系，为实现共同富裕奠定基础。</w:t>
      </w:r>
    </w:p>
    <w:p w14:paraId="2624E57A">
      <w:pPr>
        <w:bidi w:val="0"/>
        <w:rPr>
          <w:rFonts w:hint="eastAsia"/>
          <w:lang w:eastAsia="zh-CN"/>
        </w:rPr>
      </w:pPr>
      <w:r>
        <w:rPr>
          <w:rFonts w:hint="eastAsia"/>
          <w:b/>
          <w:bCs/>
        </w:rPr>
        <w:t>健全</w:t>
      </w:r>
      <w:r>
        <w:rPr>
          <w:rFonts w:hint="eastAsia"/>
          <w:b/>
          <w:bCs/>
          <w:lang w:val="en-US" w:eastAsia="zh-CN"/>
        </w:rPr>
        <w:t>公共</w:t>
      </w:r>
      <w:r>
        <w:rPr>
          <w:rFonts w:hint="eastAsia"/>
          <w:b/>
          <w:bCs/>
        </w:rPr>
        <w:t>资源决策配置</w:t>
      </w:r>
      <w:r>
        <w:rPr>
          <w:rFonts w:hint="eastAsia"/>
          <w:b/>
          <w:bCs/>
          <w:lang w:val="en-US" w:eastAsia="zh-CN"/>
        </w:rPr>
        <w:t>机制</w:t>
      </w:r>
      <w:r>
        <w:rPr>
          <w:rFonts w:hint="eastAsia"/>
          <w:b/>
          <w:bCs/>
        </w:rPr>
        <w:t>。</w:t>
      </w:r>
      <w:r>
        <w:rPr>
          <w:rFonts w:hint="eastAsia"/>
        </w:rPr>
        <w:t>建立“党委统筹、部门联动”的资源配置决策体系，统筹落实教育、医疗、社保等领域的改革方案</w:t>
      </w:r>
      <w:r>
        <w:rPr>
          <w:rFonts w:hint="eastAsia"/>
          <w:lang w:eastAsia="zh-CN"/>
        </w:rPr>
        <w:t>。</w:t>
      </w:r>
      <w:r>
        <w:rPr>
          <w:rFonts w:hint="default"/>
          <w:lang w:val="en-US" w:eastAsia="zh-CN"/>
        </w:rPr>
        <w:t>全面深化事业单位改革。完善基本公共服务范围和内容，制定实现基本公共服务均等化的目标、路径、措施，推动更多公共服务向基层下沉、向农村覆盖、向生活困难群众倾斜，健全与常住人口相匹配的公共资源配置机制。</w:t>
      </w:r>
    </w:p>
    <w:p w14:paraId="5AED3176">
      <w:pPr>
        <w:bidi w:val="0"/>
        <w:rPr>
          <w:rFonts w:hint="eastAsia"/>
        </w:rPr>
      </w:pPr>
      <w:r>
        <w:rPr>
          <w:rFonts w:hint="eastAsia"/>
          <w:b/>
          <w:bCs/>
        </w:rPr>
        <w:t>推进</w:t>
      </w:r>
      <w:r>
        <w:rPr>
          <w:rFonts w:hint="eastAsia"/>
          <w:b/>
          <w:bCs/>
          <w:lang w:eastAsia="zh-CN"/>
        </w:rPr>
        <w:t>城乡</w:t>
      </w:r>
      <w:r>
        <w:rPr>
          <w:rFonts w:hint="eastAsia"/>
          <w:b/>
          <w:bCs/>
          <w:lang w:val="en-US" w:eastAsia="zh-CN"/>
        </w:rPr>
        <w:t>公共服务</w:t>
      </w:r>
      <w:r>
        <w:rPr>
          <w:rFonts w:hint="eastAsia"/>
          <w:b/>
          <w:bCs/>
        </w:rPr>
        <w:t>资源共享。</w:t>
      </w:r>
      <w:r>
        <w:rPr>
          <w:rFonts w:hint="default"/>
          <w:lang w:val="en-US" w:eastAsia="zh-CN"/>
        </w:rPr>
        <w:t>完善投入保障长效机制，推进文化体育休闲等公共服务设施建设，增加基本公共服务供给。</w:t>
      </w:r>
      <w:r>
        <w:rPr>
          <w:rFonts w:hint="eastAsia"/>
        </w:rPr>
        <w:t>全面开展“服务下乡”三大工程，统筹基本公共服务设施布局和共建共享，补齐农村和基层公共服务短板。统筹推进城乡基础设施一体化建设，推动优质教育资源向农村延伸覆盖</w:t>
      </w:r>
      <w:r>
        <w:rPr>
          <w:rFonts w:hint="eastAsia"/>
          <w:lang w:eastAsia="zh-CN"/>
        </w:rPr>
        <w:t>，</w:t>
      </w:r>
      <w:r>
        <w:rPr>
          <w:rFonts w:hint="eastAsia"/>
        </w:rPr>
        <w:t>推动医疗资源下沉基层，健全城乡统一的社会保障体系，实现基本公共服务均等化。</w:t>
      </w:r>
    </w:p>
    <w:p w14:paraId="6FEE3564">
      <w:pPr>
        <w:bidi w:val="0"/>
        <w:rPr>
          <w:rFonts w:hint="eastAsia" w:ascii="仿宋_GB2312" w:hAnsi="仿宋_GB2312" w:eastAsia="仿宋_GB2312" w:cs="仿宋_GB2312"/>
          <w:b/>
          <w:bCs/>
        </w:rPr>
      </w:pPr>
      <w:r>
        <w:rPr>
          <w:rFonts w:hint="eastAsia" w:ascii="仿宋_GB2312" w:hAnsi="仿宋_GB2312" w:eastAsia="仿宋_GB2312" w:cs="仿宋_GB2312"/>
          <w:b/>
          <w:bCs/>
        </w:rPr>
        <w:t>创新基本公共服务供给模式。</w:t>
      </w:r>
      <w:r>
        <w:rPr>
          <w:rFonts w:hint="eastAsia" w:ascii="仿宋_GB2312" w:hAnsi="仿宋_GB2312" w:eastAsia="仿宋_GB2312" w:cs="仿宋_GB2312"/>
          <w:lang w:val="en-US" w:eastAsia="zh-CN"/>
        </w:rPr>
        <w:t>建设城市一刻钟便民生活圈全域推进先行区，以社区为基本单元布局教育、医疗、养老、文化、体育等设施，优化“全民友好”的服务网络。创新社会力量参与公共服务的机制与路径，开放学校体育场</w:t>
      </w:r>
      <w:r>
        <w:rPr>
          <w:rFonts w:hint="eastAsia" w:ascii="仿宋_GB2312" w:hAnsi="仿宋_GB2312" w:cs="仿宋_GB2312"/>
          <w:lang w:val="en-US" w:eastAsia="zh-CN"/>
        </w:rPr>
        <w:t>夜间运营权</w:t>
      </w:r>
      <w:r>
        <w:rPr>
          <w:rFonts w:hint="eastAsia" w:ascii="仿宋_GB2312" w:hAnsi="仿宋_GB2312" w:eastAsia="仿宋_GB2312" w:cs="仿宋_GB2312"/>
          <w:lang w:val="en-US" w:eastAsia="zh-CN"/>
        </w:rPr>
        <w:t>，引入专业社工组织进行专业运营和托管服务。优化养老服务供给结构，推动在镇街建立</w:t>
      </w:r>
      <w:r>
        <w:rPr>
          <w:rFonts w:hint="eastAsia" w:ascii="仿宋_GB2312" w:hAnsi="仿宋_GB2312" w:eastAsia="仿宋_GB2312" w:cs="仿宋_GB2312"/>
        </w:rPr>
        <w:t>嵌入式养老服务中心</w:t>
      </w:r>
      <w:r>
        <w:rPr>
          <w:rFonts w:hint="eastAsia" w:ascii="仿宋_GB2312" w:hAnsi="仿宋_GB2312" w:eastAsia="仿宋_GB2312" w:cs="仿宋_GB2312"/>
          <w:lang w:eastAsia="zh-CN"/>
        </w:rPr>
        <w:t>，</w:t>
      </w:r>
      <w:r>
        <w:rPr>
          <w:rFonts w:hint="eastAsia" w:ascii="仿宋_GB2312" w:hAnsi="仿宋_GB2312" w:eastAsia="仿宋_GB2312" w:cs="仿宋_GB2312"/>
        </w:rPr>
        <w:t>探索“公建民营”市场化运营模式</w:t>
      </w:r>
      <w:r>
        <w:rPr>
          <w:rFonts w:hint="eastAsia" w:ascii="仿宋_GB2312" w:hAnsi="仿宋_GB2312" w:eastAsia="仿宋_GB2312" w:cs="仿宋_GB2312"/>
          <w:lang w:eastAsia="zh-CN"/>
        </w:rPr>
        <w:t>，</w:t>
      </w:r>
      <w:r>
        <w:rPr>
          <w:rFonts w:hint="eastAsia" w:ascii="仿宋_GB2312" w:hAnsi="仿宋_GB2312" w:eastAsia="仿宋_GB2312" w:cs="仿宋_GB2312"/>
        </w:rPr>
        <w:t>提升养老服务的专业化供给质量与整体运行效率。</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6B1E7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single" w:color="auto" w:sz="4" w:space="0"/>
              <w:left w:val="single" w:color="auto" w:sz="4" w:space="0"/>
              <w:bottom w:val="single" w:color="auto" w:sz="4" w:space="0"/>
              <w:right w:val="single" w:color="auto" w:sz="4" w:space="0"/>
            </w:tcBorders>
          </w:tcPr>
          <w:p w14:paraId="67C1B9B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cs="仿宋_GB2312"/>
                <w:b/>
                <w:bCs/>
                <w:sz w:val="28"/>
                <w:szCs w:val="28"/>
                <w:u w:val="none"/>
                <w:shd w:val="clear" w:fill="auto"/>
              </w:rPr>
            </w:pPr>
            <w:r>
              <w:rPr>
                <w:rFonts w:hint="eastAsia" w:ascii="黑体" w:hAnsi="黑体" w:eastAsia="黑体" w:cs="黑体"/>
                <w:sz w:val="24"/>
                <w:szCs w:val="22"/>
                <w:lang w:val="en-US" w:eastAsia="zh-CN"/>
              </w:rPr>
              <w:t>专栏12-1 民生福祉升级重点工程</w:t>
            </w:r>
          </w:p>
        </w:tc>
      </w:tr>
      <w:tr w14:paraId="0D342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single" w:color="auto" w:sz="4" w:space="0"/>
              <w:left w:val="single" w:color="auto" w:sz="4" w:space="0"/>
              <w:bottom w:val="single" w:color="auto" w:sz="4" w:space="0"/>
              <w:right w:val="single" w:color="auto" w:sz="4" w:space="0"/>
            </w:tcBorders>
          </w:tcPr>
          <w:p w14:paraId="50627324">
            <w:pPr>
              <w:pStyle w:val="8"/>
              <w:bidi w:val="0"/>
              <w:rPr>
                <w:rFonts w:hint="eastAsia" w:ascii="楷体_GB2312" w:hAnsi="楷体_GB2312" w:eastAsia="楷体_GB2312" w:cs="楷体_GB2312"/>
                <w:b/>
                <w:bCs/>
                <w:lang w:val="en-US" w:eastAsia="zh-CN"/>
              </w:rPr>
            </w:pPr>
            <w:r>
              <w:rPr>
                <w:rFonts w:hint="eastAsia" w:ascii="楷体_GB2312" w:hAnsi="楷体_GB2312" w:eastAsia="楷体_GB2312" w:cs="楷体_GB2312"/>
                <w:b/>
                <w:bCs/>
                <w:lang w:val="en-US" w:eastAsia="zh-CN"/>
              </w:rPr>
              <w:t>1.公共服务基础能力提升工程</w:t>
            </w:r>
          </w:p>
          <w:p w14:paraId="6226A0B1">
            <w:pPr>
              <w:pStyle w:val="8"/>
              <w:bidi w:val="0"/>
              <w:rPr>
                <w:rFonts w:hint="default" w:ascii="楷体_GB2312" w:hAnsi="楷体_GB2312" w:eastAsia="楷体_GB2312" w:cs="楷体_GB2312"/>
                <w:lang w:val="en-US" w:eastAsia="zh-CN"/>
              </w:rPr>
            </w:pPr>
            <w:r>
              <w:rPr>
                <w:rFonts w:hint="eastAsia" w:ascii="楷体_GB2312" w:hAnsi="楷体_GB2312" w:eastAsia="楷体_GB2312" w:cs="楷体_GB2312"/>
                <w:lang w:val="en-US" w:eastAsia="zh-CN"/>
              </w:rPr>
              <w:t>（1）教育服务供给优质均衡工程</w:t>
            </w:r>
            <w:r>
              <w:rPr>
                <w:rFonts w:hint="eastAsia" w:ascii="楷体_GB2312" w:hAnsi="楷体_GB2312" w:eastAsia="楷体_GB2312" w:cs="楷体_GB2312"/>
              </w:rPr>
              <w:t>。</w:t>
            </w:r>
            <w:r>
              <w:rPr>
                <w:rFonts w:hint="eastAsia" w:ascii="楷体_GB2312" w:hAnsi="楷体_GB2312" w:eastAsia="楷体_GB2312" w:cs="楷体_GB2312"/>
                <w:lang w:val="en-US" w:eastAsia="zh-CN"/>
              </w:rPr>
              <w:t>发挥富锦红色资源育人功能和生态资源优势，建设一批校外德育实践基地。改善农村学校办学条件，办好必要的乡村小规模学校。推进智慧校园建设，建设智慧教育平台，实现城乡中小学优质课堂全覆盖。建设5</w:t>
            </w:r>
            <w:r>
              <w:rPr>
                <w:rFonts w:hint="eastAsia" w:ascii="楷体_GB2312" w:hAnsi="楷体_GB2312" w:cs="楷体_GB2312"/>
                <w:lang w:val="en-US" w:eastAsia="zh-CN"/>
              </w:rPr>
              <w:t>—</w:t>
            </w:r>
            <w:r>
              <w:rPr>
                <w:rFonts w:hint="eastAsia" w:ascii="楷体_GB2312" w:hAnsi="楷体_GB2312" w:eastAsia="楷体_GB2312" w:cs="楷体_GB2312"/>
                <w:lang w:val="en-US" w:eastAsia="zh-CN"/>
              </w:rPr>
              <w:t>10个名师工作室，建立10所教研基地校。支持富锦市职业技术学校改善办学条件。建设产教融合型企业培育库，培育1家以上产教融合型企业。</w:t>
            </w:r>
            <w:r>
              <w:rPr>
                <w:rFonts w:hint="eastAsia" w:ascii="楷体_GB2312" w:hAnsi="楷体_GB2312" w:cs="楷体_GB2312"/>
                <w:lang w:val="en-US" w:eastAsia="zh-CN"/>
              </w:rPr>
              <w:t>实施义务教育学校塑胶运动场、功能教室设备更新、风雨操场等项目。推进教育系统安全生产基础设施二期、三期项目。实施第二幼儿园教学楼基础设施建设项目。实施三江联合学校教学楼建设项目。</w:t>
            </w:r>
          </w:p>
          <w:p w14:paraId="416EF59E">
            <w:pPr>
              <w:pStyle w:val="8"/>
              <w:bidi w:val="0"/>
              <w:rPr>
                <w:rFonts w:hint="eastAsia" w:ascii="楷体_GB2312" w:hAnsi="楷体_GB2312" w:eastAsia="楷体_GB2312" w:cs="楷体_GB2312"/>
                <w:lang w:val="en-US" w:eastAsia="zh-CN"/>
              </w:rPr>
            </w:pPr>
            <w:r>
              <w:rPr>
                <w:rFonts w:hint="eastAsia" w:ascii="楷体_GB2312" w:hAnsi="楷体_GB2312" w:eastAsia="楷体_GB2312" w:cs="楷体_GB2312"/>
                <w:lang w:val="en-US" w:eastAsia="zh-CN"/>
              </w:rPr>
              <w:t>（2）医疗服务供给普惠可及工程。提升县级医院综合服务能力，</w:t>
            </w:r>
            <w:r>
              <w:rPr>
                <w:rFonts w:hint="eastAsia" w:ascii="楷体_GB2312" w:hAnsi="楷体_GB2312" w:cs="楷体_GB2312"/>
                <w:lang w:val="en-US" w:eastAsia="zh-CN"/>
              </w:rPr>
              <w:t>实施</w:t>
            </w:r>
            <w:r>
              <w:rPr>
                <w:rFonts w:hint="eastAsia" w:ascii="楷体_GB2312" w:hAnsi="楷体_GB2312" w:eastAsia="楷体_GB2312" w:cs="楷体_GB2312"/>
                <w:lang w:val="en-US" w:eastAsia="zh-CN"/>
              </w:rPr>
              <w:t>富锦市中心医院</w:t>
            </w:r>
            <w:r>
              <w:rPr>
                <w:rFonts w:hint="eastAsia" w:ascii="楷体_GB2312" w:hAnsi="楷体_GB2312" w:cs="楷体_GB2312"/>
                <w:lang w:val="en-US" w:eastAsia="zh-CN"/>
              </w:rPr>
              <w:t>紧密型县域医共体五大中心改扩建</w:t>
            </w:r>
            <w:r>
              <w:rPr>
                <w:rFonts w:hint="eastAsia" w:ascii="楷体_GB2312" w:hAnsi="楷体_GB2312" w:eastAsia="楷体_GB2312" w:cs="楷体_GB2312"/>
                <w:lang w:val="en-US" w:eastAsia="zh-CN"/>
              </w:rPr>
              <w:t>项目</w:t>
            </w:r>
            <w:r>
              <w:rPr>
                <w:rFonts w:hint="eastAsia" w:ascii="楷体_GB2312" w:hAnsi="楷体_GB2312" w:cs="楷体_GB2312"/>
                <w:lang w:val="en-US" w:eastAsia="zh-CN"/>
              </w:rPr>
              <w:t>，谋划中心医院医疗设备购置项目</w:t>
            </w:r>
            <w:r>
              <w:rPr>
                <w:rFonts w:hint="eastAsia" w:ascii="楷体_GB2312" w:hAnsi="楷体_GB2312" w:eastAsia="楷体_GB2312" w:cs="楷体_GB2312"/>
                <w:lang w:val="en-US" w:eastAsia="zh-CN"/>
              </w:rPr>
              <w:t>。推动乡镇卫生院改造升级，实施锦西社区卫生服务中心原址重建项目。实施富锦市紧密型医共体信息化建设项目。推进富锦市铁路医院传染病区能力建设项目。</w:t>
            </w:r>
            <w:r>
              <w:rPr>
                <w:rFonts w:hint="eastAsia" w:ascii="楷体_GB2312" w:hAnsi="楷体_GB2312" w:cs="楷体_GB2312"/>
                <w:lang w:val="en-US" w:eastAsia="zh-CN"/>
              </w:rPr>
              <w:t>实施富锦市锦西社区卫生服务中心原址重建项目。</w:t>
            </w:r>
            <w:r>
              <w:rPr>
                <w:rFonts w:hint="eastAsia" w:ascii="楷体_GB2312" w:hAnsi="楷体_GB2312" w:eastAsia="楷体_GB2312" w:cs="楷体_GB2312"/>
                <w:lang w:val="en-US" w:eastAsia="zh-CN"/>
              </w:rPr>
              <w:t>统筹建设县域卫生健康综合信息平台。组织开展健康家庭、健康村屯等创建活动。</w:t>
            </w:r>
          </w:p>
          <w:p w14:paraId="078AA9BA">
            <w:pPr>
              <w:pStyle w:val="8"/>
              <w:bidi w:val="0"/>
              <w:rPr>
                <w:rFonts w:hint="eastAsia" w:ascii="楷体_GB2312" w:hAnsi="楷体_GB2312" w:eastAsia="楷体_GB2312" w:cs="楷体_GB2312"/>
                <w:lang w:val="en-US" w:eastAsia="zh-CN"/>
              </w:rPr>
            </w:pPr>
            <w:r>
              <w:rPr>
                <w:rFonts w:hint="eastAsia" w:ascii="楷体_GB2312" w:hAnsi="楷体_GB2312" w:eastAsia="楷体_GB2312" w:cs="楷体_GB2312"/>
                <w:lang w:val="en-US" w:eastAsia="zh-CN"/>
              </w:rPr>
              <w:t>（3）文化服务供给浸润城乡工程。开展“三馆一场”功能优化改造，开展农家书屋升级改造。持续办好主题文化活动，推动品牌文化活动下沉基层。</w:t>
            </w:r>
          </w:p>
          <w:p w14:paraId="661F6232">
            <w:pPr>
              <w:pStyle w:val="8"/>
              <w:bidi w:val="0"/>
              <w:rPr>
                <w:rFonts w:hint="eastAsia" w:ascii="楷体_GB2312" w:hAnsi="楷体_GB2312" w:cs="楷体_GB2312"/>
                <w:lang w:val="en-US" w:eastAsia="zh-CN"/>
              </w:rPr>
            </w:pPr>
            <w:r>
              <w:rPr>
                <w:rFonts w:hint="eastAsia" w:ascii="楷体_GB2312" w:hAnsi="楷体_GB2312" w:cs="楷体_GB2312"/>
                <w:lang w:val="en-US" w:eastAsia="zh-CN"/>
              </w:rPr>
              <w:t>（4）富锦市体育公园建设项目。项目总占地10万平方米，建设足球场、篮球场、毽球场、羽毛球场、乒乓球场等运动场地5032.26 平方米，改造健身广场新增健身 器材，新建园路面积98平方米。</w:t>
            </w:r>
          </w:p>
          <w:p w14:paraId="37A257FD">
            <w:pPr>
              <w:pStyle w:val="8"/>
              <w:bidi w:val="0"/>
              <w:rPr>
                <w:rFonts w:hint="eastAsia" w:ascii="楷体_GB2312" w:hAnsi="楷体_GB2312" w:cs="楷体_GB2312"/>
                <w:lang w:val="en-US" w:eastAsia="zh-CN"/>
              </w:rPr>
            </w:pPr>
            <w:r>
              <w:rPr>
                <w:rFonts w:hint="eastAsia" w:ascii="楷体_GB2312" w:hAnsi="楷体_GB2312" w:cs="楷体_GB2312"/>
                <w:lang w:val="en-US" w:eastAsia="zh-CN"/>
              </w:rPr>
              <w:t>（5）全民健身活动中心建设项目。项目总占地面积11143.31平方米，总建筑面积3200平方米，其中全民健身中心建筑面积3000平方米，地下消防泵房消防水池建筑面积200平方米，全民健身中心包含室内2个室内篮球场地以及移动看台、3个室内羽毛球场地、1个室内排球场地、1个器械健身等4类运动项目以及必要的场馆接待室、医务室、办公室、卫生间、更衣室、淋浴间、体质监测室、消防值班室、器材室等配套设施。</w:t>
            </w:r>
          </w:p>
          <w:p w14:paraId="10F8A3F2">
            <w:pPr>
              <w:pStyle w:val="8"/>
              <w:bidi w:val="0"/>
              <w:rPr>
                <w:rFonts w:hint="default" w:ascii="楷体_GB2312" w:hAnsi="楷体_GB2312" w:cs="楷体_GB2312"/>
                <w:lang w:val="en-US" w:eastAsia="zh-CN"/>
              </w:rPr>
            </w:pPr>
            <w:r>
              <w:rPr>
                <w:rFonts w:hint="eastAsia" w:ascii="楷体_GB2312" w:hAnsi="楷体_GB2312" w:cs="楷体_GB2312"/>
                <w:lang w:val="en-US" w:eastAsia="zh-CN"/>
              </w:rPr>
              <w:t>（6）富锦市户外运动场建设项目。建设集运动健身、休闲娱乐于一体的综合性户外运动场，篮球、羽毛球，排球、健身器材等多功能运动场。</w:t>
            </w:r>
          </w:p>
          <w:p w14:paraId="35EAB01A">
            <w:pPr>
              <w:pStyle w:val="8"/>
              <w:bidi w:val="0"/>
              <w:rPr>
                <w:rFonts w:hint="eastAsia" w:ascii="楷体_GB2312" w:hAnsi="楷体_GB2312" w:eastAsia="楷体_GB2312" w:cs="楷体_GB2312"/>
                <w:b/>
                <w:bCs/>
                <w:lang w:val="en-US" w:eastAsia="zh-CN"/>
              </w:rPr>
            </w:pPr>
            <w:r>
              <w:rPr>
                <w:rFonts w:hint="eastAsia" w:ascii="楷体_GB2312" w:hAnsi="楷体_GB2312" w:eastAsia="楷体_GB2312" w:cs="楷体_GB2312"/>
                <w:b/>
                <w:bCs/>
                <w:lang w:val="en-US" w:eastAsia="zh-CN"/>
              </w:rPr>
              <w:t>2.“一老一小”及特殊群体关爱工程</w:t>
            </w:r>
          </w:p>
          <w:p w14:paraId="39679865">
            <w:pPr>
              <w:pStyle w:val="8"/>
              <w:bidi w:val="0"/>
              <w:rPr>
                <w:rFonts w:hint="eastAsia" w:ascii="楷体_GB2312" w:hAnsi="楷体_GB2312" w:eastAsia="楷体_GB2312" w:cs="楷体_GB2312"/>
                <w:lang w:eastAsia="zh-CN"/>
              </w:rPr>
            </w:pPr>
            <w:r>
              <w:rPr>
                <w:rFonts w:hint="eastAsia" w:ascii="楷体_GB2312" w:hAnsi="楷体_GB2312" w:eastAsia="楷体_GB2312" w:cs="楷体_GB2312"/>
                <w:lang w:val="en-US" w:eastAsia="zh-CN"/>
              </w:rPr>
              <w:t>（1）</w:t>
            </w:r>
            <w:r>
              <w:rPr>
                <w:rFonts w:hint="eastAsia" w:ascii="楷体_GB2312" w:hAnsi="楷体_GB2312" w:eastAsia="楷体_GB2312" w:cs="楷体_GB2312"/>
              </w:rPr>
              <w:t>健全三级养老服务网络</w:t>
            </w:r>
            <w:r>
              <w:rPr>
                <w:rFonts w:hint="eastAsia" w:ascii="楷体_GB2312" w:hAnsi="楷体_GB2312" w:eastAsia="楷体_GB2312" w:cs="楷体_GB2312"/>
                <w:lang w:eastAsia="zh-CN"/>
              </w:rPr>
              <w:t>工程</w:t>
            </w:r>
            <w:r>
              <w:rPr>
                <w:rFonts w:hint="eastAsia" w:ascii="楷体_GB2312" w:hAnsi="楷体_GB2312" w:eastAsia="楷体_GB2312" w:cs="楷体_GB2312"/>
              </w:rPr>
              <w:t>。依托富锦市特困人员供养服务机构和养老服务信息系统，建设富锦市综合养老服务管理平台；推进乡镇（街道）敬老院、优质民办养老机构升级改造；完善村（社区）养老服务设施站点建设</w:t>
            </w:r>
            <w:r>
              <w:rPr>
                <w:rFonts w:hint="eastAsia" w:ascii="楷体_GB2312" w:hAnsi="楷体_GB2312" w:eastAsia="楷体_GB2312" w:cs="楷体_GB2312"/>
                <w:lang w:eastAsia="zh-CN"/>
              </w:rPr>
              <w:t>，着力完善三级养老服务体系。</w:t>
            </w:r>
          </w:p>
          <w:p w14:paraId="39F49576">
            <w:pPr>
              <w:pStyle w:val="8"/>
              <w:bidi w:val="0"/>
              <w:rPr>
                <w:rFonts w:hint="eastAsia" w:ascii="楷体_GB2312" w:hAnsi="楷体_GB2312" w:eastAsia="楷体_GB2312" w:cs="楷体_GB2312"/>
                <w:lang w:val="en-US" w:eastAsia="zh-CN"/>
              </w:rPr>
            </w:pPr>
            <w:r>
              <w:rPr>
                <w:rFonts w:hint="eastAsia" w:ascii="楷体_GB2312" w:hAnsi="楷体_GB2312" w:eastAsia="楷体_GB2312" w:cs="楷体_GB2312"/>
                <w:lang w:val="en-US" w:eastAsia="zh-CN"/>
              </w:rPr>
              <w:t>（2）医疗</w:t>
            </w:r>
            <w:r>
              <w:rPr>
                <w:rFonts w:hint="eastAsia" w:ascii="楷体_GB2312" w:hAnsi="楷体_GB2312" w:cs="楷体_GB2312"/>
                <w:lang w:val="en-US" w:eastAsia="zh-CN"/>
              </w:rPr>
              <w:t>养老托育服务</w:t>
            </w:r>
            <w:r>
              <w:rPr>
                <w:rFonts w:hint="eastAsia" w:ascii="楷体_GB2312" w:hAnsi="楷体_GB2312" w:eastAsia="楷体_GB2312" w:cs="楷体_GB2312"/>
                <w:lang w:val="en-US" w:eastAsia="zh-CN"/>
              </w:rPr>
              <w:t>建设项目。探索“医养结合”服务模式，建设</w:t>
            </w:r>
            <w:r>
              <w:rPr>
                <w:rFonts w:hint="eastAsia" w:ascii="楷体_GB2312" w:hAnsi="楷体_GB2312" w:cs="楷体_GB2312"/>
                <w:lang w:val="en-US" w:eastAsia="zh-CN"/>
              </w:rPr>
              <w:t>2～3个</w:t>
            </w:r>
            <w:r>
              <w:rPr>
                <w:rFonts w:hint="eastAsia" w:ascii="楷体_GB2312" w:hAnsi="楷体_GB2312" w:eastAsia="楷体_GB2312" w:cs="楷体_GB2312"/>
                <w:lang w:val="en-US" w:eastAsia="zh-CN"/>
              </w:rPr>
              <w:t>区域性养老医疗服务中心。</w:t>
            </w:r>
          </w:p>
          <w:p w14:paraId="3209B2E6">
            <w:pPr>
              <w:pStyle w:val="8"/>
              <w:bidi w:val="0"/>
              <w:rPr>
                <w:rFonts w:hint="eastAsia" w:ascii="楷体_GB2312" w:hAnsi="楷体_GB2312" w:cs="楷体_GB2312"/>
                <w:lang w:val="en-US" w:eastAsia="zh-CN"/>
              </w:rPr>
            </w:pPr>
            <w:r>
              <w:rPr>
                <w:rFonts w:hint="eastAsia" w:ascii="楷体_GB2312" w:hAnsi="楷体_GB2312" w:cs="楷体_GB2312"/>
                <w:lang w:val="en-US" w:eastAsia="zh-CN"/>
              </w:rPr>
              <w:t>（3）富锦市锦依康养服务中心建设项目。项目总占地面积21900.66平方米，总建筑面积17850平方米，总床位数为420张。项目共为三栋单体建筑，分为两期工程进行施工。其中一期康养服务中心1#地上建筑面积为6375平方米，地下建筑面积为1275平方米。二期康养服务中心2#建筑面积为5610平方米，五保户康养服务中心建筑面积为4590平方米。建设内容包括土水电相关配套工程（包含光伏）及场区配套工程，设备购置。</w:t>
            </w:r>
          </w:p>
          <w:p w14:paraId="7A9D731B">
            <w:pPr>
              <w:pStyle w:val="8"/>
              <w:bidi w:val="0"/>
              <w:rPr>
                <w:rFonts w:hint="eastAsia" w:ascii="楷体_GB2312" w:hAnsi="楷体_GB2312" w:cs="楷体_GB2312"/>
                <w:lang w:val="en-US" w:eastAsia="zh-CN"/>
              </w:rPr>
            </w:pPr>
            <w:r>
              <w:rPr>
                <w:rFonts w:hint="eastAsia" w:ascii="楷体_GB2312" w:hAnsi="楷体_GB2312" w:cs="楷体_GB2312"/>
                <w:lang w:val="en-US" w:eastAsia="zh-CN"/>
              </w:rPr>
              <w:t>（4）富锦市中心敬老院（西平分院）改造项目。改建建筑面积4000㎡，对主楼外墙进行保温层更换（由燃烧性能 B 级升级为 A 级）并同步完成粉刷工程，同时开展庭院内道路硬化、绿化种植及亮化设施安装等配套改造。</w:t>
            </w:r>
          </w:p>
          <w:p w14:paraId="1EA1B7EB">
            <w:pPr>
              <w:pStyle w:val="8"/>
              <w:bidi w:val="0"/>
              <w:rPr>
                <w:rFonts w:hint="default" w:ascii="楷体_GB2312" w:hAnsi="楷体_GB2312" w:cs="楷体_GB2312"/>
                <w:lang w:val="en-US" w:eastAsia="zh-CN"/>
              </w:rPr>
            </w:pPr>
            <w:r>
              <w:rPr>
                <w:rFonts w:hint="eastAsia" w:ascii="楷体_GB2312" w:hAnsi="楷体_GB2312" w:cs="楷体_GB2312"/>
                <w:lang w:val="en-US" w:eastAsia="zh-CN"/>
              </w:rPr>
              <w:t>（5）富锦市公办养老建设项目。项目占地面积15000平方米，建筑面积9000平方米，床位300张，配套建设无障碍和智能监护系统。</w:t>
            </w:r>
          </w:p>
          <w:p w14:paraId="7CAF81BA">
            <w:pPr>
              <w:pStyle w:val="8"/>
              <w:bidi w:val="0"/>
              <w:rPr>
                <w:rFonts w:hint="eastAsia" w:ascii="楷体_GB2312" w:hAnsi="楷体_GB2312" w:eastAsia="楷体_GB2312" w:cs="楷体_GB2312"/>
                <w:b/>
                <w:bCs/>
                <w:lang w:val="en-US" w:eastAsia="zh-CN"/>
              </w:rPr>
            </w:pPr>
            <w:r>
              <w:rPr>
                <w:rFonts w:hint="eastAsia" w:ascii="楷体_GB2312" w:hAnsi="楷体_GB2312" w:eastAsia="楷体_GB2312" w:cs="楷体_GB2312"/>
                <w:b/>
                <w:bCs/>
                <w:lang w:val="en-US" w:eastAsia="zh-CN"/>
              </w:rPr>
              <w:t>3.就业与社会保障兜底工程</w:t>
            </w:r>
          </w:p>
          <w:p w14:paraId="4442A7E8">
            <w:pPr>
              <w:pStyle w:val="8"/>
              <w:bidi w:val="0"/>
              <w:rPr>
                <w:rFonts w:hint="eastAsia" w:ascii="楷体_GB2312" w:hAnsi="楷体_GB2312" w:eastAsia="楷体_GB2312" w:cs="楷体_GB2312"/>
              </w:rPr>
            </w:pPr>
            <w:r>
              <w:rPr>
                <w:rFonts w:hint="eastAsia" w:ascii="楷体_GB2312" w:hAnsi="楷体_GB2312" w:eastAsia="楷体_GB2312" w:cs="楷体_GB2312"/>
                <w:lang w:val="en-US" w:eastAsia="zh-CN"/>
              </w:rPr>
              <w:t>（1）</w:t>
            </w:r>
            <w:r>
              <w:rPr>
                <w:rFonts w:hint="eastAsia" w:ascii="楷体_GB2312" w:hAnsi="楷体_GB2312" w:eastAsia="楷体_GB2312" w:cs="楷体_GB2312"/>
              </w:rPr>
              <w:t>就业创业</w:t>
            </w:r>
            <w:r>
              <w:rPr>
                <w:rFonts w:hint="eastAsia" w:ascii="楷体_GB2312" w:hAnsi="楷体_GB2312" w:eastAsia="楷体_GB2312" w:cs="楷体_GB2312"/>
                <w:lang w:eastAsia="zh-CN"/>
              </w:rPr>
              <w:t>载体平台创建工程。</w:t>
            </w:r>
            <w:r>
              <w:rPr>
                <w:rFonts w:hint="eastAsia" w:ascii="楷体_GB2312" w:hAnsi="楷体_GB2312" w:eastAsia="楷体_GB2312" w:cs="楷体_GB2312"/>
              </w:rPr>
              <w:t>推动“家门口”就业服务站、零工市场和零工驿站等服务载体建设</w:t>
            </w:r>
            <w:r>
              <w:rPr>
                <w:rFonts w:hint="eastAsia" w:ascii="楷体_GB2312" w:hAnsi="楷体_GB2312" w:eastAsia="楷体_GB2312" w:cs="楷体_GB2312"/>
                <w:lang w:eastAsia="zh-CN"/>
              </w:rPr>
              <w:t>。</w:t>
            </w:r>
            <w:r>
              <w:rPr>
                <w:rFonts w:hint="eastAsia" w:ascii="楷体_GB2312" w:hAnsi="楷体_GB2312" w:eastAsia="楷体_GB2312" w:cs="楷体_GB2312"/>
              </w:rPr>
              <w:t>积极发挥富锦微信公众号作用，实现招聘求职信息实时、全面汇聚、共享和发布，并基于平台统一提供的用户管理及岗位发布、简历投递、信息推送等能力，支持跨区域、跨层级开展招聘求职服务</w:t>
            </w:r>
            <w:r>
              <w:rPr>
                <w:rFonts w:hint="eastAsia" w:ascii="楷体_GB2312" w:hAnsi="楷体_GB2312" w:eastAsia="楷体_GB2312" w:cs="楷体_GB2312"/>
                <w:lang w:eastAsia="zh-CN"/>
              </w:rPr>
              <w:t>，</w:t>
            </w:r>
            <w:r>
              <w:rPr>
                <w:rFonts w:hint="eastAsia" w:ascii="楷体_GB2312" w:hAnsi="楷体_GB2312" w:eastAsia="楷体_GB2312" w:cs="楷体_GB2312"/>
              </w:rPr>
              <w:t>健全就业需求调查和失业监测预警机制。</w:t>
            </w:r>
          </w:p>
          <w:p w14:paraId="0F91FE77">
            <w:pPr>
              <w:pStyle w:val="8"/>
              <w:bidi w:val="0"/>
              <w:rPr>
                <w:rFonts w:hint="eastAsia" w:ascii="楷体_GB2312" w:hAnsi="楷体_GB2312" w:eastAsia="楷体_GB2312" w:cs="楷体_GB2312"/>
              </w:rPr>
            </w:pPr>
            <w:r>
              <w:rPr>
                <w:rFonts w:hint="eastAsia" w:ascii="楷体_GB2312" w:hAnsi="楷体_GB2312" w:eastAsia="楷体_GB2312" w:cs="楷体_GB2312"/>
                <w:lang w:val="en-US" w:eastAsia="zh-CN"/>
              </w:rPr>
              <w:t>（2）</w:t>
            </w:r>
            <w:r>
              <w:rPr>
                <w:rFonts w:hint="eastAsia" w:ascii="楷体_GB2312" w:hAnsi="楷体_GB2312" w:eastAsia="楷体_GB2312" w:cs="楷体_GB2312"/>
              </w:rPr>
              <w:t>职业技能提升工程。围绕</w:t>
            </w:r>
            <w:r>
              <w:rPr>
                <w:rFonts w:hint="eastAsia" w:ascii="楷体_GB2312" w:hAnsi="楷体_GB2312" w:eastAsia="楷体_GB2312" w:cs="楷体_GB2312"/>
                <w:lang w:eastAsia="zh-CN"/>
              </w:rPr>
              <w:t>富锦“</w:t>
            </w:r>
            <w:r>
              <w:rPr>
                <w:rFonts w:hint="eastAsia" w:ascii="楷体_GB2312" w:hAnsi="楷体_GB2312" w:eastAsia="楷体_GB2312" w:cs="楷体_GB2312"/>
                <w:lang w:val="en-US" w:eastAsia="zh-CN"/>
              </w:rPr>
              <w:t>3+3+3</w:t>
            </w:r>
            <w:r>
              <w:rPr>
                <w:rFonts w:hint="eastAsia" w:ascii="楷体_GB2312" w:hAnsi="楷体_GB2312" w:eastAsia="楷体_GB2312" w:cs="楷体_GB2312"/>
                <w:lang w:eastAsia="zh-CN"/>
              </w:rPr>
              <w:t>”现代</w:t>
            </w:r>
            <w:r>
              <w:rPr>
                <w:rFonts w:hint="eastAsia" w:ascii="楷体_GB2312" w:hAnsi="楷体_GB2312" w:eastAsia="楷体_GB2312" w:cs="楷体_GB2312"/>
              </w:rPr>
              <w:t>产业发展需求，大力推行“岗位需求+技能培训+技能评价+就业服务”四位一体培训模式，建立终身职业技能培训制度，提高劳动者就业创业能力。</w:t>
            </w:r>
          </w:p>
          <w:p w14:paraId="07129DE7">
            <w:pPr>
              <w:pStyle w:val="8"/>
              <w:bidi w:val="0"/>
              <w:rPr>
                <w:rFonts w:hint="eastAsia" w:ascii="楷体_GB2312" w:hAnsi="楷体_GB2312" w:eastAsia="楷体_GB2312" w:cs="楷体_GB2312"/>
              </w:rPr>
            </w:pPr>
            <w:r>
              <w:rPr>
                <w:rFonts w:hint="eastAsia" w:ascii="楷体_GB2312" w:hAnsi="楷体_GB2312" w:eastAsia="楷体_GB2312" w:cs="楷体_GB2312"/>
                <w:lang w:val="en-US" w:eastAsia="zh-CN"/>
              </w:rPr>
              <w:t>（3）</w:t>
            </w:r>
            <w:r>
              <w:rPr>
                <w:rFonts w:hint="eastAsia" w:ascii="楷体_GB2312" w:hAnsi="楷体_GB2312" w:eastAsia="楷体_GB2312" w:cs="楷体_GB2312"/>
              </w:rPr>
              <w:t>全民参保工程。引导和促进有意愿、有缴费能力的灵活就业人员、新就业形态从业人员等参加企业职工基本养老保险并持续缴费，实现法定人员全覆盖。加强失业保险参保扩面工作，重点推动中小微企业、农民工等单位和群体积极参加失业保险。推进工伤保险政策向职业人群全覆盖，不断扩大工伤保险覆盖范围。</w:t>
            </w:r>
          </w:p>
          <w:p w14:paraId="017D7E4A">
            <w:pPr>
              <w:pStyle w:val="8"/>
              <w:bidi w:val="0"/>
              <w:rPr>
                <w:rFonts w:hint="eastAsia" w:ascii="楷体_GB2312" w:hAnsi="楷体_GB2312" w:eastAsia="楷体_GB2312" w:cs="楷体_GB2312"/>
                <w:b/>
                <w:bCs/>
                <w:lang w:val="en-US" w:eastAsia="zh-CN"/>
              </w:rPr>
            </w:pPr>
            <w:r>
              <w:rPr>
                <w:rFonts w:hint="eastAsia" w:ascii="楷体_GB2312" w:hAnsi="楷体_GB2312" w:eastAsia="楷体_GB2312" w:cs="楷体_GB2312"/>
                <w:b/>
                <w:bCs/>
                <w:lang w:val="en-US" w:eastAsia="zh-CN"/>
              </w:rPr>
              <w:t>4.住房保障与城乡融合工程</w:t>
            </w:r>
          </w:p>
          <w:p w14:paraId="2EE4AA84">
            <w:pPr>
              <w:pStyle w:val="8"/>
              <w:bidi w:val="0"/>
              <w:rPr>
                <w:rFonts w:hint="eastAsia" w:ascii="楷体_GB2312" w:hAnsi="楷体_GB2312" w:eastAsia="楷体_GB2312" w:cs="楷体_GB2312"/>
              </w:rPr>
            </w:pPr>
            <w:r>
              <w:rPr>
                <w:rFonts w:hint="eastAsia" w:ascii="楷体_GB2312" w:hAnsi="楷体_GB2312" w:eastAsia="楷体_GB2312" w:cs="楷体_GB2312"/>
                <w:lang w:val="en-US" w:eastAsia="zh-CN"/>
              </w:rPr>
              <w:t>（1）</w:t>
            </w:r>
            <w:r>
              <w:rPr>
                <w:rFonts w:hint="eastAsia" w:ascii="楷体_GB2312" w:hAnsi="楷体_GB2312" w:eastAsia="楷体_GB2312" w:cs="楷体_GB2312"/>
                <w:lang w:eastAsia="zh-CN"/>
              </w:rPr>
              <w:t>政策性</w:t>
            </w:r>
            <w:r>
              <w:rPr>
                <w:rFonts w:hint="eastAsia" w:ascii="楷体_GB2312" w:hAnsi="楷体_GB2312" w:eastAsia="楷体_GB2312" w:cs="楷体_GB2312"/>
              </w:rPr>
              <w:t>保障住房配建</w:t>
            </w:r>
            <w:r>
              <w:rPr>
                <w:rFonts w:hint="eastAsia" w:ascii="楷体_GB2312" w:hAnsi="楷体_GB2312" w:eastAsia="楷体_GB2312" w:cs="楷体_GB2312"/>
                <w:lang w:eastAsia="zh-CN"/>
              </w:rPr>
              <w:t>改造</w:t>
            </w:r>
            <w:r>
              <w:rPr>
                <w:rFonts w:hint="eastAsia" w:ascii="楷体_GB2312" w:hAnsi="楷体_GB2312" w:eastAsia="楷体_GB2312" w:cs="楷体_GB2312"/>
              </w:rPr>
              <w:t>工程。根据“以需定建”原则，加快保障性租赁住房建设，探索共有产权房和配售型保障房，通过收购、改建存量商品房、闲置厂房等方式增加保障房供给。</w:t>
            </w:r>
          </w:p>
          <w:p w14:paraId="0151FD9E">
            <w:pPr>
              <w:pStyle w:val="8"/>
              <w:bidi w:val="0"/>
              <w:rPr>
                <w:rFonts w:ascii="Times New Roman" w:hAnsi="Times New Roman" w:cs="仿宋_GB2312"/>
                <w:szCs w:val="28"/>
                <w:u w:val="none"/>
                <w:shd w:val="clear" w:fill="auto"/>
              </w:rPr>
            </w:pPr>
            <w:r>
              <w:rPr>
                <w:rFonts w:hint="eastAsia" w:ascii="楷体_GB2312" w:hAnsi="楷体_GB2312" w:eastAsia="楷体_GB2312" w:cs="楷体_GB2312"/>
                <w:lang w:val="en-US" w:eastAsia="zh-CN"/>
              </w:rPr>
              <w:t>（2）</w:t>
            </w:r>
            <w:r>
              <w:rPr>
                <w:rFonts w:hint="eastAsia" w:ascii="楷体_GB2312" w:hAnsi="楷体_GB2312" w:eastAsia="楷体_GB2312" w:cs="楷体_GB2312"/>
              </w:rPr>
              <w:t>“服务下乡”三大工程。城乡基础设施提标工程，推进城乡供水一体化，配套电网改造、燃气入户，建设村级污水处</w:t>
            </w:r>
            <w:r>
              <w:rPr>
                <w:rFonts w:hint="eastAsia" w:ascii="楷体_GB2312" w:hAnsi="楷体_GB2312" w:cs="楷体_GB2312"/>
                <w:lang w:eastAsia="zh-CN"/>
              </w:rPr>
              <w:t>理厂</w:t>
            </w:r>
            <w:r>
              <w:rPr>
                <w:rFonts w:hint="eastAsia" w:ascii="楷体_GB2312" w:hAnsi="楷体_GB2312" w:eastAsia="楷体_GB2312" w:cs="楷体_GB2312"/>
              </w:rPr>
              <w:t>；教育资源全域共享工程，实施 “三名” 工作室、教师交流轮岗，建立县域教师编制 “周转池”，动态调剂城乡教师资源；医疗资源下沉基层工程，构建紧密型医联体，实现专家定期坐诊、远程会诊覆盖所有乡镇卫生院。</w:t>
            </w:r>
          </w:p>
        </w:tc>
      </w:tr>
    </w:tbl>
    <w:p w14:paraId="54A19C55">
      <w:pPr>
        <w:bidi w:val="0"/>
        <w:rPr>
          <w:rFonts w:hint="eastAsia" w:ascii="仿宋_GB2312" w:hAnsi="仿宋_GB2312" w:eastAsia="仿宋_GB2312" w:cs="仿宋_GB2312"/>
          <w:b/>
          <w:bCs/>
        </w:rPr>
      </w:pPr>
    </w:p>
    <w:p w14:paraId="05DF1A13">
      <w:pPr>
        <w:rPr>
          <w:rFonts w:hint="eastAsia"/>
          <w:lang w:val="en-US" w:eastAsia="zh-CN"/>
        </w:rPr>
      </w:pPr>
      <w:r>
        <w:rPr>
          <w:rFonts w:hint="eastAsia"/>
          <w:lang w:val="en-US" w:eastAsia="zh-CN"/>
        </w:rPr>
        <w:br w:type="page"/>
      </w:r>
    </w:p>
    <w:p w14:paraId="51466775">
      <w:pPr>
        <w:pStyle w:val="2"/>
        <w:bidi w:val="0"/>
        <w:rPr>
          <w:rFonts w:hint="default"/>
          <w:lang w:val="en-US" w:eastAsia="zh-CN"/>
        </w:rPr>
      </w:pPr>
      <w:bookmarkStart w:id="88" w:name="_Toc1079"/>
      <w:r>
        <w:rPr>
          <w:rFonts w:hint="eastAsia"/>
          <w:lang w:val="en-US" w:eastAsia="zh-CN"/>
        </w:rPr>
        <w:t>第十三章  深入践行“两山”理念</w:t>
      </w:r>
      <w:r>
        <w:rPr>
          <w:rFonts w:hint="default"/>
          <w:lang w:val="en-US" w:eastAsia="zh-CN"/>
        </w:rPr>
        <w:t>，建设美丽生态宜居美好富锦</w:t>
      </w:r>
      <w:bookmarkEnd w:id="88"/>
    </w:p>
    <w:p w14:paraId="1F42314E">
      <w:pPr>
        <w:bidi w:val="0"/>
        <w:rPr>
          <w:rFonts w:hint="eastAsia" w:ascii="仿宋_GB2312" w:hAnsi="仿宋_GB2312" w:eastAsia="仿宋_GB2312" w:cs="仿宋_GB2312"/>
        </w:rPr>
      </w:pPr>
      <w:r>
        <w:rPr>
          <w:rFonts w:hint="eastAsia" w:ascii="仿宋_GB2312" w:hAnsi="仿宋_GB2312" w:eastAsia="仿宋_GB2312" w:cs="仿宋_GB2312"/>
          <w:lang w:val="en-US" w:eastAsia="zh-CN"/>
        </w:rPr>
        <w:t>牢固树立和践行“绿水青山就是金山银山、冰天雪地也是金山银山”理念，</w:t>
      </w:r>
      <w:r>
        <w:rPr>
          <w:rFonts w:hint="eastAsia" w:ascii="仿宋_GB2312" w:hAnsi="仿宋_GB2312" w:eastAsia="仿宋_GB2312" w:cs="仿宋_GB2312"/>
        </w:rPr>
        <w:t>立</w:t>
      </w:r>
      <w:r>
        <w:rPr>
          <w:rFonts w:hint="eastAsia" w:ascii="仿宋_GB2312" w:hAnsi="仿宋_GB2312" w:eastAsia="仿宋_GB2312" w:cs="仿宋_GB2312"/>
          <w:lang w:eastAsia="zh-CN"/>
        </w:rPr>
        <w:t>足全</w:t>
      </w:r>
      <w:r>
        <w:rPr>
          <w:rFonts w:hint="eastAsia" w:ascii="仿宋_GB2312" w:hAnsi="仿宋_GB2312" w:eastAsia="仿宋_GB2312" w:cs="仿宋_GB2312"/>
        </w:rPr>
        <w:t>省“筑牢北方生态安全屏障”战略及佳木斯建设美丽中国先行区契机，</w:t>
      </w:r>
      <w:r>
        <w:rPr>
          <w:rFonts w:hint="eastAsia" w:ascii="仿宋_GB2312" w:hAnsi="仿宋_GB2312" w:eastAsia="仿宋_GB2312" w:cs="仿宋_GB2312"/>
          <w:lang w:val="en-US" w:eastAsia="zh-CN"/>
        </w:rPr>
        <w:t>坚持生态优先、绿色发展，以碳达峰碳中和为牵引，协同推进降碳、减污、扩绿、增长，筑牢生态安全屏障，增强绿色发展动能，</w:t>
      </w:r>
      <w:r>
        <w:rPr>
          <w:rFonts w:hint="eastAsia" w:ascii="仿宋_GB2312" w:hAnsi="仿宋_GB2312" w:cs="仿宋_GB2312"/>
          <w:lang w:val="en-US" w:eastAsia="zh-CN"/>
        </w:rPr>
        <w:t>努力创建“绿水青山就是金山银山”实践创新基地</w:t>
      </w:r>
      <w:r>
        <w:rPr>
          <w:rFonts w:hint="eastAsia" w:ascii="仿宋_GB2312" w:hAnsi="仿宋_GB2312" w:eastAsia="仿宋_GB2312" w:cs="仿宋_GB2312"/>
        </w:rPr>
        <w:t>。</w:t>
      </w:r>
    </w:p>
    <w:p w14:paraId="293E7AE9">
      <w:pPr>
        <w:pStyle w:val="3"/>
        <w:keepNext w:val="0"/>
        <w:keepLines w:val="0"/>
        <w:widowControl/>
        <w:spacing w:line="240" w:lineRule="auto"/>
        <w:ind w:left="0" w:leftChars="0" w:firstLine="0" w:firstLineChars="0"/>
        <w:jc w:val="center"/>
        <w:rPr>
          <w:rFonts w:ascii="Times New Roman" w:hAnsi="Times New Roman" w:eastAsia="楷体_GB2312" w:cs="楷体_GB2312"/>
          <w:u w:val="none"/>
          <w:shd w:val="clear" w:fill="auto"/>
        </w:rPr>
      </w:pPr>
      <w:bookmarkStart w:id="89" w:name="_Toc25808"/>
      <w:r>
        <w:rPr>
          <w:rFonts w:hint="eastAsia" w:ascii="Times New Roman" w:hAnsi="Times New Roman" w:eastAsia="楷体_GB2312" w:cs="楷体_GB2312"/>
          <w:u w:val="none"/>
          <w:shd w:val="clear" w:fill="auto"/>
        </w:rPr>
        <w:t xml:space="preserve">第一节  </w:t>
      </w:r>
      <w:r>
        <w:rPr>
          <w:rFonts w:hint="eastAsia" w:ascii="Times New Roman" w:hAnsi="Times New Roman" w:cs="楷体_GB2312"/>
          <w:u w:val="none"/>
          <w:shd w:val="clear" w:fill="auto"/>
          <w:lang w:val="en-US" w:eastAsia="zh-CN"/>
        </w:rPr>
        <w:t>打好污染防治攻坚战，</w:t>
      </w:r>
      <w:r>
        <w:rPr>
          <w:rFonts w:hint="eastAsia" w:ascii="Times New Roman" w:hAnsi="Times New Roman" w:eastAsia="楷体_GB2312" w:cs="楷体_GB2312"/>
          <w:u w:val="none"/>
          <w:shd w:val="clear" w:fill="auto"/>
        </w:rPr>
        <w:t>筑牢</w:t>
      </w:r>
      <w:r>
        <w:rPr>
          <w:rFonts w:hint="eastAsia" w:ascii="Times New Roman" w:hAnsi="Times New Roman" w:eastAsia="楷体_GB2312" w:cs="楷体_GB2312"/>
          <w:u w:val="none"/>
          <w:shd w:val="clear" w:fill="auto"/>
          <w:lang w:val="en-US" w:eastAsia="zh-CN"/>
        </w:rPr>
        <w:t>山水田园</w:t>
      </w:r>
      <w:r>
        <w:rPr>
          <w:rFonts w:hint="eastAsia" w:ascii="Times New Roman" w:hAnsi="Times New Roman" w:eastAsia="楷体_GB2312" w:cs="楷体_GB2312"/>
          <w:u w:val="none"/>
          <w:shd w:val="clear" w:fill="auto"/>
        </w:rPr>
        <w:t>生态基底</w:t>
      </w:r>
      <w:bookmarkEnd w:id="89"/>
    </w:p>
    <w:p w14:paraId="2F72D9E1">
      <w:pPr>
        <w:bidi w:val="0"/>
        <w:rPr>
          <w:rFonts w:hint="default"/>
          <w:lang w:val="en-US" w:eastAsia="zh-CN"/>
        </w:rPr>
      </w:pPr>
      <w:r>
        <w:rPr>
          <w:rFonts w:hint="eastAsia"/>
        </w:rPr>
        <w:t>围绕“黑土、蓝天、碧水”开展环境治理攻坚战，</w:t>
      </w:r>
      <w:r>
        <w:rPr>
          <w:rFonts w:hint="default"/>
          <w:lang w:val="en-US" w:eastAsia="zh-CN"/>
        </w:rPr>
        <w:t>全面落实精准科学依法治污，更加注重源头治理，强化减污降碳协同、多污染物控制协同、区域治理协同</w:t>
      </w:r>
      <w:r>
        <w:rPr>
          <w:rFonts w:hint="eastAsia"/>
          <w:lang w:val="en-US" w:eastAsia="zh-CN"/>
        </w:rPr>
        <w:t>，</w:t>
      </w:r>
      <w:r>
        <w:rPr>
          <w:rFonts w:hint="eastAsia"/>
        </w:rPr>
        <w:t>推动生态环境质量持续改善，加快建设</w:t>
      </w:r>
      <w:r>
        <w:rPr>
          <w:rFonts w:hint="eastAsia"/>
          <w:lang w:eastAsia="zh-CN"/>
        </w:rPr>
        <w:t>人与自然和谐共生的现代化</w:t>
      </w:r>
      <w:r>
        <w:rPr>
          <w:rFonts w:hint="eastAsia"/>
        </w:rPr>
        <w:t>美丽富锦。</w:t>
      </w:r>
    </w:p>
    <w:p w14:paraId="37DBED6F">
      <w:pPr>
        <w:bidi w:val="0"/>
        <w:rPr>
          <w:rFonts w:hint="eastAsia" w:ascii="仿宋_GB2312" w:hAnsi="仿宋_GB2312" w:eastAsia="仿宋_GB2312" w:cs="仿宋_GB2312"/>
        </w:rPr>
      </w:pPr>
      <w:r>
        <w:rPr>
          <w:rFonts w:hint="eastAsia" w:ascii="仿宋_GB2312" w:hAnsi="仿宋_GB2312" w:eastAsia="仿宋_GB2312" w:cs="仿宋_GB2312"/>
          <w:b/>
          <w:bCs/>
          <w:lang w:val="en-US" w:eastAsia="zh-CN"/>
        </w:rPr>
        <w:t>深入打好蓝天保卫战。</w:t>
      </w:r>
      <w:r>
        <w:rPr>
          <w:rFonts w:hint="eastAsia" w:ascii="仿宋_GB2312" w:hAnsi="仿宋_GB2312" w:eastAsia="仿宋_GB2312" w:cs="仿宋_GB2312"/>
          <w:lang w:val="en-US" w:eastAsia="zh-CN"/>
        </w:rPr>
        <w:t>搭建生态环境大数据平台，加强城市空气污染精细化防控管理，完善重污染天气应急预警机制、联动机制，开展挥发性有机物专项整治，加强秸秆综合利用。</w:t>
      </w:r>
      <w:r>
        <w:rPr>
          <w:rFonts w:hint="eastAsia" w:ascii="仿宋_GB2312" w:hAnsi="仿宋_GB2312" w:eastAsia="仿宋_GB2312" w:cs="仿宋_GB2312"/>
        </w:rPr>
        <w:t>对照省市考核目标要求，加强城市空气污染精细化防控管理，深化NO</w:t>
      </w:r>
      <w:r>
        <w:rPr>
          <w:rFonts w:hint="eastAsia" w:ascii="仿宋_GB2312" w:hAnsi="仿宋_GB2312" w:eastAsia="仿宋_GB2312" w:cs="仿宋_GB2312"/>
          <w:vertAlign w:val="subscript"/>
        </w:rPr>
        <w:t>2</w:t>
      </w:r>
      <w:r>
        <w:rPr>
          <w:rFonts w:hint="eastAsia" w:ascii="仿宋_GB2312" w:hAnsi="仿宋_GB2312" w:eastAsia="仿宋_GB2312" w:cs="仿宋_GB2312"/>
        </w:rPr>
        <w:t>、SO</w:t>
      </w:r>
      <w:r>
        <w:rPr>
          <w:rFonts w:hint="eastAsia" w:ascii="仿宋_GB2312" w:hAnsi="仿宋_GB2312" w:eastAsia="仿宋_GB2312" w:cs="仿宋_GB2312"/>
          <w:vertAlign w:val="subscript"/>
        </w:rPr>
        <w:t>2</w:t>
      </w:r>
      <w:r>
        <w:rPr>
          <w:rFonts w:hint="eastAsia" w:ascii="仿宋_GB2312" w:hAnsi="仿宋_GB2312" w:eastAsia="仿宋_GB2312" w:cs="仿宋_GB2312"/>
        </w:rPr>
        <w:t>、PM2.5、VOCs、O</w:t>
      </w:r>
      <w:r>
        <w:rPr>
          <w:rFonts w:hint="eastAsia" w:ascii="仿宋_GB2312" w:hAnsi="仿宋_GB2312" w:eastAsia="仿宋_GB2312" w:cs="仿宋_GB2312"/>
          <w:vertAlign w:val="subscript"/>
        </w:rPr>
        <w:t>3</w:t>
      </w:r>
      <w:r>
        <w:rPr>
          <w:rFonts w:hint="eastAsia" w:ascii="仿宋_GB2312" w:hAnsi="仿宋_GB2312" w:eastAsia="仿宋_GB2312" w:cs="仿宋_GB2312"/>
        </w:rPr>
        <w:t>等多污染物联防联控联治。加强工业污染治理，开展“三堆”扬尘污染、餐饮油烟、涉气企业专项整治和“散乱污”工业企业综合整治。推动小型燃煤锅炉淘汰</w:t>
      </w:r>
      <w:r>
        <w:rPr>
          <w:rFonts w:hint="eastAsia" w:ascii="仿宋_GB2312" w:hAnsi="仿宋_GB2312" w:eastAsia="仿宋_GB2312" w:cs="仿宋_GB2312"/>
          <w:lang w:eastAsia="zh-CN"/>
        </w:rPr>
        <w:t>，</w:t>
      </w:r>
      <w:r>
        <w:rPr>
          <w:rFonts w:hint="eastAsia" w:ascii="仿宋_GB2312" w:hAnsi="仿宋_GB2312" w:eastAsia="仿宋_GB2312" w:cs="仿宋_GB2312"/>
        </w:rPr>
        <w:t>实施大型燃煤锅炉和大型工业炉窑深度改造，采取在线自动监控，对在线设施运行进行监督管理。加强重点行业挥发性有机物排放控制，持续推进移动源大气污染综合治理</w:t>
      </w:r>
      <w:r>
        <w:rPr>
          <w:rFonts w:hint="eastAsia" w:ascii="仿宋_GB2312" w:hAnsi="仿宋_GB2312" w:eastAsia="仿宋_GB2312" w:cs="仿宋_GB2312"/>
          <w:lang w:eastAsia="zh-CN"/>
        </w:rPr>
        <w:t>，</w:t>
      </w:r>
      <w:r>
        <w:rPr>
          <w:rFonts w:hint="eastAsia" w:ascii="仿宋_GB2312" w:hAnsi="仿宋_GB2312" w:eastAsia="仿宋_GB2312" w:cs="仿宋_GB2312"/>
        </w:rPr>
        <w:t>加大新能源汽车推广力度。加强秸秆禁烧管控，推进秸秆综合利用，减少秸秆露天焚烧污染。对涉气重点行业及燃煤锅炉无组织排放等重点行业、企业开展各类执法检查整治行动，并建立管理台账。搭建生态环境大数据平台，推进生态环境监管数字化转型。</w:t>
      </w:r>
    </w:p>
    <w:p w14:paraId="1D63B1F1">
      <w:pPr>
        <w:bidi w:val="0"/>
        <w:rPr>
          <w:rFonts w:hint="eastAsia" w:ascii="仿宋_GB2312" w:hAnsi="仿宋_GB2312" w:eastAsia="仿宋_GB2312" w:cs="仿宋_GB2312"/>
        </w:rPr>
      </w:pPr>
      <w:r>
        <w:rPr>
          <w:rFonts w:hint="eastAsia" w:ascii="仿宋_GB2312" w:hAnsi="仿宋_GB2312" w:eastAsia="仿宋_GB2312" w:cs="仿宋_GB2312"/>
          <w:b/>
          <w:bCs/>
          <w:lang w:val="en-US" w:eastAsia="zh-CN"/>
        </w:rPr>
        <w:t>深入打好碧水保卫战。</w:t>
      </w:r>
      <w:r>
        <w:rPr>
          <w:rFonts w:hint="eastAsia" w:ascii="仿宋_GB2312" w:hAnsi="仿宋_GB2312" w:eastAsia="仿宋_GB2312" w:cs="仿宋_GB2312"/>
          <w:lang w:val="en-US" w:eastAsia="zh-CN"/>
        </w:rPr>
        <w:t>加强松花江流域等重要江河湖库水资源、水环境、水生态治理，完善水生态监测评估机制，提升水源地建设和保护水平，加强污水、垃圾处理等环境基础设施建设，实现“水清、岸绿、景美”治理目标。</w:t>
      </w:r>
      <w:r>
        <w:rPr>
          <w:rFonts w:hint="eastAsia" w:ascii="仿宋_GB2312" w:hAnsi="仿宋_GB2312" w:eastAsia="仿宋_GB2312" w:cs="仿宋_GB2312"/>
        </w:rPr>
        <w:t>全面深化河湖长制，持续开展美丽河湖建设，完善上下游污染治理会商机制，落实一河一策实施方案，扎实推进七星河、富锦支河、挠力河等干支流综合整治。加快现有城镇污水处理设施及收集管网等基础设施建设与智慧化改造，实现城乡污水管网全覆盖，完成中心城区雨污分流工程。加强农村生活污水治理，统筹抓好农村生活污水治理与农村改厕有效衔接。加强河湖生态缓冲带建设，构建河流、湖荡岸带缓冲区，提高水体自净能力。加强松花江、七星河等饮用水水源地保护，强化饮用水水源地环境风险防范</w:t>
      </w:r>
      <w:r>
        <w:rPr>
          <w:rFonts w:hint="eastAsia" w:ascii="仿宋_GB2312" w:hAnsi="仿宋_GB2312" w:cs="仿宋_GB2312"/>
          <w:lang w:val="en-US" w:eastAsia="zh-CN"/>
        </w:rPr>
        <w:t>和</w:t>
      </w:r>
      <w:r>
        <w:rPr>
          <w:rFonts w:hint="eastAsia" w:ascii="仿宋_GB2312" w:hAnsi="仿宋_GB2312" w:eastAsia="仿宋_GB2312" w:cs="仿宋_GB2312"/>
        </w:rPr>
        <w:t>安全评估。建立健全水生态监测体系，加强水资源统一调度。加快松花江流域富锦段生态环境整治，</w:t>
      </w:r>
      <w:r>
        <w:rPr>
          <w:rFonts w:hint="eastAsia" w:ascii="仿宋_GB2312" w:hAnsi="仿宋_GB2312" w:cs="仿宋_GB2312"/>
          <w:lang w:val="en-US" w:eastAsia="zh-CN"/>
        </w:rPr>
        <w:t>以</w:t>
      </w:r>
      <w:r>
        <w:rPr>
          <w:rFonts w:hint="eastAsia" w:ascii="仿宋_GB2312" w:hAnsi="仿宋_GB2312" w:eastAsia="仿宋_GB2312" w:cs="仿宋_GB2312"/>
        </w:rPr>
        <w:t>滨江景观带景观绿化</w:t>
      </w:r>
      <w:r>
        <w:rPr>
          <w:rFonts w:hint="eastAsia" w:ascii="仿宋_GB2312" w:hAnsi="仿宋_GB2312" w:cs="仿宋_GB2312"/>
          <w:lang w:val="en-US" w:eastAsia="zh-CN"/>
        </w:rPr>
        <w:t>提质为重点</w:t>
      </w:r>
      <w:r>
        <w:rPr>
          <w:rFonts w:hint="eastAsia" w:ascii="仿宋_GB2312" w:hAnsi="仿宋_GB2312" w:eastAsia="仿宋_GB2312" w:cs="仿宋_GB2312"/>
        </w:rPr>
        <w:t>，</w:t>
      </w:r>
      <w:r>
        <w:rPr>
          <w:rFonts w:hint="eastAsia" w:ascii="仿宋_GB2312" w:hAnsi="仿宋_GB2312" w:cs="仿宋_GB2312"/>
          <w:lang w:val="en-US" w:eastAsia="zh-CN"/>
        </w:rPr>
        <w:t>推动形成</w:t>
      </w:r>
      <w:r>
        <w:rPr>
          <w:rFonts w:hint="eastAsia" w:ascii="仿宋_GB2312" w:hAnsi="仿宋_GB2312" w:eastAsia="仿宋_GB2312" w:cs="仿宋_GB2312"/>
        </w:rPr>
        <w:t>串珠式水系景观</w:t>
      </w:r>
      <w:r>
        <w:rPr>
          <w:rFonts w:hint="eastAsia" w:ascii="仿宋_GB2312" w:hAnsi="仿宋_GB2312" w:cs="仿宋_GB2312"/>
          <w:lang w:val="en-US" w:eastAsia="zh-CN"/>
        </w:rPr>
        <w:t>与滨水慢行交通体系</w:t>
      </w:r>
      <w:r>
        <w:rPr>
          <w:rFonts w:hint="eastAsia" w:ascii="仿宋_GB2312" w:hAnsi="仿宋_GB2312" w:eastAsia="仿宋_GB2312" w:cs="仿宋_GB2312"/>
        </w:rPr>
        <w:t>。</w:t>
      </w:r>
    </w:p>
    <w:p w14:paraId="614CAAE5">
      <w:pPr>
        <w:bidi w:val="0"/>
        <w:rPr>
          <w:rFonts w:hint="eastAsia" w:ascii="仿宋_GB2312" w:hAnsi="仿宋_GB2312" w:eastAsia="仿宋_GB2312" w:cs="仿宋_GB2312"/>
        </w:rPr>
      </w:pPr>
      <w:r>
        <w:rPr>
          <w:rFonts w:hint="eastAsia" w:ascii="仿宋_GB2312" w:hAnsi="仿宋_GB2312" w:eastAsia="仿宋_GB2312" w:cs="仿宋_GB2312"/>
          <w:b/>
          <w:bCs/>
          <w:lang w:val="en-US" w:eastAsia="zh-CN"/>
        </w:rPr>
        <w:t>深入打好净土保卫战。</w:t>
      </w:r>
      <w:r>
        <w:rPr>
          <w:rFonts w:hint="eastAsia" w:ascii="仿宋_GB2312" w:hAnsi="仿宋_GB2312" w:eastAsia="仿宋_GB2312" w:cs="仿宋_GB2312"/>
          <w:lang w:val="en-US" w:eastAsia="zh-CN"/>
        </w:rPr>
        <w:t>实施黑土地“三位一体”保护工程，强化危险废物管控，提高畜禽粪污资源化利用率，加大农业面源污染防治力度，建设项目占用黑土地严格按照规定标准实施土壤剥离和再利用。</w:t>
      </w:r>
      <w:r>
        <w:rPr>
          <w:rFonts w:hint="eastAsia" w:ascii="仿宋_GB2312" w:hAnsi="仿宋_GB2312" w:eastAsia="仿宋_GB2312" w:cs="仿宋_GB2312"/>
        </w:rPr>
        <w:t>加强黑土地利用监管，积极引导实施黑土地用养结合轮作制度，推广秸秆还田、精准施肥等高效技术。强化土壤污染防治源头管控，加强农业面源污染防治，扩大测土配方施肥覆盖范围，建立农药包装废弃物和废弃农膜“回收</w:t>
      </w:r>
      <w:r>
        <w:rPr>
          <w:rFonts w:hint="eastAsia" w:ascii="仿宋_GB2312" w:hAnsi="仿宋_GB2312" w:cs="仿宋_GB2312"/>
          <w:lang w:eastAsia="zh-CN"/>
        </w:rPr>
        <w:t>－</w:t>
      </w:r>
      <w:r>
        <w:rPr>
          <w:rFonts w:hint="eastAsia" w:ascii="仿宋_GB2312" w:hAnsi="仿宋_GB2312" w:eastAsia="仿宋_GB2312" w:cs="仿宋_GB2312"/>
        </w:rPr>
        <w:t>兑换</w:t>
      </w:r>
      <w:r>
        <w:rPr>
          <w:rFonts w:hint="eastAsia" w:ascii="仿宋_GB2312" w:hAnsi="仿宋_GB2312" w:cs="仿宋_GB2312"/>
          <w:lang w:eastAsia="zh-CN"/>
        </w:rPr>
        <w:t>－</w:t>
      </w:r>
      <w:r>
        <w:rPr>
          <w:rFonts w:hint="eastAsia" w:ascii="仿宋_GB2312" w:hAnsi="仿宋_GB2312" w:eastAsia="仿宋_GB2312" w:cs="仿宋_GB2312"/>
        </w:rPr>
        <w:t>处置”工作；切实推进</w:t>
      </w:r>
      <w:r>
        <w:rPr>
          <w:rFonts w:hint="eastAsia" w:ascii="仿宋_GB2312" w:hAnsi="仿宋_GB2312" w:eastAsia="仿宋_GB2312" w:cs="仿宋_GB2312"/>
          <w:lang w:val="en-US" w:eastAsia="zh-CN"/>
        </w:rPr>
        <w:t>畜禽</w:t>
      </w:r>
      <w:r>
        <w:rPr>
          <w:rFonts w:hint="eastAsia" w:ascii="仿宋_GB2312" w:hAnsi="仿宋_GB2312" w:eastAsia="仿宋_GB2312" w:cs="仿宋_GB2312"/>
        </w:rPr>
        <w:t>养殖污染防治；加强工业污染源监管，提升危险废物、医疗废物贮存、转移及处置全过程监管力度，全力提高工业固体废弃物综合利用水平。充分挖掘耕地后备资源潜力，有序开发利用荒草地等未利用地，加大各乡镇全域土地综合整治力度。</w:t>
      </w:r>
    </w:p>
    <w:p w14:paraId="689BEF40">
      <w:pPr>
        <w:pStyle w:val="3"/>
        <w:keepNext w:val="0"/>
        <w:keepLines w:val="0"/>
        <w:widowControl/>
        <w:spacing w:line="240" w:lineRule="auto"/>
        <w:ind w:left="0" w:leftChars="0" w:firstLine="0" w:firstLineChars="0"/>
        <w:jc w:val="center"/>
        <w:rPr>
          <w:rFonts w:hint="default" w:ascii="Times New Roman" w:hAnsi="Times New Roman" w:eastAsia="楷体_GB2312" w:cs="楷体_GB2312"/>
          <w:u w:val="none"/>
          <w:shd w:val="clear" w:fill="auto"/>
          <w:lang w:val="en-US"/>
        </w:rPr>
      </w:pPr>
      <w:bookmarkStart w:id="90" w:name="_Toc9562"/>
      <w:r>
        <w:rPr>
          <w:rFonts w:hint="eastAsia" w:ascii="Times New Roman" w:hAnsi="Times New Roman" w:eastAsia="楷体_GB2312" w:cs="楷体_GB2312"/>
          <w:u w:val="none"/>
          <w:shd w:val="clear" w:fill="auto"/>
        </w:rPr>
        <w:t xml:space="preserve">第二节  </w:t>
      </w:r>
      <w:r>
        <w:rPr>
          <w:rFonts w:hint="eastAsia" w:ascii="Times New Roman" w:hAnsi="Times New Roman" w:cs="楷体_GB2312"/>
          <w:u w:val="none"/>
          <w:shd w:val="clear" w:fill="auto"/>
          <w:lang w:val="en-US" w:eastAsia="zh-CN"/>
        </w:rPr>
        <w:t>加强生态系统保护修复，</w:t>
      </w:r>
      <w:r>
        <w:rPr>
          <w:rFonts w:hint="eastAsia" w:ascii="Times New Roman" w:hAnsi="Times New Roman" w:eastAsia="楷体_GB2312" w:cs="楷体_GB2312"/>
          <w:u w:val="none"/>
          <w:shd w:val="clear" w:fill="auto"/>
        </w:rPr>
        <w:t>创新</w:t>
      </w:r>
      <w:r>
        <w:rPr>
          <w:rFonts w:hint="eastAsia" w:ascii="Times New Roman" w:hAnsi="Times New Roman" w:eastAsia="楷体_GB2312" w:cs="楷体_GB2312"/>
          <w:u w:val="none"/>
          <w:shd w:val="clear" w:fill="auto"/>
          <w:lang w:val="en-US" w:eastAsia="zh-CN"/>
        </w:rPr>
        <w:t>生态价值转化机制</w:t>
      </w:r>
      <w:bookmarkEnd w:id="90"/>
    </w:p>
    <w:p w14:paraId="3621091D">
      <w:pPr>
        <w:bidi w:val="0"/>
        <w:rPr>
          <w:rFonts w:hint="eastAsia" w:ascii="仿宋_GB2312" w:hAnsi="仿宋_GB2312" w:eastAsia="仿宋_GB2312" w:cs="仿宋_GB2312"/>
          <w:lang w:eastAsia="zh-CN"/>
        </w:rPr>
      </w:pPr>
      <w:r>
        <w:rPr>
          <w:rFonts w:hint="default" w:ascii="Times New Roman" w:hAnsi="Times New Roman" w:eastAsia="仿宋_GB2312" w:cs="Times New Roman"/>
          <w:color w:val="000000"/>
          <w:kern w:val="2"/>
          <w:sz w:val="34"/>
          <w:szCs w:val="34"/>
          <w:u w:val="none"/>
          <w:lang w:val="en-US" w:eastAsia="zh-CN" w:bidi="ar-SA"/>
        </w:rPr>
        <w:t>坚持山水林田湖草沙一体化保护和系统治理，提升生态系统多样性、稳定性、持续性，保护好森林、草原、江河、湿地、冰雪等原生态风貌</w:t>
      </w:r>
      <w:r>
        <w:rPr>
          <w:rFonts w:hint="eastAsia" w:ascii="Times New Roman" w:hAnsi="Times New Roman" w:cs="Times New Roman"/>
          <w:color w:val="000000"/>
          <w:kern w:val="2"/>
          <w:sz w:val="34"/>
          <w:szCs w:val="34"/>
          <w:u w:val="none"/>
          <w:lang w:val="en-US" w:eastAsia="zh-CN" w:bidi="ar-SA"/>
        </w:rPr>
        <w:t>，</w:t>
      </w:r>
      <w:r>
        <w:rPr>
          <w:rFonts w:hint="eastAsia" w:ascii="仿宋_GB2312" w:hAnsi="仿宋_GB2312" w:cs="仿宋_GB2312"/>
          <w:lang w:val="en-US" w:eastAsia="zh-CN"/>
        </w:rPr>
        <w:t>推动</w:t>
      </w:r>
      <w:r>
        <w:rPr>
          <w:rFonts w:hint="eastAsia" w:ascii="仿宋_GB2312" w:hAnsi="仿宋_GB2312" w:eastAsia="仿宋_GB2312" w:cs="仿宋_GB2312"/>
        </w:rPr>
        <w:t>全链条生态产品开发，探索生态价值转化机制，</w:t>
      </w:r>
      <w:r>
        <w:rPr>
          <w:rFonts w:hint="eastAsia" w:ascii="仿宋_GB2312" w:hAnsi="仿宋_GB2312" w:cs="仿宋_GB2312"/>
          <w:lang w:val="en-US" w:eastAsia="zh-CN"/>
        </w:rPr>
        <w:t>构筑</w:t>
      </w:r>
      <w:r>
        <w:rPr>
          <w:rFonts w:hint="eastAsia" w:ascii="仿宋_GB2312" w:hAnsi="仿宋_GB2312" w:eastAsia="仿宋_GB2312" w:cs="仿宋_GB2312"/>
        </w:rPr>
        <w:t>三江平原生态</w:t>
      </w:r>
      <w:r>
        <w:rPr>
          <w:rFonts w:hint="eastAsia" w:ascii="仿宋_GB2312" w:hAnsi="仿宋_GB2312" w:cs="仿宋_GB2312"/>
          <w:lang w:val="en-US" w:eastAsia="zh-CN"/>
        </w:rPr>
        <w:t>安全</w:t>
      </w:r>
      <w:r>
        <w:rPr>
          <w:rFonts w:hint="eastAsia" w:ascii="仿宋_GB2312" w:hAnsi="仿宋_GB2312" w:eastAsia="仿宋_GB2312" w:cs="仿宋_GB2312"/>
        </w:rPr>
        <w:t>屏障</w:t>
      </w:r>
      <w:r>
        <w:rPr>
          <w:rFonts w:hint="eastAsia" w:ascii="仿宋_GB2312" w:hAnsi="仿宋_GB2312" w:cs="仿宋_GB2312"/>
          <w:lang w:eastAsia="zh-CN"/>
        </w:rPr>
        <w:t>。</w:t>
      </w:r>
    </w:p>
    <w:p w14:paraId="2BFD190A">
      <w:pPr>
        <w:bidi w:val="0"/>
        <w:rPr>
          <w:rFonts w:hint="default"/>
          <w:lang w:val="en-US" w:eastAsia="zh-CN"/>
        </w:rPr>
      </w:pPr>
      <w:r>
        <w:rPr>
          <w:rFonts w:hint="eastAsia"/>
          <w:b/>
          <w:bCs/>
        </w:rPr>
        <w:t>推进重点领域生态修复与保护。</w:t>
      </w:r>
      <w:r>
        <w:rPr>
          <w:rFonts w:hint="default"/>
          <w:lang w:val="en-US" w:eastAsia="zh-CN"/>
        </w:rPr>
        <w:t>抓好国家重点生态功能区、生态保护红线、自然保护地等重点区域生态保护和修复，大力推进城市生态功能修复。</w:t>
      </w:r>
      <w:r>
        <w:rPr>
          <w:rFonts w:hint="eastAsia"/>
        </w:rPr>
        <w:t>全力推进湿地生态系统修复，加强三环泡保护区、富锦国家湿地公园、松花江流域与七星河、挠力河两岸支流湿地建设</w:t>
      </w:r>
      <w:r>
        <w:rPr>
          <w:rFonts w:hint="eastAsia"/>
          <w:lang w:eastAsia="zh-CN"/>
        </w:rPr>
        <w:t>。</w:t>
      </w:r>
      <w:r>
        <w:rPr>
          <w:rFonts w:hint="default"/>
          <w:lang w:val="en-US" w:eastAsia="zh-CN"/>
        </w:rPr>
        <w:t>加强生物多样性保护，强化外来入侵物种源头防控。</w:t>
      </w:r>
      <w:r>
        <w:rPr>
          <w:rFonts w:hint="eastAsia"/>
        </w:rPr>
        <w:t>加强白枕鹤、东方白鹳等珍稀濒危野生动植物栖息地保护，构建生态廊道和生物多样性保护网络。</w:t>
      </w:r>
      <w:r>
        <w:rPr>
          <w:rFonts w:hint="default"/>
          <w:lang w:val="en-US" w:eastAsia="zh-CN"/>
        </w:rPr>
        <w:t>科学开展国土绿化行动，完善城市绿地体系，加强城市公园、区域绿地和防护绿地等建设。</w:t>
      </w:r>
      <w:r>
        <w:rPr>
          <w:rFonts w:hint="eastAsia"/>
        </w:rPr>
        <w:t>优化农田防护林布局，加强野生动物栖息地和森林公园自然保护地建设。</w:t>
      </w:r>
      <w:r>
        <w:rPr>
          <w:rFonts w:hint="default"/>
          <w:lang w:val="en-US" w:eastAsia="zh-CN"/>
        </w:rPr>
        <w:t>加快推进</w:t>
      </w:r>
      <w:r>
        <w:rPr>
          <w:rFonts w:hint="eastAsia"/>
          <w:lang w:val="en-US" w:eastAsia="zh-CN"/>
        </w:rPr>
        <w:t>历史遗留废弃矿山生态修复</w:t>
      </w:r>
      <w:r>
        <w:rPr>
          <w:rFonts w:hint="default"/>
          <w:lang w:val="en-US" w:eastAsia="zh-CN"/>
        </w:rPr>
        <w:t>，形成社会资本积极参与的生态保护修复新路径。</w:t>
      </w:r>
      <w:r>
        <w:rPr>
          <w:rFonts w:hint="eastAsia"/>
        </w:rPr>
        <w:t>持续推进挠力河</w:t>
      </w:r>
      <w:r>
        <w:rPr>
          <w:rFonts w:hint="eastAsia"/>
          <w:lang w:eastAsia="zh-CN"/>
        </w:rPr>
        <w:t>流域</w:t>
      </w:r>
      <w:r>
        <w:rPr>
          <w:rFonts w:hint="eastAsia"/>
        </w:rPr>
        <w:t>水土流失和松花江富锦段沿岸退化耕地修复治理，加快乌尔古力山（东山）及别拉音子山（西山）</w:t>
      </w:r>
      <w:r>
        <w:rPr>
          <w:rFonts w:hint="eastAsia"/>
          <w:lang w:eastAsia="zh-CN"/>
        </w:rPr>
        <w:t>历史遗留废弃矿山生态修复</w:t>
      </w:r>
      <w:r>
        <w:rPr>
          <w:rFonts w:hint="eastAsia"/>
        </w:rPr>
        <w:t>工程。</w:t>
      </w:r>
      <w:r>
        <w:rPr>
          <w:rFonts w:hint="default"/>
          <w:lang w:val="en-US" w:eastAsia="zh-CN"/>
        </w:rPr>
        <w:t>推进水土流失综合治理，加大重要江河湖库系统治理和生态保护力度。</w:t>
      </w:r>
    </w:p>
    <w:p w14:paraId="38058674">
      <w:pPr>
        <w:bidi w:val="0"/>
        <w:rPr>
          <w:rFonts w:hint="eastAsia" w:ascii="仿宋_GB2312" w:hAnsi="仿宋_GB2312" w:eastAsia="仿宋_GB2312" w:cs="仿宋_GB2312"/>
        </w:rPr>
      </w:pPr>
      <w:r>
        <w:rPr>
          <w:rFonts w:hint="eastAsia" w:ascii="仿宋_GB2312" w:hAnsi="仿宋_GB2312" w:eastAsia="仿宋_GB2312" w:cs="仿宋_GB2312"/>
          <w:b/>
          <w:bCs/>
        </w:rPr>
        <w:t>探索“碳汇+”生态价值转化。</w:t>
      </w:r>
      <w:r>
        <w:rPr>
          <w:rFonts w:hint="eastAsia" w:ascii="仿宋_GB2312" w:hAnsi="仿宋_GB2312" w:eastAsia="仿宋_GB2312" w:cs="仿宋_GB2312"/>
          <w:lang w:val="en-US" w:eastAsia="zh-CN"/>
        </w:rPr>
        <w:t>落实多元化生态补偿机制，因地制宜拓展生态产品价值实现渠道。开展林地、湿地、水资源、草地等生态资源资产确权，探索生态产品价值实现路径，推动“黑土+湿地”碳汇项目开发，打造三江平原美丽生态屏障。</w:t>
      </w:r>
    </w:p>
    <w:p w14:paraId="77F1DD52">
      <w:pPr>
        <w:pStyle w:val="3"/>
        <w:keepNext w:val="0"/>
        <w:keepLines w:val="0"/>
        <w:widowControl/>
        <w:spacing w:line="240" w:lineRule="auto"/>
        <w:ind w:left="0" w:leftChars="0" w:firstLine="0" w:firstLineChars="0"/>
        <w:jc w:val="center"/>
        <w:rPr>
          <w:rFonts w:hint="default" w:ascii="Times New Roman" w:hAnsi="Times New Roman" w:eastAsia="楷体_GB2312" w:cs="楷体_GB2312"/>
          <w:u w:val="none"/>
          <w:shd w:val="clear" w:fill="auto"/>
          <w:lang w:val="en-US"/>
        </w:rPr>
      </w:pPr>
      <w:bookmarkStart w:id="91" w:name="_Toc620"/>
      <w:r>
        <w:rPr>
          <w:rFonts w:hint="eastAsia" w:ascii="Times New Roman" w:hAnsi="Times New Roman" w:eastAsia="楷体_GB2312" w:cs="楷体_GB2312"/>
          <w:u w:val="none"/>
          <w:shd w:val="clear" w:fill="auto"/>
        </w:rPr>
        <w:t xml:space="preserve">第三节  </w:t>
      </w:r>
      <w:r>
        <w:rPr>
          <w:rFonts w:hint="eastAsia" w:ascii="Times New Roman" w:hAnsi="Times New Roman" w:cs="楷体_GB2312"/>
          <w:u w:val="none"/>
          <w:shd w:val="clear" w:fill="auto"/>
          <w:lang w:val="en-US" w:eastAsia="zh-CN"/>
        </w:rPr>
        <w:t>稳妥推进碳达峰碳中和，</w:t>
      </w:r>
      <w:r>
        <w:rPr>
          <w:rFonts w:hint="eastAsia" w:ascii="Times New Roman" w:hAnsi="Times New Roman" w:eastAsia="楷体_GB2312" w:cs="楷体_GB2312"/>
          <w:u w:val="none"/>
          <w:shd w:val="clear" w:fill="auto"/>
        </w:rPr>
        <w:t>培育零碳粮都</w:t>
      </w:r>
      <w:r>
        <w:rPr>
          <w:rFonts w:hint="eastAsia" w:ascii="Times New Roman" w:hAnsi="Times New Roman" w:eastAsia="楷体_GB2312" w:cs="楷体_GB2312"/>
          <w:u w:val="none"/>
          <w:shd w:val="clear" w:fill="auto"/>
          <w:lang w:val="en-US" w:eastAsia="zh-CN"/>
        </w:rPr>
        <w:t>绿色动能</w:t>
      </w:r>
      <w:bookmarkEnd w:id="91"/>
    </w:p>
    <w:p w14:paraId="01FF0925">
      <w:pPr>
        <w:bidi w:val="0"/>
        <w:rPr>
          <w:rFonts w:hint="eastAsia" w:ascii="仿宋_GB2312" w:hAnsi="仿宋_GB2312" w:eastAsia="仿宋_GB2312" w:cs="仿宋_GB2312"/>
        </w:rPr>
      </w:pPr>
      <w:r>
        <w:rPr>
          <w:rFonts w:hint="eastAsia" w:ascii="仿宋_GB2312" w:hAnsi="仿宋_GB2312" w:eastAsia="仿宋_GB2312" w:cs="仿宋_GB2312"/>
          <w:lang w:val="en-US" w:eastAsia="zh-CN"/>
        </w:rPr>
        <w:t>实施碳排放总量和强度双控制度，深入推进节能降碳改造，持续深化工业、城乡建设、交通运输、公共机构等重点领域节能降碳，坚决遏制“两高”项目盲目发展，</w:t>
      </w:r>
      <w:r>
        <w:rPr>
          <w:rFonts w:hint="eastAsia" w:ascii="仿宋_GB2312" w:hAnsi="仿宋_GB2312" w:eastAsia="仿宋_GB2312" w:cs="仿宋_GB2312"/>
        </w:rPr>
        <w:t>构建绿色低碳产业集群，推动能源结构优化，提倡节约适度文明健康的生活模式，巩固提升</w:t>
      </w:r>
      <w:r>
        <w:rPr>
          <w:rFonts w:hint="eastAsia" w:ascii="仿宋_GB2312" w:hAnsi="仿宋_GB2312" w:eastAsia="仿宋_GB2312" w:cs="仿宋_GB2312"/>
          <w:lang w:val="en-US" w:eastAsia="zh-CN"/>
        </w:rPr>
        <w:t>富锦</w:t>
      </w:r>
      <w:r>
        <w:rPr>
          <w:rFonts w:hint="eastAsia" w:ascii="仿宋_GB2312" w:hAnsi="仿宋_GB2312" w:eastAsia="仿宋_GB2312" w:cs="仿宋_GB2312"/>
        </w:rPr>
        <w:t>绿色发展新优势。</w:t>
      </w:r>
    </w:p>
    <w:p w14:paraId="6BCD3D49">
      <w:pPr>
        <w:bidi w:val="0"/>
        <w:rPr>
          <w:rFonts w:hint="eastAsia" w:ascii="仿宋_GB2312" w:hAnsi="仿宋_GB2312" w:eastAsia="仿宋_GB2312" w:cs="仿宋_GB2312"/>
        </w:rPr>
      </w:pPr>
      <w:r>
        <w:rPr>
          <w:rFonts w:hint="eastAsia" w:ascii="仿宋_GB2312" w:hAnsi="仿宋_GB2312" w:eastAsia="仿宋_GB2312" w:cs="仿宋_GB2312"/>
          <w:b/>
          <w:bCs/>
        </w:rPr>
        <w:t>打造寒地平原型零碳园区样板。</w:t>
      </w:r>
      <w:r>
        <w:rPr>
          <w:rFonts w:hint="eastAsia" w:ascii="仿宋_GB2312" w:hAnsi="仿宋_GB2312" w:eastAsia="仿宋_GB2312" w:cs="仿宋_GB2312"/>
        </w:rPr>
        <w:t>推进清洁能源高效利用，积极发展风电、光伏、生物质热电联产等清洁能源替代煤炭工程，促进清洁能源与煤炭供应形成有效互动。探索“绿电直供”创新发展模式，争取国家增量配电网改革试点建设，建立由</w:t>
      </w:r>
      <w:r>
        <w:rPr>
          <w:rFonts w:hint="eastAsia" w:ascii="仿宋_GB2312" w:hAnsi="仿宋_GB2312" w:eastAsia="仿宋_GB2312" w:cs="仿宋_GB2312"/>
          <w:lang w:val="en-US" w:eastAsia="zh-CN"/>
        </w:rPr>
        <w:t>万达公司</w:t>
      </w:r>
      <w:r>
        <w:rPr>
          <w:rFonts w:hint="eastAsia" w:ascii="仿宋_GB2312" w:hAnsi="仿宋_GB2312" w:eastAsia="仿宋_GB2312" w:cs="仿宋_GB2312"/>
        </w:rPr>
        <w:t>、电网公司及</w:t>
      </w:r>
      <w:r>
        <w:rPr>
          <w:rFonts w:hint="eastAsia" w:ascii="仿宋_GB2312" w:hAnsi="仿宋_GB2312" w:eastAsia="仿宋_GB2312" w:cs="仿宋_GB2312"/>
          <w:lang w:eastAsia="zh-CN"/>
        </w:rPr>
        <w:t>“</w:t>
      </w:r>
      <w:r>
        <w:rPr>
          <w:rFonts w:hint="eastAsia" w:ascii="仿宋_GB2312" w:hAnsi="仿宋_GB2312" w:eastAsia="仿宋_GB2312" w:cs="仿宋_GB2312"/>
        </w:rPr>
        <w:t>用发电</w:t>
      </w:r>
      <w:r>
        <w:rPr>
          <w:rFonts w:hint="eastAsia" w:ascii="仿宋_GB2312" w:hAnsi="仿宋_GB2312" w:eastAsia="仿宋_GB2312" w:cs="仿宋_GB2312"/>
          <w:lang w:eastAsia="zh-CN"/>
        </w:rPr>
        <w:t>”</w:t>
      </w:r>
      <w:r>
        <w:rPr>
          <w:rFonts w:hint="eastAsia" w:ascii="仿宋_GB2312" w:hAnsi="仿宋_GB2312" w:eastAsia="仿宋_GB2312" w:cs="仿宋_GB2312"/>
        </w:rPr>
        <w:t>企业多方参与的绿电直供协调机制与利益共享平台，实施“隔墙售电+绿证捆绑”政策；着力完善电力市场跨区域交易机制，推动经开区企业纳入黑龙江省绿电交易平台，与周边风电等可再生能源发电项目签订具有长期稳定性的绿电购销协议。构建</w:t>
      </w:r>
      <w:r>
        <w:rPr>
          <w:rFonts w:hint="eastAsia" w:ascii="仿宋_GB2312" w:hAnsi="仿宋_GB2312" w:eastAsia="仿宋_GB2312" w:cs="仿宋_GB2312"/>
          <w:lang w:val="en-US" w:eastAsia="zh-CN"/>
        </w:rPr>
        <w:t>以智慧化能源管理平台为核心的</w:t>
      </w:r>
      <w:r>
        <w:rPr>
          <w:rFonts w:hint="eastAsia" w:ascii="仿宋_GB2312" w:hAnsi="仿宋_GB2312" w:eastAsia="仿宋_GB2312" w:cs="仿宋_GB2312"/>
        </w:rPr>
        <w:t>智慧能源系统，重点</w:t>
      </w:r>
      <w:r>
        <w:rPr>
          <w:rFonts w:hint="eastAsia" w:ascii="仿宋_GB2312" w:hAnsi="仿宋_GB2312" w:eastAsia="仿宋_GB2312" w:cs="仿宋_GB2312"/>
          <w:lang w:val="en-US" w:eastAsia="zh-CN"/>
        </w:rPr>
        <w:t>布局</w:t>
      </w:r>
      <w:r>
        <w:rPr>
          <w:rFonts w:hint="eastAsia" w:ascii="仿宋_GB2312" w:hAnsi="仿宋_GB2312" w:eastAsia="仿宋_GB2312" w:cs="仿宋_GB2312"/>
        </w:rPr>
        <w:t>智能微电网、虚拟电厂</w:t>
      </w:r>
      <w:r>
        <w:rPr>
          <w:rFonts w:hint="eastAsia" w:ascii="仿宋_GB2312" w:hAnsi="仿宋_GB2312" w:eastAsia="仿宋_GB2312" w:cs="仿宋_GB2312"/>
          <w:lang w:eastAsia="zh-CN"/>
        </w:rPr>
        <w:t>、</w:t>
      </w:r>
      <w:r>
        <w:rPr>
          <w:rFonts w:hint="eastAsia" w:ascii="仿宋_GB2312" w:hAnsi="仿宋_GB2312" w:eastAsia="仿宋_GB2312" w:cs="仿宋_GB2312"/>
        </w:rPr>
        <w:t>充电桩、换电站等新型电力系统，</w:t>
      </w:r>
      <w:r>
        <w:rPr>
          <w:rFonts w:hint="eastAsia" w:ascii="仿宋_GB2312" w:hAnsi="仿宋_GB2312" w:eastAsia="仿宋_GB2312" w:cs="仿宋_GB2312"/>
          <w:lang w:val="en-US" w:eastAsia="zh-CN"/>
        </w:rPr>
        <w:t>深度融合</w:t>
      </w:r>
      <w:r>
        <w:rPr>
          <w:rFonts w:hint="eastAsia" w:ascii="仿宋_GB2312" w:hAnsi="仿宋_GB2312" w:eastAsia="仿宋_GB2312" w:cs="仿宋_GB2312"/>
        </w:rPr>
        <w:t>“储能调峰+直流微网”技术，实现</w:t>
      </w:r>
      <w:r>
        <w:rPr>
          <w:rFonts w:hint="eastAsia" w:ascii="仿宋_GB2312" w:hAnsi="仿宋_GB2312" w:eastAsia="仿宋_GB2312" w:cs="仿宋_GB2312"/>
          <w:lang w:val="en-US" w:eastAsia="zh-CN"/>
        </w:rPr>
        <w:t>对分布式</w:t>
      </w:r>
      <w:r>
        <w:rPr>
          <w:rFonts w:hint="eastAsia" w:ascii="仿宋_GB2312" w:hAnsi="仿宋_GB2312" w:eastAsia="仿宋_GB2312" w:cs="仿宋_GB2312"/>
        </w:rPr>
        <w:t>风电、储能</w:t>
      </w:r>
      <w:r>
        <w:rPr>
          <w:rFonts w:hint="eastAsia" w:ascii="仿宋_GB2312" w:hAnsi="仿宋_GB2312" w:eastAsia="仿宋_GB2312" w:cs="仿宋_GB2312"/>
          <w:lang w:val="en-US" w:eastAsia="zh-CN"/>
        </w:rPr>
        <w:t>系统和多元</w:t>
      </w:r>
      <w:r>
        <w:rPr>
          <w:rFonts w:hint="eastAsia" w:ascii="仿宋_GB2312" w:hAnsi="仿宋_GB2312" w:eastAsia="仿宋_GB2312" w:cs="仿宋_GB2312"/>
        </w:rPr>
        <w:t>负荷的</w:t>
      </w:r>
      <w:r>
        <w:rPr>
          <w:rFonts w:hint="eastAsia" w:ascii="仿宋_GB2312" w:hAnsi="仿宋_GB2312" w:eastAsia="仿宋_GB2312" w:cs="仿宋_GB2312"/>
          <w:lang w:val="en-US" w:eastAsia="zh-CN"/>
        </w:rPr>
        <w:t>一体化</w:t>
      </w:r>
      <w:r>
        <w:rPr>
          <w:rFonts w:hint="eastAsia" w:ascii="仿宋_GB2312" w:hAnsi="仿宋_GB2312" w:eastAsia="仿宋_GB2312" w:cs="仿宋_GB2312"/>
        </w:rPr>
        <w:t>协同控制</w:t>
      </w:r>
      <w:r>
        <w:rPr>
          <w:rFonts w:hint="eastAsia" w:ascii="仿宋_GB2312" w:hAnsi="仿宋_GB2312" w:eastAsia="仿宋_GB2312" w:cs="仿宋_GB2312"/>
          <w:lang w:val="en-US" w:eastAsia="zh-CN"/>
        </w:rPr>
        <w:t>与</w:t>
      </w:r>
      <w:r>
        <w:rPr>
          <w:rFonts w:hint="eastAsia" w:ascii="仿宋_GB2312" w:hAnsi="仿宋_GB2312" w:eastAsia="仿宋_GB2312" w:cs="仿宋_GB2312"/>
        </w:rPr>
        <w:t>优化调度；着力建立能碳管理平台和绿电溯源系统，通过数字化手段实现绿电从生产到消费的全过程追踪和认证，为企业碳核查与碳足迹认证提供支撑。促进能源消耗结构绿色转型，实施节能降碳技术改造工程，全面开展用能设备更新升级工作。</w:t>
      </w:r>
      <w:r>
        <w:rPr>
          <w:rFonts w:hint="eastAsia" w:ascii="仿宋_GB2312" w:hAnsi="仿宋_GB2312" w:eastAsia="仿宋_GB2312" w:cs="仿宋_GB2312"/>
          <w:lang w:val="en-US" w:eastAsia="zh-CN"/>
        </w:rPr>
        <w:t>引导</w:t>
      </w:r>
      <w:r>
        <w:rPr>
          <w:rFonts w:hint="eastAsia" w:ascii="仿宋_GB2312" w:hAnsi="仿宋_GB2312" w:eastAsia="仿宋_GB2312" w:cs="仿宋_GB2312"/>
        </w:rPr>
        <w:t>食品加工、生物化工等企业开展绿色化改造及生产工艺优化，推进企业余热余能回收利用体系建设，</w:t>
      </w:r>
      <w:r>
        <w:rPr>
          <w:rFonts w:hint="default" w:ascii="Times New Roman" w:hAnsi="Times New Roman" w:eastAsia="仿宋_GB2312" w:cs="Times New Roman"/>
          <w:color w:val="000000"/>
          <w:kern w:val="2"/>
          <w:sz w:val="34"/>
          <w:szCs w:val="34"/>
          <w:u w:val="none"/>
          <w:lang w:val="en-US" w:eastAsia="zh-CN" w:bidi="ar-SA"/>
        </w:rPr>
        <w:t>支持循环化改造和生态化升级</w:t>
      </w:r>
      <w:r>
        <w:rPr>
          <w:rFonts w:hint="eastAsia" w:ascii="Times New Roman" w:hAnsi="Times New Roman" w:cs="Times New Roman"/>
          <w:color w:val="000000"/>
          <w:kern w:val="2"/>
          <w:sz w:val="34"/>
          <w:szCs w:val="34"/>
          <w:u w:val="none"/>
          <w:lang w:val="en-US" w:eastAsia="zh-CN" w:bidi="ar-SA"/>
        </w:rPr>
        <w:t>，</w:t>
      </w:r>
      <w:r>
        <w:rPr>
          <w:rFonts w:hint="eastAsia" w:ascii="仿宋_GB2312" w:hAnsi="仿宋_GB2312" w:eastAsia="仿宋_GB2312" w:cs="仿宋_GB2312"/>
        </w:rPr>
        <w:t>积极打造零碳排放示范工厂。</w:t>
      </w:r>
    </w:p>
    <w:p w14:paraId="03325D10">
      <w:pPr>
        <w:bidi w:val="0"/>
        <w:rPr>
          <w:rFonts w:hint="default"/>
          <w:lang w:val="en-US" w:eastAsia="zh-CN"/>
        </w:rPr>
      </w:pPr>
      <w:r>
        <w:rPr>
          <w:rFonts w:hint="eastAsia"/>
          <w:b/>
          <w:bCs/>
          <w:lang w:val="en-US" w:eastAsia="zh-CN"/>
        </w:rPr>
        <w:t>建立健全响应全国碳排放权交易的工作机制。</w:t>
      </w:r>
      <w:r>
        <w:rPr>
          <w:rFonts w:hint="default"/>
          <w:lang w:val="en-US" w:eastAsia="zh-CN"/>
        </w:rPr>
        <w:t>积极参与全国碳排放权交易、温室气体自愿减排交易。探索森林固碳增汇经营模式和关键技术，推动森林碳汇项目开发，推进林业碳汇交易</w:t>
      </w:r>
      <w:r>
        <w:rPr>
          <w:rFonts w:hint="eastAsia"/>
          <w:lang w:val="en-US" w:eastAsia="zh-CN"/>
        </w:rPr>
        <w:t>，</w:t>
      </w:r>
      <w:r>
        <w:t>将碳市场参与转化为推动</w:t>
      </w:r>
      <w:r>
        <w:rPr>
          <w:rFonts w:hint="eastAsia"/>
          <w:lang w:val="en-US" w:eastAsia="zh-CN"/>
        </w:rPr>
        <w:t>富锦</w:t>
      </w:r>
      <w:r>
        <w:t>绿色转型和生态价值实现的新动能</w:t>
      </w:r>
      <w:r>
        <w:rPr>
          <w:rFonts w:hint="default"/>
          <w:lang w:val="en-US" w:eastAsia="zh-CN"/>
        </w:rPr>
        <w:t>。</w:t>
      </w:r>
    </w:p>
    <w:p w14:paraId="5806867B">
      <w:pPr>
        <w:pStyle w:val="3"/>
        <w:bidi w:val="0"/>
        <w:rPr>
          <w:rFonts w:hint="default"/>
          <w:lang w:val="en-US" w:eastAsia="zh-CN"/>
        </w:rPr>
      </w:pPr>
      <w:bookmarkStart w:id="92" w:name="_Toc32280"/>
      <w:r>
        <w:rPr>
          <w:rFonts w:hint="eastAsia"/>
        </w:rPr>
        <w:t xml:space="preserve">第四节  </w:t>
      </w:r>
      <w:r>
        <w:rPr>
          <w:rFonts w:hint="eastAsia"/>
          <w:lang w:val="en-US" w:eastAsia="zh-CN"/>
        </w:rPr>
        <w:t>加强环境治理体系建设，塑造绿色共享新风尚</w:t>
      </w:r>
      <w:bookmarkEnd w:id="92"/>
    </w:p>
    <w:p w14:paraId="4C1D1CDA">
      <w:pPr>
        <w:bidi w:val="0"/>
        <w:rPr>
          <w:rFonts w:hint="eastAsia" w:ascii="仿宋_GB2312" w:hAnsi="仿宋_GB2312" w:eastAsia="仿宋_GB2312" w:cs="仿宋_GB2312"/>
        </w:rPr>
      </w:pPr>
      <w:r>
        <w:rPr>
          <w:rFonts w:hint="eastAsia" w:ascii="仿宋_GB2312" w:hAnsi="仿宋_GB2312" w:eastAsia="仿宋_GB2312" w:cs="仿宋_GB2312"/>
        </w:rPr>
        <w:t>通过完善考核评价与约束体系、落实责任考核机制，强化监督监管机制，构建多元共治参与网络，创新生态环境保护与治理长效机制。</w:t>
      </w:r>
    </w:p>
    <w:p w14:paraId="10E26F13">
      <w:pPr>
        <w:bidi w:val="0"/>
        <w:rPr>
          <w:rFonts w:hint="eastAsia"/>
        </w:rPr>
      </w:pPr>
      <w:r>
        <w:rPr>
          <w:rFonts w:hint="eastAsia"/>
          <w:b/>
          <w:bCs/>
        </w:rPr>
        <w:t>建立健全监督监管机制。</w:t>
      </w:r>
      <w:r>
        <w:rPr>
          <w:rFonts w:hint="eastAsia"/>
          <w:lang w:val="en-US" w:eastAsia="zh-CN"/>
        </w:rPr>
        <w:t>落实以排污许可制为核心的固定污染源监管制度，实施固体废物综合治理行动，加强新污染物治理，推进“无废城市”建设。深入落实生态环境保护责任制，落实生态环境标准、监测、评价和考核制度。</w:t>
      </w:r>
      <w:r>
        <w:rPr>
          <w:rFonts w:hint="eastAsia"/>
        </w:rPr>
        <w:t>落实党政同责、终身追责的责任考核机制。</w:t>
      </w:r>
      <w:r>
        <w:rPr>
          <w:rFonts w:hint="eastAsia"/>
          <w:lang w:val="en-US" w:eastAsia="zh-CN"/>
        </w:rPr>
        <w:t>完善督查监督机制，建立健全覆盖全市重点污染源的精准化智慧监管体系</w:t>
      </w:r>
      <w:r>
        <w:rPr>
          <w:rFonts w:hint="eastAsia"/>
        </w:rPr>
        <w:t>。</w:t>
      </w:r>
      <w:r>
        <w:rPr>
          <w:rFonts w:hint="eastAsia"/>
          <w:lang w:val="en-US" w:eastAsia="zh-CN"/>
        </w:rPr>
        <w:t>强化绿色空间约束与系统治理，</w:t>
      </w:r>
      <w:r>
        <w:rPr>
          <w:rFonts w:hint="default"/>
          <w:lang w:val="en-US" w:eastAsia="zh-CN"/>
        </w:rPr>
        <w:t>深入推进生态环境分区管控，加强同国土空间规划衔接，协同优化产业布局</w:t>
      </w:r>
      <w:r>
        <w:rPr>
          <w:rFonts w:hint="eastAsia"/>
          <w:lang w:val="en-US" w:eastAsia="zh-CN"/>
        </w:rPr>
        <w:t>，</w:t>
      </w:r>
      <w:r>
        <w:rPr>
          <w:rFonts w:hint="default"/>
          <w:lang w:val="en-US" w:eastAsia="zh-CN"/>
        </w:rPr>
        <w:t>建立碳排放预算管理平台，强化碳预算硬约束。</w:t>
      </w:r>
      <w:r>
        <w:rPr>
          <w:rFonts w:hint="eastAsia"/>
        </w:rPr>
        <w:t>完善纠纷解决机制，设立生态调解委员会，协调处理企业与社区的环境纠纷。</w:t>
      </w:r>
    </w:p>
    <w:p w14:paraId="4D463884">
      <w:pPr>
        <w:bidi w:val="0"/>
        <w:rPr>
          <w:rFonts w:hint="eastAsia"/>
        </w:rPr>
      </w:pPr>
      <w:r>
        <w:rPr>
          <w:rFonts w:hint="default"/>
          <w:b/>
          <w:bCs/>
          <w:lang w:val="en-US" w:eastAsia="zh-CN"/>
        </w:rPr>
        <w:t>构建绿色低碳循环发展经济体系</w:t>
      </w:r>
      <w:r>
        <w:rPr>
          <w:rFonts w:hint="eastAsia"/>
          <w:b/>
          <w:bCs/>
          <w:lang w:val="en-US" w:eastAsia="zh-CN"/>
        </w:rPr>
        <w:t>。</w:t>
      </w:r>
      <w:r>
        <w:rPr>
          <w:rFonts w:hint="default"/>
          <w:lang w:val="en-US" w:eastAsia="zh-CN"/>
        </w:rPr>
        <w:t>加快绿色科技创新和绿色技术推广应用，推动工业、城乡建设、交通运输、能源等领域绿色低碳转型，提高垃圾分类和资源化利用水平。推进绿色基础设施建设，坚持风光水氢多能并举，发展新型储能和分布式能源，加快智能电网和微电网建设，</w:t>
      </w:r>
      <w:r>
        <w:rPr>
          <w:rFonts w:hint="eastAsia"/>
          <w:lang w:val="en-US" w:eastAsia="zh-CN"/>
        </w:rPr>
        <w:t>全力</w:t>
      </w:r>
      <w:r>
        <w:rPr>
          <w:rFonts w:hint="default"/>
          <w:lang w:val="en-US" w:eastAsia="zh-CN"/>
        </w:rPr>
        <w:t>打造</w:t>
      </w:r>
      <w:r>
        <w:rPr>
          <w:rFonts w:hint="eastAsia"/>
          <w:lang w:val="en-US" w:eastAsia="zh-CN"/>
        </w:rPr>
        <w:t>具有竞争力的</w:t>
      </w:r>
      <w:r>
        <w:rPr>
          <w:rFonts w:hint="default"/>
          <w:lang w:val="en-US" w:eastAsia="zh-CN"/>
        </w:rPr>
        <w:t>新能源产业集群。</w:t>
      </w:r>
    </w:p>
    <w:p w14:paraId="71A0EFD5">
      <w:pPr>
        <w:bidi w:val="0"/>
        <w:rPr>
          <w:rFonts w:hint="eastAsia" w:ascii="仿宋_GB2312" w:hAnsi="仿宋_GB2312" w:eastAsia="仿宋_GB2312" w:cs="仿宋_GB2312"/>
        </w:rPr>
      </w:pPr>
      <w:r>
        <w:rPr>
          <w:rFonts w:hint="eastAsia" w:ascii="仿宋_GB2312" w:hAnsi="仿宋_GB2312" w:eastAsia="仿宋_GB2312" w:cs="仿宋_GB2312"/>
          <w:b/>
          <w:bCs/>
        </w:rPr>
        <w:t>构建多元共治参与网络。</w:t>
      </w:r>
      <w:r>
        <w:rPr>
          <w:rFonts w:hint="eastAsia" w:ascii="仿宋_GB2312" w:hAnsi="仿宋_GB2312" w:eastAsia="仿宋_GB2312" w:cs="仿宋_GB2312"/>
          <w:lang w:val="en-US" w:eastAsia="zh-CN"/>
        </w:rPr>
        <w:t>落实促进绿色低碳发展的财税、金融、投资、价格、科技、环保政策，推动绿色环保产业发展。推行“生态哨兵”志愿行动，构建多元共治参与网络。</w:t>
      </w:r>
      <w:r>
        <w:rPr>
          <w:rFonts w:hint="eastAsia" w:ascii="仿宋_GB2312" w:hAnsi="仿宋_GB2312" w:eastAsia="仿宋_GB2312" w:cs="仿宋_GB2312"/>
        </w:rPr>
        <w:t>开展低碳社区示范</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探索</w:t>
      </w:r>
      <w:r>
        <w:rPr>
          <w:rFonts w:hint="eastAsia" w:ascii="仿宋_GB2312" w:hAnsi="仿宋_GB2312" w:eastAsia="仿宋_GB2312" w:cs="仿宋_GB2312"/>
        </w:rPr>
        <w:t>“零碳村庄”</w:t>
      </w:r>
      <w:r>
        <w:rPr>
          <w:rFonts w:hint="eastAsia" w:ascii="仿宋_GB2312" w:hAnsi="仿宋_GB2312" w:eastAsia="仿宋_GB2312" w:cs="仿宋_GB2312"/>
          <w:lang w:val="en-US" w:eastAsia="zh-CN"/>
        </w:rPr>
        <w:t>示范</w:t>
      </w:r>
      <w:r>
        <w:rPr>
          <w:rFonts w:hint="eastAsia" w:ascii="仿宋_GB2312" w:hAnsi="仿宋_GB2312" w:eastAsia="仿宋_GB2312" w:cs="仿宋_GB2312"/>
        </w:rPr>
        <w:t>建设</w:t>
      </w:r>
      <w:r>
        <w:rPr>
          <w:rFonts w:hint="eastAsia" w:ascii="仿宋_GB2312" w:hAnsi="仿宋_GB2312" w:eastAsia="仿宋_GB2312" w:cs="仿宋_GB2312"/>
          <w:lang w:eastAsia="zh-CN"/>
        </w:rPr>
        <w:t>，</w:t>
      </w:r>
      <w:r>
        <w:rPr>
          <w:rFonts w:hint="eastAsia" w:ascii="仿宋_GB2312" w:hAnsi="仿宋_GB2312" w:eastAsia="仿宋_GB2312" w:cs="仿宋_GB2312"/>
        </w:rPr>
        <w:t>开展绿色学校、绿色家庭、绿色企业创建</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增强全民节能意识和能力，引导群众绿色消费、绿色出行、绿色居住，推动形成绿色低碳生活新风尚。</w:t>
      </w:r>
    </w:p>
    <w:tbl>
      <w:tblPr>
        <w:tblStyle w:val="20"/>
        <w:tblW w:w="8335"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335"/>
      </w:tblGrid>
      <w:tr w14:paraId="7C2D3B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8335" w:type="dxa"/>
            <w:tcBorders>
              <w:top w:val="single" w:color="auto" w:sz="4" w:space="0"/>
              <w:bottom w:val="single" w:color="auto" w:sz="4" w:space="0"/>
            </w:tcBorders>
            <w:vAlign w:val="center"/>
          </w:tcPr>
          <w:p w14:paraId="7889B6B7">
            <w:pPr>
              <w:spacing w:line="340" w:lineRule="exact"/>
              <w:jc w:val="center"/>
              <w:rPr>
                <w:rFonts w:hint="default" w:ascii="仿宋" w:hAnsi="仿宋" w:eastAsia="黑体"/>
                <w:color w:val="000000" w:themeColor="text1"/>
                <w:sz w:val="28"/>
                <w:szCs w:val="28"/>
                <w:lang w:val="en-US" w:eastAsia="zh-CN"/>
                <w14:textFill>
                  <w14:solidFill>
                    <w14:schemeClr w14:val="tx1"/>
                  </w14:solidFill>
                </w14:textFill>
              </w:rPr>
            </w:pPr>
            <w:r>
              <w:rPr>
                <w:rFonts w:hint="eastAsia" w:ascii="黑体" w:hAnsi="黑体" w:eastAsia="黑体" w:cs="黑体"/>
                <w:b w:val="0"/>
                <w:bCs w:val="0"/>
                <w:sz w:val="24"/>
                <w:szCs w:val="24"/>
                <w:u w:val="none"/>
                <w:shd w:val="clear" w:fill="auto"/>
              </w:rPr>
              <w:t>专栏</w:t>
            </w:r>
            <w:r>
              <w:rPr>
                <w:rFonts w:hint="eastAsia" w:ascii="黑体" w:hAnsi="黑体" w:eastAsia="黑体" w:cs="黑体"/>
                <w:b w:val="0"/>
                <w:bCs w:val="0"/>
                <w:sz w:val="24"/>
                <w:szCs w:val="24"/>
                <w:u w:val="none"/>
                <w:shd w:val="clear" w:fill="auto"/>
                <w:lang w:val="en-US" w:eastAsia="zh-CN"/>
              </w:rPr>
              <w:t>13-1</w:t>
            </w:r>
            <w:r>
              <w:rPr>
                <w:rFonts w:hint="eastAsia" w:ascii="黑体" w:hAnsi="黑体" w:eastAsia="黑体" w:cs="黑体"/>
                <w:b w:val="0"/>
                <w:bCs w:val="0"/>
                <w:sz w:val="24"/>
                <w:szCs w:val="24"/>
                <w:u w:val="none"/>
                <w:shd w:val="clear" w:fill="auto"/>
              </w:rPr>
              <w:t xml:space="preserve">  </w:t>
            </w:r>
            <w:r>
              <w:rPr>
                <w:rFonts w:hint="eastAsia" w:ascii="黑体" w:hAnsi="黑体" w:eastAsia="黑体" w:cs="黑体"/>
                <w:b w:val="0"/>
                <w:bCs w:val="0"/>
                <w:sz w:val="24"/>
                <w:szCs w:val="24"/>
                <w:u w:val="none"/>
                <w:shd w:val="clear" w:fill="auto"/>
                <w:lang w:val="en-US" w:eastAsia="zh-CN"/>
              </w:rPr>
              <w:t>生态价值转化与绿色低碳发展重点工程</w:t>
            </w:r>
          </w:p>
        </w:tc>
      </w:tr>
      <w:tr w14:paraId="5533C1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01" w:hRule="atLeast"/>
          <w:jc w:val="center"/>
        </w:trPr>
        <w:tc>
          <w:tcPr>
            <w:tcW w:w="8335" w:type="dxa"/>
            <w:tcBorders>
              <w:top w:val="single" w:color="auto" w:sz="4" w:space="0"/>
            </w:tcBorders>
          </w:tcPr>
          <w:p w14:paraId="330010DB">
            <w:pPr>
              <w:pStyle w:val="8"/>
              <w:bidi w:val="0"/>
              <w:rPr>
                <w:rFonts w:hint="eastAsia" w:ascii="楷体_GB2312" w:hAnsi="楷体_GB2312" w:eastAsia="楷体_GB2312" w:cs="楷体_GB2312"/>
                <w:b/>
                <w:bCs/>
                <w:lang w:val="en-US" w:eastAsia="zh-CN"/>
              </w:rPr>
            </w:pPr>
            <w:r>
              <w:rPr>
                <w:rFonts w:hint="eastAsia" w:ascii="楷体_GB2312" w:hAnsi="楷体_GB2312" w:eastAsia="楷体_GB2312" w:cs="楷体_GB2312"/>
                <w:b/>
                <w:bCs/>
                <w:lang w:val="en-US" w:eastAsia="zh-CN"/>
              </w:rPr>
              <w:t>1.生态本底修复与增汇工程</w:t>
            </w:r>
          </w:p>
          <w:p w14:paraId="00AF4667">
            <w:pPr>
              <w:pStyle w:val="8"/>
              <w:bidi w:val="0"/>
              <w:rPr>
                <w:rFonts w:hint="eastAsia" w:ascii="楷体_GB2312" w:hAnsi="楷体_GB2312" w:eastAsia="楷体_GB2312" w:cs="楷体_GB2312"/>
              </w:rPr>
            </w:pPr>
            <w:r>
              <w:rPr>
                <w:rFonts w:hint="eastAsia" w:ascii="楷体_GB2312" w:hAnsi="楷体_GB2312" w:eastAsia="楷体_GB2312" w:cs="楷体_GB2312"/>
                <w:lang w:eastAsia="zh-CN"/>
              </w:rPr>
              <w:t>（</w:t>
            </w:r>
            <w:r>
              <w:rPr>
                <w:rFonts w:hint="eastAsia" w:ascii="楷体_GB2312" w:hAnsi="楷体_GB2312" w:eastAsia="楷体_GB2312" w:cs="楷体_GB2312"/>
                <w:lang w:val="en-US" w:eastAsia="zh-CN"/>
              </w:rPr>
              <w:t>1</w:t>
            </w:r>
            <w:r>
              <w:rPr>
                <w:rFonts w:hint="eastAsia" w:ascii="楷体_GB2312" w:hAnsi="楷体_GB2312" w:eastAsia="楷体_GB2312" w:cs="楷体_GB2312"/>
                <w:lang w:eastAsia="zh-CN"/>
              </w:rPr>
              <w:t>）</w:t>
            </w:r>
            <w:r>
              <w:rPr>
                <w:rFonts w:hint="eastAsia" w:ascii="楷体_GB2312" w:hAnsi="楷体_GB2312" w:eastAsia="楷体_GB2312" w:cs="楷体_GB2312"/>
                <w:lang w:val="en-US" w:eastAsia="zh-CN"/>
              </w:rPr>
              <w:t>国土绿化行动</w:t>
            </w:r>
            <w:r>
              <w:rPr>
                <w:rFonts w:hint="eastAsia" w:ascii="楷体_GB2312" w:hAnsi="楷体_GB2312" w:eastAsia="楷体_GB2312" w:cs="楷体_GB2312"/>
              </w:rPr>
              <w:t>。在</w:t>
            </w:r>
            <w:r>
              <w:rPr>
                <w:rFonts w:hint="eastAsia" w:ascii="楷体_GB2312" w:hAnsi="楷体_GB2312" w:eastAsia="楷体_GB2312" w:cs="楷体_GB2312"/>
                <w:lang w:val="en-US" w:eastAsia="zh-CN"/>
              </w:rPr>
              <w:t>10</w:t>
            </w:r>
            <w:r>
              <w:rPr>
                <w:rFonts w:hint="eastAsia" w:ascii="楷体_GB2312" w:hAnsi="楷体_GB2312" w:eastAsia="楷体_GB2312" w:cs="楷体_GB2312"/>
              </w:rPr>
              <w:t>个村屯实施绿化计划，规划实施植树造林绿化面积</w:t>
            </w:r>
            <w:r>
              <w:rPr>
                <w:rFonts w:hint="eastAsia" w:ascii="楷体_GB2312" w:hAnsi="楷体_GB2312" w:eastAsia="楷体_GB2312" w:cs="楷体_GB2312"/>
                <w:lang w:val="en-US" w:eastAsia="zh-CN"/>
              </w:rPr>
              <w:t>1044</w:t>
            </w:r>
            <w:r>
              <w:rPr>
                <w:rFonts w:hint="eastAsia" w:ascii="楷体_GB2312" w:hAnsi="楷体_GB2312" w:eastAsia="楷体_GB2312" w:cs="楷体_GB2312"/>
              </w:rPr>
              <w:t>亩。</w:t>
            </w:r>
          </w:p>
          <w:p w14:paraId="69A12466">
            <w:pPr>
              <w:pStyle w:val="8"/>
              <w:bidi w:val="0"/>
              <w:rPr>
                <w:rFonts w:hint="eastAsia" w:ascii="楷体_GB2312" w:hAnsi="楷体_GB2312" w:eastAsia="楷体_GB2312" w:cs="楷体_GB2312"/>
              </w:rPr>
            </w:pPr>
            <w:r>
              <w:rPr>
                <w:rFonts w:hint="eastAsia" w:ascii="楷体_GB2312" w:hAnsi="楷体_GB2312" w:eastAsia="楷体_GB2312" w:cs="楷体_GB2312"/>
                <w:lang w:eastAsia="zh-CN"/>
              </w:rPr>
              <w:t>（</w:t>
            </w:r>
            <w:r>
              <w:rPr>
                <w:rFonts w:hint="eastAsia" w:ascii="楷体_GB2312" w:hAnsi="楷体_GB2312" w:eastAsia="楷体_GB2312" w:cs="楷体_GB2312"/>
                <w:lang w:val="en-US" w:eastAsia="zh-CN"/>
              </w:rPr>
              <w:t>2</w:t>
            </w:r>
            <w:r>
              <w:rPr>
                <w:rFonts w:hint="eastAsia" w:ascii="楷体_GB2312" w:hAnsi="楷体_GB2312" w:eastAsia="楷体_GB2312" w:cs="楷体_GB2312"/>
                <w:lang w:eastAsia="zh-CN"/>
              </w:rPr>
              <w:t>）</w:t>
            </w:r>
            <w:r>
              <w:rPr>
                <w:rFonts w:hint="eastAsia" w:ascii="楷体_GB2312" w:hAnsi="楷体_GB2312" w:eastAsia="楷体_GB2312" w:cs="楷体_GB2312"/>
              </w:rPr>
              <w:t>重点领域生态修复与保护。</w:t>
            </w:r>
            <w:r>
              <w:rPr>
                <w:rFonts w:hint="eastAsia" w:ascii="楷体_GB2312" w:hAnsi="楷体_GB2312" w:eastAsia="楷体_GB2312" w:cs="楷体_GB2312"/>
                <w:lang w:val="en-US" w:eastAsia="zh-CN"/>
              </w:rPr>
              <w:t>开展</w:t>
            </w:r>
            <w:r>
              <w:rPr>
                <w:rFonts w:hint="eastAsia" w:ascii="楷体_GB2312" w:hAnsi="楷体_GB2312" w:eastAsia="楷体_GB2312" w:cs="楷体_GB2312"/>
                <w:lang w:eastAsia="zh-CN"/>
              </w:rPr>
              <w:t>湿地公园、三环泡、松花江沿岸等</w:t>
            </w:r>
            <w:r>
              <w:rPr>
                <w:rFonts w:hint="eastAsia" w:ascii="楷体_GB2312" w:hAnsi="楷体_GB2312" w:eastAsia="楷体_GB2312" w:cs="楷体_GB2312"/>
              </w:rPr>
              <w:t>湿地生态系统</w:t>
            </w:r>
            <w:r>
              <w:rPr>
                <w:rFonts w:hint="eastAsia" w:ascii="楷体_GB2312" w:hAnsi="楷体_GB2312" w:eastAsia="楷体_GB2312" w:cs="楷体_GB2312"/>
                <w:lang w:val="en-US" w:eastAsia="zh-CN"/>
              </w:rPr>
              <w:t>修复</w:t>
            </w:r>
            <w:r>
              <w:rPr>
                <w:rFonts w:hint="eastAsia" w:ascii="楷体_GB2312" w:hAnsi="楷体_GB2312" w:eastAsia="楷体_GB2312" w:cs="楷体_GB2312"/>
                <w:lang w:eastAsia="zh-CN"/>
              </w:rPr>
              <w:t>；加强</w:t>
            </w:r>
            <w:r>
              <w:rPr>
                <w:rFonts w:hint="eastAsia" w:ascii="楷体_GB2312" w:hAnsi="楷体_GB2312" w:eastAsia="楷体_GB2312" w:cs="楷体_GB2312"/>
              </w:rPr>
              <w:t>沿岸退化耕地修复治理</w:t>
            </w:r>
            <w:r>
              <w:rPr>
                <w:rFonts w:hint="eastAsia" w:ascii="楷体_GB2312" w:hAnsi="楷体_GB2312" w:eastAsia="楷体_GB2312" w:cs="楷体_GB2312"/>
                <w:lang w:eastAsia="zh-CN"/>
              </w:rPr>
              <w:t>，</w:t>
            </w:r>
            <w:r>
              <w:rPr>
                <w:rFonts w:hint="eastAsia" w:ascii="楷体_GB2312" w:hAnsi="楷体_GB2312" w:eastAsia="楷体_GB2312" w:cs="楷体_GB2312"/>
              </w:rPr>
              <w:t>两山</w:t>
            </w:r>
            <w:r>
              <w:rPr>
                <w:rFonts w:hint="eastAsia" w:ascii="楷体_GB2312" w:hAnsi="楷体_GB2312" w:cs="楷体_GB2312"/>
                <w:lang w:eastAsia="zh-CN"/>
              </w:rPr>
              <w:t>历史遗留废弃矿山生态修复</w:t>
            </w:r>
            <w:r>
              <w:rPr>
                <w:rFonts w:hint="eastAsia" w:ascii="楷体_GB2312" w:hAnsi="楷体_GB2312" w:eastAsia="楷体_GB2312" w:cs="楷体_GB2312"/>
                <w:lang w:eastAsia="zh-CN"/>
              </w:rPr>
              <w:t>，强化七星河、富锦支河、挠力河等河道治理</w:t>
            </w:r>
            <w:r>
              <w:rPr>
                <w:rFonts w:hint="eastAsia" w:ascii="楷体_GB2312" w:hAnsi="楷体_GB2312" w:eastAsia="楷体_GB2312" w:cs="楷体_GB2312"/>
              </w:rPr>
              <w:t>。</w:t>
            </w:r>
          </w:p>
          <w:p w14:paraId="525CF722">
            <w:pPr>
              <w:pStyle w:val="8"/>
              <w:bidi w:val="0"/>
              <w:rPr>
                <w:rFonts w:hint="eastAsia" w:ascii="楷体_GB2312" w:hAnsi="楷体_GB2312" w:cs="楷体_GB2312"/>
                <w:lang w:val="en-US" w:eastAsia="zh-CN"/>
              </w:rPr>
            </w:pPr>
            <w:r>
              <w:rPr>
                <w:rFonts w:hint="eastAsia" w:ascii="楷体_GB2312" w:hAnsi="楷体_GB2312" w:cs="楷体_GB2312"/>
                <w:lang w:eastAsia="zh-CN"/>
              </w:rPr>
              <w:t>（</w:t>
            </w:r>
            <w:r>
              <w:rPr>
                <w:rFonts w:hint="eastAsia" w:ascii="楷体_GB2312" w:hAnsi="楷体_GB2312" w:cs="楷体_GB2312"/>
                <w:lang w:val="en-US" w:eastAsia="zh-CN"/>
              </w:rPr>
              <w:t>3</w:t>
            </w:r>
            <w:r>
              <w:rPr>
                <w:rFonts w:hint="eastAsia" w:ascii="楷体_GB2312" w:hAnsi="楷体_GB2312" w:cs="楷体_GB2312"/>
                <w:lang w:eastAsia="zh-CN"/>
              </w:rPr>
              <w:t>）</w:t>
            </w:r>
            <w:r>
              <w:rPr>
                <w:rFonts w:hint="eastAsia" w:ascii="楷体_GB2312" w:hAnsi="楷体_GB2312" w:cs="楷体_GB2312"/>
                <w:lang w:val="en-US" w:eastAsia="zh-CN"/>
              </w:rPr>
              <w:t>松花江流域富锦市历史遗留废弃矿山地质环境生态修复治理工程。1）石方工程（危岩体清理）99000m</w:t>
            </w:r>
            <w:r>
              <w:rPr>
                <w:rFonts w:hint="eastAsia" w:ascii="楷体_GB2312" w:hAnsi="楷体_GB2312" w:cs="楷体_GB2312"/>
                <w:vertAlign w:val="superscript"/>
                <w:lang w:val="en-US" w:eastAsia="zh-CN"/>
              </w:rPr>
              <w:t>3</w:t>
            </w:r>
            <w:r>
              <w:rPr>
                <w:rFonts w:hint="eastAsia" w:ascii="楷体_GB2312" w:hAnsi="楷体_GB2312" w:cs="楷体_GB2312"/>
                <w:lang w:val="en-US" w:eastAsia="zh-CN"/>
              </w:rPr>
              <w:t>；2）场地平整工程：对项目区内的场地平整，采坑底部平台平整挖方719300m</w:t>
            </w:r>
            <w:r>
              <w:rPr>
                <w:rFonts w:hint="eastAsia" w:ascii="楷体_GB2312" w:hAnsi="楷体_GB2312" w:cs="楷体_GB2312"/>
                <w:vertAlign w:val="superscript"/>
                <w:lang w:val="en-US" w:eastAsia="zh-CN"/>
              </w:rPr>
              <w:t>3</w:t>
            </w:r>
            <w:r>
              <w:rPr>
                <w:rFonts w:hint="eastAsia" w:ascii="楷体_GB2312" w:hAnsi="楷体_GB2312" w:cs="楷体_GB2312"/>
                <w:lang w:val="en-US" w:eastAsia="zh-CN"/>
              </w:rPr>
              <w:t>，土石方场地内运输249300m</w:t>
            </w:r>
            <w:r>
              <w:rPr>
                <w:rFonts w:hint="eastAsia" w:ascii="楷体_GB2312" w:hAnsi="楷体_GB2312" w:cs="楷体_GB2312"/>
                <w:vertAlign w:val="superscript"/>
                <w:lang w:val="en-US" w:eastAsia="zh-CN"/>
              </w:rPr>
              <w:t>3</w:t>
            </w:r>
            <w:r>
              <w:rPr>
                <w:rFonts w:hint="eastAsia" w:ascii="楷体_GB2312" w:hAnsi="楷体_GB2312" w:cs="楷体_GB2312"/>
                <w:lang w:val="en-US" w:eastAsia="zh-CN"/>
              </w:rPr>
              <w:t>；10000个；修建服务中心、水池水渠、道路、景观等相应配套设施1公顷；3）土地平整（整平）：土石方压实249300m</w:t>
            </w:r>
            <w:r>
              <w:rPr>
                <w:rFonts w:hint="eastAsia" w:ascii="楷体_GB2312" w:hAnsi="楷体_GB2312" w:cs="楷体_GB2312"/>
                <w:vertAlign w:val="superscript"/>
                <w:lang w:val="en-US" w:eastAsia="zh-CN"/>
              </w:rPr>
              <w:t>3</w:t>
            </w:r>
            <w:r>
              <w:rPr>
                <w:rFonts w:hint="eastAsia" w:ascii="楷体_GB2312" w:hAnsi="楷体_GB2312" w:cs="楷体_GB2312"/>
                <w:lang w:val="en-US" w:eastAsia="zh-CN"/>
              </w:rPr>
              <w:t>；场地整平1196300m</w:t>
            </w:r>
            <w:r>
              <w:rPr>
                <w:rFonts w:hint="eastAsia" w:ascii="楷体_GB2312" w:hAnsi="楷体_GB2312" w:cs="楷体_GB2312"/>
                <w:vertAlign w:val="superscript"/>
                <w:lang w:val="en-US" w:eastAsia="zh-CN"/>
              </w:rPr>
              <w:t>2</w:t>
            </w:r>
            <w:r>
              <w:rPr>
                <w:rFonts w:hint="eastAsia" w:ascii="楷体_GB2312" w:hAnsi="楷体_GB2312" w:cs="楷体_GB2312"/>
                <w:lang w:val="en-US" w:eastAsia="zh-CN"/>
              </w:rPr>
              <w:t>；4）覆土工程：土地翻耕、施肥46.95公顷，表土运输380370m</w:t>
            </w:r>
            <w:r>
              <w:rPr>
                <w:rFonts w:hint="eastAsia" w:ascii="楷体_GB2312" w:hAnsi="楷体_GB2312" w:cs="楷体_GB2312"/>
                <w:vertAlign w:val="superscript"/>
                <w:lang w:val="en-US" w:eastAsia="zh-CN"/>
              </w:rPr>
              <w:t>3</w:t>
            </w:r>
            <w:r>
              <w:rPr>
                <w:rFonts w:hint="eastAsia" w:ascii="楷体_GB2312" w:hAnsi="楷体_GB2312" w:cs="楷体_GB2312"/>
                <w:lang w:val="en-US" w:eastAsia="zh-CN"/>
              </w:rPr>
              <w:t>；5）栽种云杉103100株，栽种五叶地锦450000株，种草覆土撒播46.24公顷；6）围挡警示工程：警示牌148块；安装临时性防护栏11300米；立柱11300根；7）生态监测51.24公顷；8）养护51.24公顷；9）排水沟7740m</w:t>
            </w:r>
            <w:r>
              <w:rPr>
                <w:rFonts w:hint="eastAsia" w:ascii="楷体_GB2312" w:hAnsi="楷体_GB2312" w:cs="楷体_GB2312"/>
                <w:vertAlign w:val="superscript"/>
                <w:lang w:val="en-US" w:eastAsia="zh-CN"/>
              </w:rPr>
              <w:t>3</w:t>
            </w:r>
            <w:r>
              <w:rPr>
                <w:rFonts w:hint="eastAsia" w:ascii="楷体_GB2312" w:hAnsi="楷体_GB2312" w:cs="楷体_GB2312"/>
                <w:lang w:val="en-US" w:eastAsia="zh-CN"/>
              </w:rPr>
              <w:t>。</w:t>
            </w:r>
          </w:p>
          <w:p w14:paraId="04B79D66">
            <w:pPr>
              <w:pStyle w:val="8"/>
              <w:bidi w:val="0"/>
              <w:rPr>
                <w:rFonts w:hint="eastAsia" w:ascii="楷体_GB2312" w:hAnsi="楷体_GB2312" w:cs="楷体_GB2312"/>
                <w:lang w:val="en-US" w:eastAsia="zh-CN"/>
              </w:rPr>
            </w:pPr>
            <w:r>
              <w:rPr>
                <w:rFonts w:hint="eastAsia" w:ascii="楷体_GB2312" w:hAnsi="楷体_GB2312" w:cs="楷体_GB2312"/>
                <w:lang w:val="en-US" w:eastAsia="zh-CN"/>
              </w:rPr>
              <w:t>（4）富锦市三环泡湿地公园服务中心基础设施维修改建项目。园区栈道长约2.7公里拆除损坏栈道及其结构、并对拆除部分设施进行更换，新建停车场卫生间一座，新增电车充电桩7个等内容。</w:t>
            </w:r>
          </w:p>
          <w:p w14:paraId="11498867">
            <w:pPr>
              <w:pStyle w:val="8"/>
              <w:bidi w:val="0"/>
              <w:rPr>
                <w:rFonts w:hint="default" w:ascii="楷体_GB2312" w:hAnsi="楷体_GB2312" w:cs="楷体_GB2312"/>
                <w:b/>
                <w:bCs/>
                <w:lang w:val="en-US" w:eastAsia="zh-CN"/>
              </w:rPr>
            </w:pPr>
            <w:r>
              <w:rPr>
                <w:rFonts w:hint="eastAsia" w:ascii="楷体_GB2312" w:hAnsi="楷体_GB2312" w:cs="楷体_GB2312"/>
                <w:b/>
                <w:bCs/>
                <w:lang w:val="en-US" w:eastAsia="zh-CN"/>
              </w:rPr>
              <w:t>2.富锦市林业基础设施建设工程</w:t>
            </w:r>
          </w:p>
          <w:p w14:paraId="72ABBC4A">
            <w:pPr>
              <w:pStyle w:val="8"/>
              <w:bidi w:val="0"/>
              <w:rPr>
                <w:rFonts w:hint="default" w:ascii="楷体_GB2312" w:hAnsi="楷体_GB2312" w:cs="楷体_GB2312"/>
                <w:lang w:val="en-US" w:eastAsia="zh-CN"/>
              </w:rPr>
            </w:pPr>
            <w:r>
              <w:rPr>
                <w:rFonts w:hint="eastAsia" w:ascii="楷体_GB2312" w:hAnsi="楷体_GB2312" w:cs="楷体_GB2312"/>
                <w:lang w:val="en-US" w:eastAsia="zh-CN"/>
              </w:rPr>
              <w:t>（1）防火应急通道项目。现旧路长约41km，宽约4.5m，建设成白色路面后，主要用于森林防火，木材运输，森林旅游，病虫害检疫，风电维修生产建设。</w:t>
            </w:r>
          </w:p>
          <w:p w14:paraId="543BE937">
            <w:pPr>
              <w:pStyle w:val="8"/>
              <w:bidi w:val="0"/>
              <w:rPr>
                <w:rFonts w:hint="eastAsia" w:ascii="楷体_GB2312" w:hAnsi="楷体_GB2312" w:cs="楷体_GB2312"/>
                <w:lang w:val="en-US" w:eastAsia="zh-CN"/>
              </w:rPr>
            </w:pPr>
            <w:r>
              <w:rPr>
                <w:rFonts w:hint="eastAsia" w:ascii="楷体_GB2312" w:hAnsi="楷体_GB2312" w:cs="楷体_GB2312"/>
                <w:lang w:val="en-US" w:eastAsia="zh-CN"/>
              </w:rPr>
              <w:t>（2）管护用房建设项目。本项目拟新建林场管护用房20座，总建筑面积1800平方米。其中机械林场新建管护用房6座，建筑面积540平方米；东风岗机械林场新建管护用房4座，建筑面积360平方米；工农经营林场新建管护用房4座，建筑面积360平方米；石砬山林场新建管护用房3座，建筑面积270平方米；江防林场新建管护用房2座，建筑面积180平方米；林木种子园新建管护用房1座，建筑面积90平方米。</w:t>
            </w:r>
          </w:p>
          <w:p w14:paraId="724E49B9">
            <w:pPr>
              <w:pStyle w:val="8"/>
              <w:bidi w:val="0"/>
              <w:rPr>
                <w:rFonts w:hint="default" w:ascii="楷体_GB2312" w:hAnsi="楷体_GB2312" w:cs="楷体_GB2312"/>
                <w:lang w:val="en-US" w:eastAsia="zh-CN"/>
              </w:rPr>
            </w:pPr>
            <w:r>
              <w:rPr>
                <w:rFonts w:hint="eastAsia" w:ascii="楷体_GB2312" w:hAnsi="楷体_GB2312" w:cs="楷体_GB2312"/>
                <w:lang w:val="en-US" w:eastAsia="zh-CN"/>
              </w:rPr>
              <w:t>（3）富锦市秸秆防火监控建设项目。利用中国铁塔佳木斯市分公司铁塔站址资源优势建设秸秆焚烧智能化监管平台，在太东林场、石砬山林场、东风岗林场、工农林场建设共计4个高空视频巡查站点，在塔上及塔下机房内布放前端监控和数据采集设备。</w:t>
            </w:r>
          </w:p>
          <w:p w14:paraId="2EC44E35">
            <w:pPr>
              <w:pStyle w:val="8"/>
              <w:bidi w:val="0"/>
              <w:rPr>
                <w:rFonts w:hint="eastAsia" w:ascii="楷体_GB2312" w:hAnsi="楷体_GB2312" w:eastAsia="楷体_GB2312" w:cs="楷体_GB2312"/>
                <w:b/>
                <w:bCs/>
                <w:lang w:val="en-US" w:eastAsia="zh-CN"/>
              </w:rPr>
            </w:pPr>
            <w:r>
              <w:rPr>
                <w:rFonts w:hint="eastAsia" w:ascii="楷体_GB2312" w:hAnsi="楷体_GB2312" w:cs="楷体_GB2312"/>
                <w:b/>
                <w:bCs/>
                <w:lang w:val="en-US" w:eastAsia="zh-CN"/>
              </w:rPr>
              <w:t>3</w:t>
            </w:r>
            <w:r>
              <w:rPr>
                <w:rFonts w:hint="eastAsia" w:ascii="楷体_GB2312" w:hAnsi="楷体_GB2312" w:eastAsia="楷体_GB2312" w:cs="楷体_GB2312"/>
                <w:b/>
                <w:bCs/>
                <w:lang w:val="en-US" w:eastAsia="zh-CN"/>
              </w:rPr>
              <w:t>.“生态+”价值实现创新工程</w:t>
            </w:r>
          </w:p>
          <w:p w14:paraId="057FB842">
            <w:pPr>
              <w:pStyle w:val="8"/>
              <w:bidi w:val="0"/>
              <w:rPr>
                <w:rFonts w:hint="eastAsia" w:ascii="楷体_GB2312" w:hAnsi="楷体_GB2312" w:eastAsia="楷体_GB2312" w:cs="楷体_GB2312"/>
              </w:rPr>
            </w:pPr>
            <w:r>
              <w:rPr>
                <w:rFonts w:hint="eastAsia" w:ascii="楷体_GB2312" w:hAnsi="楷体_GB2312" w:eastAsia="楷体_GB2312" w:cs="楷体_GB2312"/>
                <w:lang w:eastAsia="zh-CN"/>
              </w:rPr>
              <w:t>（</w:t>
            </w:r>
            <w:r>
              <w:rPr>
                <w:rFonts w:hint="eastAsia" w:ascii="楷体_GB2312" w:hAnsi="楷体_GB2312" w:eastAsia="楷体_GB2312" w:cs="楷体_GB2312"/>
                <w:lang w:val="en-US" w:eastAsia="zh-CN"/>
              </w:rPr>
              <w:t>1</w:t>
            </w:r>
            <w:r>
              <w:rPr>
                <w:rFonts w:hint="eastAsia" w:ascii="楷体_GB2312" w:hAnsi="楷体_GB2312" w:eastAsia="楷体_GB2312" w:cs="楷体_GB2312"/>
                <w:lang w:eastAsia="zh-CN"/>
              </w:rPr>
              <w:t>）</w:t>
            </w:r>
            <w:r>
              <w:rPr>
                <w:rFonts w:hint="eastAsia" w:ascii="楷体_GB2312" w:hAnsi="楷体_GB2312" w:eastAsia="楷体_GB2312" w:cs="楷体_GB2312"/>
              </w:rPr>
              <w:t>“黑土+湿地”碳汇项目。聚焦黑土地保护和生态湿地修复，深度开发“黑土保护+种养循环”</w:t>
            </w:r>
            <w:r>
              <w:rPr>
                <w:rFonts w:hint="eastAsia" w:ascii="楷体_GB2312" w:hAnsi="楷体_GB2312" w:cs="楷体_GB2312"/>
                <w:lang w:val="en-US" w:eastAsia="zh-CN"/>
              </w:rPr>
              <w:t>和</w:t>
            </w:r>
            <w:r>
              <w:rPr>
                <w:rFonts w:hint="eastAsia" w:ascii="楷体_GB2312" w:hAnsi="楷体_GB2312" w:eastAsia="楷体_GB2312" w:cs="楷体_GB2312"/>
              </w:rPr>
              <w:t>“湿地修复”碳汇项目，积极开展黑龙江碳普惠试点申报，争取优先纳入全国碳市场抵消机制。</w:t>
            </w:r>
          </w:p>
          <w:p w14:paraId="11228C73">
            <w:pPr>
              <w:pStyle w:val="8"/>
              <w:bidi w:val="0"/>
              <w:rPr>
                <w:rFonts w:hint="default" w:ascii="楷体_GB2312" w:hAnsi="楷体_GB2312" w:eastAsia="楷体_GB2312" w:cs="楷体_GB2312"/>
                <w:lang w:val="en-US" w:eastAsia="zh-CN"/>
              </w:rPr>
            </w:pPr>
            <w:r>
              <w:rPr>
                <w:rFonts w:hint="eastAsia" w:ascii="楷体_GB2312" w:hAnsi="楷体_GB2312" w:cs="楷体_GB2312"/>
                <w:lang w:eastAsia="zh-CN"/>
              </w:rPr>
              <w:t>（</w:t>
            </w:r>
            <w:r>
              <w:rPr>
                <w:rFonts w:hint="eastAsia" w:ascii="楷体_GB2312" w:hAnsi="楷体_GB2312" w:cs="楷体_GB2312"/>
                <w:lang w:val="en-US" w:eastAsia="zh-CN"/>
              </w:rPr>
              <w:t>2</w:t>
            </w:r>
            <w:r>
              <w:rPr>
                <w:rFonts w:hint="eastAsia" w:ascii="楷体_GB2312" w:hAnsi="楷体_GB2312" w:cs="楷体_GB2312"/>
                <w:lang w:eastAsia="zh-CN"/>
              </w:rPr>
              <w:t>）</w:t>
            </w:r>
            <w:r>
              <w:rPr>
                <w:rFonts w:hint="eastAsia" w:ascii="楷体_GB2312" w:hAnsi="楷体_GB2312" w:cs="楷体_GB2312"/>
                <w:lang w:val="en-US" w:eastAsia="zh-CN"/>
              </w:rPr>
              <w:t>河湖库生态产品价值实现创建工程。落实全省“关于在幸福河湖建设中拓展河湖库生态价值产品实现路径”政策，加快包装一批以水生态修复、亲水休闲与文旅体验、生态文化与研学教育、绿色农业与特色渔业为代表的富锦河湖库VEP项目，争取VEP收益权抵押贷款，实现生态价值向金融资产转变。</w:t>
            </w:r>
          </w:p>
          <w:p w14:paraId="6BD941F4">
            <w:pPr>
              <w:pStyle w:val="8"/>
              <w:bidi w:val="0"/>
              <w:rPr>
                <w:rFonts w:hint="eastAsia" w:ascii="楷体_GB2312" w:hAnsi="楷体_GB2312" w:eastAsia="楷体_GB2312" w:cs="楷体_GB2312"/>
                <w:b/>
                <w:bCs/>
                <w:lang w:val="en-US" w:eastAsia="zh-CN"/>
              </w:rPr>
            </w:pPr>
            <w:r>
              <w:rPr>
                <w:rFonts w:hint="eastAsia" w:ascii="楷体_GB2312" w:hAnsi="楷体_GB2312" w:cs="楷体_GB2312"/>
                <w:b/>
                <w:bCs/>
                <w:lang w:val="en-US" w:eastAsia="zh-CN"/>
              </w:rPr>
              <w:t>4</w:t>
            </w:r>
            <w:r>
              <w:rPr>
                <w:rFonts w:hint="eastAsia" w:ascii="楷体_GB2312" w:hAnsi="楷体_GB2312" w:eastAsia="楷体_GB2312" w:cs="楷体_GB2312"/>
                <w:b/>
                <w:bCs/>
                <w:lang w:val="en-US" w:eastAsia="zh-CN"/>
              </w:rPr>
              <w:t>.循环经济与无废建设工程</w:t>
            </w:r>
          </w:p>
          <w:p w14:paraId="1FF60FCA">
            <w:pPr>
              <w:pStyle w:val="8"/>
              <w:bidi w:val="0"/>
              <w:rPr>
                <w:rFonts w:hint="default" w:ascii="楷体_GB2312" w:hAnsi="楷体_GB2312" w:eastAsia="楷体_GB2312" w:cs="楷体_GB2312"/>
                <w:lang w:val="en-US" w:eastAsia="zh-CN"/>
              </w:rPr>
            </w:pPr>
            <w:r>
              <w:rPr>
                <w:rFonts w:hint="eastAsia" w:ascii="楷体_GB2312" w:hAnsi="楷体_GB2312" w:eastAsia="楷体_GB2312" w:cs="楷体_GB2312"/>
                <w:lang w:eastAsia="zh-CN"/>
              </w:rPr>
              <w:t>（</w:t>
            </w:r>
            <w:r>
              <w:rPr>
                <w:rFonts w:hint="eastAsia" w:ascii="楷体_GB2312" w:hAnsi="楷体_GB2312" w:eastAsia="楷体_GB2312" w:cs="楷体_GB2312"/>
                <w:lang w:val="en-US" w:eastAsia="zh-CN"/>
              </w:rPr>
              <w:t>1</w:t>
            </w:r>
            <w:r>
              <w:rPr>
                <w:rFonts w:hint="eastAsia" w:ascii="楷体_GB2312" w:hAnsi="楷体_GB2312" w:eastAsia="楷体_GB2312" w:cs="楷体_GB2312"/>
                <w:lang w:eastAsia="zh-CN"/>
              </w:rPr>
              <w:t>）</w:t>
            </w:r>
            <w:r>
              <w:rPr>
                <w:rFonts w:hint="eastAsia" w:ascii="楷体_GB2312" w:hAnsi="楷体_GB2312" w:eastAsia="楷体_GB2312" w:cs="楷体_GB2312"/>
              </w:rPr>
              <w:t>循环经济产业园</w:t>
            </w:r>
            <w:r>
              <w:rPr>
                <w:rFonts w:hint="eastAsia" w:ascii="楷体_GB2312" w:hAnsi="楷体_GB2312" w:eastAsia="楷体_GB2312" w:cs="楷体_GB2312"/>
                <w:lang w:val="en-US" w:eastAsia="zh-CN"/>
              </w:rPr>
              <w:t>项目</w:t>
            </w:r>
            <w:r>
              <w:rPr>
                <w:rFonts w:hint="eastAsia" w:ascii="楷体_GB2312" w:hAnsi="楷体_GB2312" w:eastAsia="楷体_GB2312" w:cs="楷体_GB2312"/>
              </w:rPr>
              <w:t>。</w:t>
            </w:r>
            <w:r>
              <w:rPr>
                <w:rFonts w:hint="eastAsia" w:ascii="楷体_GB2312" w:hAnsi="楷体_GB2312" w:eastAsia="楷体_GB2312" w:cs="楷体_GB2312"/>
                <w:lang w:val="en-US" w:eastAsia="zh-CN"/>
              </w:rPr>
              <w:t>依托二龙山镇静脉产业园</w:t>
            </w:r>
            <w:r>
              <w:rPr>
                <w:rFonts w:hint="eastAsia" w:ascii="楷体_GB2312" w:hAnsi="楷体_GB2312" w:eastAsia="楷体_GB2312" w:cs="楷体_GB2312"/>
              </w:rPr>
              <w:t>，</w:t>
            </w:r>
            <w:r>
              <w:rPr>
                <w:rFonts w:hint="eastAsia" w:ascii="楷体_GB2312" w:hAnsi="楷体_GB2312" w:eastAsia="楷体_GB2312" w:cs="楷体_GB2312"/>
                <w:lang w:val="en-US" w:eastAsia="zh-CN"/>
              </w:rPr>
              <w:t>重点推动建筑垃圾、污泥、塑料及农业废弃物</w:t>
            </w:r>
            <w:r>
              <w:rPr>
                <w:rFonts w:hint="eastAsia" w:ascii="楷体_GB2312" w:hAnsi="楷体_GB2312" w:eastAsia="楷体_GB2312" w:cs="楷体_GB2312"/>
              </w:rPr>
              <w:t>等</w:t>
            </w:r>
            <w:r>
              <w:rPr>
                <w:rFonts w:hint="eastAsia" w:ascii="楷体_GB2312" w:hAnsi="楷体_GB2312" w:eastAsia="楷体_GB2312" w:cs="楷体_GB2312"/>
                <w:lang w:val="en-US" w:eastAsia="zh-CN"/>
              </w:rPr>
              <w:t>固废资源高值化综合利用</w:t>
            </w:r>
            <w:r>
              <w:rPr>
                <w:rFonts w:hint="eastAsia" w:ascii="楷体_GB2312" w:hAnsi="楷体_GB2312" w:eastAsia="楷体_GB2312" w:cs="楷体_GB2312"/>
              </w:rPr>
              <w:t>，</w:t>
            </w:r>
            <w:r>
              <w:rPr>
                <w:rFonts w:hint="eastAsia" w:ascii="楷体_GB2312" w:hAnsi="楷体_GB2312" w:cs="楷体_GB2312"/>
                <w:lang w:val="en-US" w:eastAsia="zh-CN"/>
              </w:rPr>
              <w:t>构建“固废－能源－建材”循环经济闭环，实现城市垃圾减量化、资源化、无害化利用。</w:t>
            </w:r>
          </w:p>
          <w:p w14:paraId="1E2A1D2E">
            <w:pPr>
              <w:pStyle w:val="8"/>
              <w:bidi w:val="0"/>
              <w:rPr>
                <w:rFonts w:hint="eastAsia" w:ascii="楷体_GB2312" w:hAnsi="楷体_GB2312" w:eastAsia="楷体_GB2312" w:cs="楷体_GB2312"/>
              </w:rPr>
            </w:pPr>
            <w:r>
              <w:rPr>
                <w:rFonts w:hint="eastAsia" w:ascii="楷体_GB2312" w:hAnsi="楷体_GB2312" w:eastAsia="楷体_GB2312" w:cs="楷体_GB2312"/>
                <w:lang w:val="en-US" w:eastAsia="zh-CN"/>
              </w:rPr>
              <w:t>（2）</w:t>
            </w:r>
            <w:r>
              <w:rPr>
                <w:rFonts w:hint="eastAsia" w:ascii="楷体_GB2312" w:hAnsi="楷体_GB2312" w:eastAsia="楷体_GB2312" w:cs="楷体_GB2312"/>
              </w:rPr>
              <w:t>富锦市伟明垃圾发电炉渣综合利用项目。炉渣处理规模150吨每天，年产4.95万平环保建材，废旧金属1200吨新建输送机、滚筒机、打砂机等炉渣综合利用设备。</w:t>
            </w:r>
          </w:p>
          <w:p w14:paraId="148092F5">
            <w:pPr>
              <w:pStyle w:val="8"/>
              <w:bidi w:val="0"/>
              <w:rPr>
                <w:rFonts w:hint="eastAsia" w:ascii="楷体_GB2312" w:hAnsi="楷体_GB2312" w:eastAsia="楷体_GB2312" w:cs="楷体_GB2312"/>
                <w:lang w:val="zh-CN"/>
              </w:rPr>
            </w:pPr>
            <w:r>
              <w:rPr>
                <w:rFonts w:hint="eastAsia" w:ascii="楷体_GB2312" w:hAnsi="楷体_GB2312" w:eastAsia="楷体_GB2312" w:cs="楷体_GB2312"/>
                <w:lang w:val="en-US" w:eastAsia="zh-CN"/>
              </w:rPr>
              <w:t>（3）富锦市飞灰处理建设项目。总投资预估3500万元，我市按照日产生活垃圾300吨/天计算，富锦市生活垃圾焚烧发电厂产生飞灰原料12</w:t>
            </w:r>
            <w:r>
              <w:rPr>
                <w:rFonts w:hint="eastAsia" w:ascii="楷体_GB2312" w:hAnsi="楷体_GB2312" w:cs="楷体_GB2312"/>
                <w:lang w:val="en-US" w:eastAsia="zh-CN"/>
              </w:rPr>
              <w:t>—</w:t>
            </w:r>
            <w:r>
              <w:rPr>
                <w:rFonts w:hint="eastAsia" w:ascii="楷体_GB2312" w:hAnsi="楷体_GB2312" w:eastAsia="楷体_GB2312" w:cs="楷体_GB2312"/>
                <w:lang w:val="en-US" w:eastAsia="zh-CN"/>
              </w:rPr>
              <w:t>13吨/日，</w:t>
            </w:r>
            <w:r>
              <w:rPr>
                <w:rFonts w:hint="eastAsia" w:ascii="楷体_GB2312" w:hAnsi="楷体_GB2312" w:eastAsia="楷体_GB2312" w:cs="楷体_GB2312"/>
                <w:lang w:val="zh-CN"/>
              </w:rPr>
              <w:t>螯合固化</w:t>
            </w:r>
            <w:r>
              <w:rPr>
                <w:rFonts w:hint="eastAsia" w:ascii="楷体_GB2312" w:hAnsi="楷体_GB2312" w:eastAsia="楷体_GB2312" w:cs="楷体_GB2312"/>
                <w:lang w:val="en-US" w:eastAsia="zh-CN"/>
              </w:rPr>
              <w:t>每日20吨左右，</w:t>
            </w:r>
            <w:r>
              <w:rPr>
                <w:rFonts w:hint="eastAsia" w:ascii="楷体_GB2312" w:hAnsi="楷体_GB2312" w:cs="楷体_GB2312"/>
                <w:lang w:val="en-US" w:eastAsia="zh-CN"/>
              </w:rPr>
              <w:t>约6000吨</w:t>
            </w:r>
            <w:r>
              <w:rPr>
                <w:rFonts w:hint="eastAsia" w:ascii="楷体_GB2312" w:hAnsi="楷体_GB2312" w:eastAsia="楷体_GB2312" w:cs="楷体_GB2312"/>
                <w:lang w:val="en-US" w:eastAsia="zh-CN"/>
              </w:rPr>
              <w:t>/年，固化后</w:t>
            </w:r>
            <w:r>
              <w:rPr>
                <w:rFonts w:hint="eastAsia" w:ascii="楷体_GB2312" w:hAnsi="楷体_GB2312" w:eastAsia="楷体_GB2312" w:cs="楷体_GB2312"/>
                <w:lang w:val="zh-CN"/>
              </w:rPr>
              <w:t>可达到《生活垃圾填埋场污染控制标准》，</w:t>
            </w:r>
            <w:r>
              <w:rPr>
                <w:rFonts w:hint="eastAsia" w:ascii="楷体_GB2312" w:hAnsi="楷体_GB2312" w:eastAsia="楷体_GB2312" w:cs="楷体_GB2312"/>
                <w:lang w:val="en-US" w:eastAsia="zh-CN"/>
              </w:rPr>
              <w:t>拟建设</w:t>
            </w:r>
            <w:r>
              <w:rPr>
                <w:rFonts w:hint="eastAsia" w:ascii="楷体_GB2312" w:hAnsi="楷体_GB2312" w:eastAsia="楷体_GB2312" w:cs="楷体_GB2312"/>
                <w:lang w:val="zh-CN"/>
              </w:rPr>
              <w:t>飞灰填埋共需库容约</w:t>
            </w:r>
            <w:r>
              <w:rPr>
                <w:rFonts w:hint="eastAsia" w:ascii="楷体_GB2312" w:hAnsi="楷体_GB2312" w:eastAsia="楷体_GB2312" w:cs="楷体_GB2312"/>
                <w:lang w:val="en-US" w:eastAsia="zh-CN"/>
              </w:rPr>
              <w:t>17</w:t>
            </w:r>
            <w:r>
              <w:rPr>
                <w:rFonts w:hint="eastAsia" w:ascii="楷体_GB2312" w:hAnsi="楷体_GB2312" w:eastAsia="楷体_GB2312" w:cs="楷体_GB2312"/>
                <w:lang w:val="zh-CN"/>
              </w:rPr>
              <w:t>万m3，占地</w:t>
            </w:r>
            <w:r>
              <w:rPr>
                <w:rFonts w:hint="eastAsia" w:ascii="楷体_GB2312" w:hAnsi="楷体_GB2312" w:eastAsia="楷体_GB2312" w:cs="楷体_GB2312"/>
                <w:lang w:val="en-US" w:eastAsia="zh-CN"/>
              </w:rPr>
              <w:t>预估3.5</w:t>
            </w:r>
            <w:r>
              <w:rPr>
                <w:rFonts w:hint="eastAsia" w:ascii="楷体_GB2312" w:hAnsi="楷体_GB2312" w:eastAsia="楷体_GB2312" w:cs="楷体_GB2312"/>
                <w:lang w:val="zh-CN"/>
              </w:rPr>
              <w:t>万m</w:t>
            </w:r>
            <w:r>
              <w:rPr>
                <w:rFonts w:hint="eastAsia" w:ascii="楷体_GB2312" w:hAnsi="楷体_GB2312" w:eastAsia="楷体_GB2312" w:cs="楷体_GB2312"/>
                <w:lang w:val="en-US" w:eastAsia="zh-CN"/>
              </w:rPr>
              <w:t>2</w:t>
            </w:r>
            <w:r>
              <w:rPr>
                <w:rFonts w:hint="eastAsia" w:ascii="楷体_GB2312" w:hAnsi="楷体_GB2312" w:eastAsia="楷体_GB2312" w:cs="楷体_GB2312"/>
                <w:lang w:val="zh-CN"/>
              </w:rPr>
              <w:t>，</w:t>
            </w:r>
            <w:r>
              <w:rPr>
                <w:rFonts w:hint="eastAsia" w:ascii="楷体_GB2312" w:hAnsi="楷体_GB2312" w:eastAsia="楷体_GB2312" w:cs="楷体_GB2312"/>
                <w:lang w:val="en-US" w:eastAsia="zh-CN"/>
              </w:rPr>
              <w:t>设计使用年限10</w:t>
            </w:r>
            <w:r>
              <w:rPr>
                <w:rFonts w:hint="eastAsia" w:ascii="楷体_GB2312" w:hAnsi="楷体_GB2312" w:cs="楷体_GB2312"/>
                <w:lang w:val="en-US" w:eastAsia="zh-CN"/>
              </w:rPr>
              <w:t>—</w:t>
            </w:r>
            <w:r>
              <w:rPr>
                <w:rFonts w:hint="eastAsia" w:ascii="楷体_GB2312" w:hAnsi="楷体_GB2312" w:eastAsia="楷体_GB2312" w:cs="楷体_GB2312"/>
                <w:lang w:val="en-US" w:eastAsia="zh-CN"/>
              </w:rPr>
              <w:t>15年，</w:t>
            </w:r>
            <w:r>
              <w:rPr>
                <w:rFonts w:hint="eastAsia" w:ascii="楷体_GB2312" w:hAnsi="楷体_GB2312" w:eastAsia="楷体_GB2312" w:cs="楷体_GB2312"/>
                <w:lang w:val="zh-CN"/>
              </w:rPr>
              <w:t>建设内容包括坝体、地下水导排系统、渗滤液导排系统及防渗系统，地表水导排系统、进场</w:t>
            </w:r>
            <w:r>
              <w:rPr>
                <w:rFonts w:hint="eastAsia" w:ascii="楷体_GB2312" w:hAnsi="楷体_GB2312" w:eastAsia="楷体_GB2312" w:cs="楷体_GB2312"/>
                <w:lang w:val="en-US" w:eastAsia="zh-CN"/>
              </w:rPr>
              <w:t>环</w:t>
            </w:r>
            <w:r>
              <w:rPr>
                <w:rFonts w:hint="eastAsia" w:ascii="楷体_GB2312" w:hAnsi="楷体_GB2312" w:eastAsia="楷体_GB2312" w:cs="楷体_GB2312"/>
                <w:lang w:val="zh-CN"/>
              </w:rPr>
              <w:t>路、</w:t>
            </w:r>
            <w:r>
              <w:rPr>
                <w:rFonts w:hint="eastAsia" w:ascii="楷体_GB2312" w:hAnsi="楷体_GB2312" w:eastAsia="楷体_GB2312" w:cs="楷体_GB2312"/>
                <w:lang w:val="en-US" w:eastAsia="zh-CN"/>
              </w:rPr>
              <w:t>地磅房、办公房</w:t>
            </w:r>
            <w:r>
              <w:rPr>
                <w:rFonts w:hint="eastAsia" w:ascii="楷体_GB2312" w:hAnsi="楷体_GB2312" w:eastAsia="楷体_GB2312" w:cs="楷体_GB2312"/>
                <w:lang w:val="zh-CN"/>
              </w:rPr>
              <w:t>等。</w:t>
            </w:r>
          </w:p>
          <w:p w14:paraId="0DD60856">
            <w:pPr>
              <w:pStyle w:val="8"/>
              <w:bidi w:val="0"/>
              <w:rPr>
                <w:rFonts w:hint="eastAsia" w:ascii="楷体_GB2312" w:hAnsi="楷体_GB2312" w:eastAsia="楷体_GB2312" w:cs="楷体_GB2312"/>
                <w:lang w:val="zh-CN"/>
              </w:rPr>
            </w:pPr>
            <w:r>
              <w:rPr>
                <w:rFonts w:hint="eastAsia" w:ascii="楷体_GB2312" w:hAnsi="楷体_GB2312" w:eastAsia="楷体_GB2312" w:cs="楷体_GB2312"/>
                <w:lang w:val="en-US" w:eastAsia="zh-CN"/>
              </w:rPr>
              <w:t>（4）富锦市生活垃圾处理场封场治理项目。总投资预估2亿元，该项目主要针对现有生活垃圾处理场进行封场治理。封场治理工作包括垃圾堆体整形与处理，确保堆体稳定，有效防止垃圾暴露和异味散发，避免渗滤液对土壤和地下水造成污染减少安全隐患。同时进行生态修复，在封场区域种植适宜植被，改善区域生态环境。</w:t>
            </w:r>
          </w:p>
          <w:p w14:paraId="21B1481F">
            <w:pPr>
              <w:pStyle w:val="8"/>
              <w:bidi w:val="0"/>
              <w:rPr>
                <w:rFonts w:hint="eastAsia" w:ascii="楷体_GB2312" w:hAnsi="楷体_GB2312" w:eastAsia="楷体_GB2312" w:cs="楷体_GB2312"/>
                <w:lang w:val="en-US" w:eastAsia="zh-CN"/>
              </w:rPr>
            </w:pPr>
            <w:r>
              <w:rPr>
                <w:rFonts w:hint="eastAsia" w:ascii="楷体_GB2312" w:hAnsi="楷体_GB2312" w:eastAsia="楷体_GB2312" w:cs="楷体_GB2312"/>
                <w:lang w:val="en-US" w:eastAsia="zh-CN"/>
              </w:rPr>
              <w:t>（5）富锦市生活垃圾收转运及配建环卫作业车辆车库项目。总投资预估9465万元，选站址位于富锦市工业园区新建垃圾中转站一座，最大日收运生活垃圾300 t/d，项目占地25080.14㎡，新建中转站1座，车辆暖库4座，维保车间1座，预留压缩车间1座，管理用房1座，门卫室1座等，分拣车间1座，以及购置生活垃圾处理设备工程。</w:t>
            </w:r>
          </w:p>
          <w:p w14:paraId="7B7A9B69">
            <w:pPr>
              <w:pStyle w:val="8"/>
              <w:bidi w:val="0"/>
              <w:rPr>
                <w:rFonts w:hint="default" w:ascii="楷体_GB2312" w:hAnsi="楷体_GB2312" w:eastAsia="楷体_GB2312" w:cs="楷体_GB2312"/>
                <w:lang w:val="en-US" w:eastAsia="zh-CN"/>
              </w:rPr>
            </w:pPr>
            <w:r>
              <w:rPr>
                <w:rFonts w:hint="eastAsia" w:ascii="楷体_GB2312" w:hAnsi="楷体_GB2312" w:cs="楷体_GB2312"/>
                <w:lang w:val="en-US" w:eastAsia="zh-CN"/>
              </w:rPr>
              <w:t>（6）富锦市新能源充电桩建设项目。公共充电站群，城区核心区：建设4座150kW双枪快充站（含6个车位/站）；交通枢纽：在客运站、物流园配套3座120kW快充站；乡镇节点：覆盖10个乡镇各1座80kW快充站（含4车位）。</w:t>
            </w:r>
          </w:p>
        </w:tc>
      </w:tr>
    </w:tbl>
    <w:p w14:paraId="1BBC97D2">
      <w:pPr>
        <w:bidi w:val="0"/>
        <w:rPr>
          <w:rFonts w:hint="eastAsia"/>
          <w:lang w:val="en-US" w:eastAsia="zh-CN"/>
        </w:rPr>
      </w:pPr>
    </w:p>
    <w:p w14:paraId="15B4BF20">
      <w:pPr>
        <w:bidi w:val="0"/>
        <w:rPr>
          <w:rFonts w:hint="eastAsia"/>
          <w:lang w:val="en-US" w:eastAsia="zh-CN"/>
        </w:rPr>
      </w:pPr>
    </w:p>
    <w:p w14:paraId="0EF4965C">
      <w:pPr>
        <w:rPr>
          <w:rFonts w:hint="eastAsia"/>
          <w:lang w:val="en-US" w:eastAsia="zh-CN"/>
        </w:rPr>
      </w:pPr>
      <w:r>
        <w:rPr>
          <w:rFonts w:hint="eastAsia"/>
          <w:lang w:val="en-US" w:eastAsia="zh-CN"/>
        </w:rPr>
        <w:br w:type="page"/>
      </w:r>
    </w:p>
    <w:p w14:paraId="01D62381">
      <w:pPr>
        <w:pStyle w:val="2"/>
        <w:bidi w:val="0"/>
        <w:rPr>
          <w:rFonts w:hint="default"/>
          <w:lang w:val="en-US" w:eastAsia="zh-CN"/>
        </w:rPr>
      </w:pPr>
      <w:bookmarkStart w:id="93" w:name="_Toc17819"/>
      <w:r>
        <w:rPr>
          <w:rFonts w:hint="eastAsia"/>
          <w:lang w:val="en-US" w:eastAsia="zh-CN"/>
        </w:rPr>
        <w:t>第十四章  全面筑牢安全发展屏障</w:t>
      </w:r>
      <w:r>
        <w:rPr>
          <w:rFonts w:hint="default"/>
          <w:lang w:val="en-US" w:eastAsia="zh-CN"/>
        </w:rPr>
        <w:t>，</w:t>
      </w:r>
      <w:r>
        <w:rPr>
          <w:rFonts w:hint="eastAsia"/>
          <w:lang w:val="en-US" w:eastAsia="zh-CN"/>
        </w:rPr>
        <w:t>释放美好富锦善治共治活力</w:t>
      </w:r>
      <w:bookmarkEnd w:id="93"/>
    </w:p>
    <w:p w14:paraId="3838AA9B">
      <w:pPr>
        <w:bidi w:val="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坚定不移贯彻总体国家安全观，牢牢把握在维护国家“五大安全”中的重要使命，扎实推进县域社会治理体系和治理能力现代化，构建多元共治的社会治理新格局，实现高效能治理与高质量发展相互促进、高水平安全与高品质生活良性互动，为建设更高水平的平安富锦、法治富锦，增强全市人民的获得感、幸福感、安全感提供坚强支撑。</w:t>
      </w:r>
    </w:p>
    <w:p w14:paraId="48BCC9F0">
      <w:pPr>
        <w:pStyle w:val="3"/>
        <w:bidi w:val="0"/>
        <w:rPr>
          <w:rFonts w:hint="default"/>
          <w:lang w:val="en-US" w:eastAsia="zh-CN"/>
        </w:rPr>
      </w:pPr>
      <w:bookmarkStart w:id="94" w:name="_Toc9709"/>
      <w:r>
        <w:rPr>
          <w:rFonts w:hint="eastAsia"/>
          <w:lang w:val="en-US" w:eastAsia="zh-CN"/>
        </w:rPr>
        <w:t>第一节  增强维护国家安全能力</w:t>
      </w:r>
      <w:bookmarkEnd w:id="94"/>
    </w:p>
    <w:p w14:paraId="41ED349C">
      <w:pPr>
        <w:bidi w:val="0"/>
        <w:rPr>
          <w:rFonts w:hint="default"/>
          <w:lang w:val="en-US" w:eastAsia="zh-CN"/>
        </w:rPr>
      </w:pPr>
      <w:r>
        <w:rPr>
          <w:rFonts w:hint="eastAsia"/>
          <w:lang w:val="en-US" w:eastAsia="zh-CN"/>
        </w:rPr>
        <w:t>坚持总体国家安全观，</w:t>
      </w:r>
      <w:r>
        <w:rPr>
          <w:rFonts w:hint="default"/>
          <w:lang w:val="en-US" w:eastAsia="zh-CN"/>
        </w:rPr>
        <w:t>落实国家安全责任制，</w:t>
      </w:r>
      <w:r>
        <w:rPr>
          <w:rFonts w:hint="eastAsia"/>
          <w:lang w:val="en-US" w:eastAsia="zh-CN"/>
        </w:rPr>
        <w:t>建立健全风险研判、防控协同、防范化解机制，细化全市各级权责清单，将维护国家安全情况纳入绩效考核，</w:t>
      </w:r>
      <w:r>
        <w:rPr>
          <w:rFonts w:hint="default"/>
          <w:lang w:val="en-US" w:eastAsia="zh-CN"/>
        </w:rPr>
        <w:t>保障事关国家长治久安、经济健康稳定、人民安居乐业的重大安全。坚持把捍卫政治安全摆在首位，着力维护国家国土、经济、文化、社会、科技、信息和意识形态，以及重大基础设施等领域安全。加强网络、数据、人工智能、生物、低空等新兴领域国家安全能力建设。强化全民国家安全教育，增强全民国家安全意识和素养，巩固国家安全人民防线。防范化解重点领域风险，</w:t>
      </w:r>
      <w:r>
        <w:rPr>
          <w:rFonts w:hint="eastAsia"/>
          <w:lang w:val="en-US" w:eastAsia="zh-CN"/>
        </w:rPr>
        <w:t>提高富锦产业链供应链、生态资源、安全生产等领域的监测预警与应急处置能力，</w:t>
      </w:r>
      <w:r>
        <w:rPr>
          <w:rFonts w:hint="default"/>
          <w:lang w:val="en-US" w:eastAsia="zh-CN"/>
        </w:rPr>
        <w:t>积极化解房地产、政府债务、中小金融机构等领域风险隐患，守住不发生系统性风险底线。</w:t>
      </w:r>
    </w:p>
    <w:p w14:paraId="5D99BECA">
      <w:pPr>
        <w:pStyle w:val="3"/>
        <w:bidi w:val="0"/>
        <w:rPr>
          <w:rFonts w:hint="eastAsia"/>
          <w:lang w:val="en-US" w:eastAsia="zh-CN"/>
        </w:rPr>
      </w:pPr>
      <w:bookmarkStart w:id="95" w:name="_Toc27926"/>
      <w:r>
        <w:rPr>
          <w:rFonts w:hint="eastAsia"/>
          <w:lang w:val="en-US" w:eastAsia="zh-CN"/>
        </w:rPr>
        <w:t>第二节  完善国防动员体系建设</w:t>
      </w:r>
      <w:bookmarkEnd w:id="95"/>
    </w:p>
    <w:p w14:paraId="1A6955FF">
      <w:pPr>
        <w:bidi w:val="0"/>
        <w:ind w:left="0" w:leftChars="0" w:firstLine="640" w:firstLineChars="200"/>
        <w:rPr>
          <w:rFonts w:hint="default"/>
          <w:lang w:val="en-US" w:eastAsia="zh-CN"/>
        </w:rPr>
      </w:pPr>
      <w:r>
        <w:rPr>
          <w:rFonts w:hint="default"/>
          <w:lang w:val="en-US" w:eastAsia="zh-CN"/>
        </w:rPr>
        <w:t>坚持平战结合、军民融合，推进一体化国家战略体系和能力建设，加强国防建设军事需求提报和军地对接，推动重大基础设施全面贯彻国防要求，支持驻富部队和武警部队现代化建设。完善涉军议事协调机制。完善国防动员体系，加强国防动员和后备力量建设，建立民兵训练基地共建共享合作机制，增强人防设施资源运用效能，开展新时代全民国防教育</w:t>
      </w:r>
      <w:r>
        <w:rPr>
          <w:rFonts w:hint="eastAsia"/>
          <w:lang w:val="en-US" w:eastAsia="zh-CN"/>
        </w:rPr>
        <w:t>，建设一批国防教育示范基地</w:t>
      </w:r>
      <w:r>
        <w:rPr>
          <w:rFonts w:hint="default"/>
          <w:lang w:val="en-US" w:eastAsia="zh-CN"/>
        </w:rPr>
        <w:t>。加快发展军民融合产业，强化军地产学研协同创新，</w:t>
      </w:r>
      <w:r>
        <w:rPr>
          <w:rFonts w:hint="eastAsia"/>
          <w:lang w:val="en-US" w:eastAsia="zh-CN"/>
        </w:rPr>
        <w:t>支持“民参军”“军参民”项目孵化，</w:t>
      </w:r>
      <w:r>
        <w:rPr>
          <w:rFonts w:hint="default"/>
          <w:lang w:val="en-US" w:eastAsia="zh-CN"/>
        </w:rPr>
        <w:t>推动新质生产力同新质战斗力高效融合、双向拉动。完善双拥共建机制，</w:t>
      </w:r>
      <w:r>
        <w:rPr>
          <w:rFonts w:hint="eastAsia"/>
          <w:lang w:val="en-US" w:eastAsia="zh-CN"/>
        </w:rPr>
        <w:t>持续开展多式多样的拥军优属活动，</w:t>
      </w:r>
      <w:r>
        <w:rPr>
          <w:rFonts w:hint="default"/>
          <w:lang w:val="en-US" w:eastAsia="zh-CN"/>
        </w:rPr>
        <w:t>落实军人军属优待措施，巩固发展军政军民团结。</w:t>
      </w:r>
    </w:p>
    <w:p w14:paraId="50353D86">
      <w:pPr>
        <w:pStyle w:val="3"/>
        <w:bidi w:val="0"/>
        <w:rPr>
          <w:rFonts w:hint="default"/>
          <w:lang w:val="en-US" w:eastAsia="zh-CN"/>
        </w:rPr>
      </w:pPr>
      <w:bookmarkStart w:id="96" w:name="_Toc31026"/>
      <w:r>
        <w:rPr>
          <w:rFonts w:hint="eastAsia"/>
          <w:lang w:val="en-US" w:eastAsia="zh-CN"/>
        </w:rPr>
        <w:t>第三节  筑牢重点领域安全治理防线</w:t>
      </w:r>
      <w:bookmarkEnd w:id="96"/>
    </w:p>
    <w:p w14:paraId="6955C1CE">
      <w:pPr>
        <w:bidi w:val="0"/>
        <w:rPr>
          <w:rFonts w:hint="eastAsia" w:ascii="仿宋_GB2312" w:hAnsi="仿宋_GB2312" w:cs="仿宋_GB2312"/>
          <w:b/>
          <w:bCs/>
          <w:lang w:val="en-US" w:eastAsia="zh-CN"/>
        </w:rPr>
      </w:pPr>
      <w:r>
        <w:rPr>
          <w:rFonts w:hint="eastAsia" w:ascii="仿宋_GB2312" w:hAnsi="仿宋_GB2312" w:cs="仿宋_GB2312"/>
          <w:b/>
          <w:bCs/>
          <w:lang w:val="en-US" w:eastAsia="zh-CN"/>
        </w:rPr>
        <w:t>一、坚守粮食安全生产防线</w:t>
      </w:r>
    </w:p>
    <w:p w14:paraId="113B0592">
      <w:pPr>
        <w:bidi w:val="0"/>
        <w:rPr>
          <w:rFonts w:hint="default"/>
          <w:lang w:val="en-US" w:eastAsia="zh-CN"/>
        </w:rPr>
      </w:pPr>
      <w:r>
        <w:rPr>
          <w:rFonts w:hint="eastAsia" w:ascii="仿宋_GB2312" w:hAnsi="仿宋_GB2312" w:eastAsia="仿宋_GB2312" w:cs="仿宋_GB2312"/>
        </w:rPr>
        <w:t>严格落实“田长制”，推行“一田一策”保护模式，明确耕地管护地块和面积，并纳入台账管理，定期巡田监管黑土耕地动态情况，把黑土地保护责任落实到“人头”“地块”。联合北大荒、中粮等粮食龙头企业，建强粮食应急保障中心，重点加强小包装成品粮低温、准低温储备库及配套设施设备的建设，满足粮油第一时间应急保供需要。构建集市场监测、数据分析、先兆预警、决策辅助、指挥调度等功能于一体的应急管理系统，实现全市粮食应急指挥“一张网”、应急调度“一盘棋”、应急资源“一套图”。</w:t>
      </w:r>
    </w:p>
    <w:p w14:paraId="43E32167">
      <w:pPr>
        <w:keepNext w:val="0"/>
        <w:keepLines w:val="0"/>
        <w:pageBreakBefore w:val="0"/>
        <w:widowControl w:val="0"/>
        <w:numPr>
          <w:ilvl w:val="0"/>
          <w:numId w:val="0"/>
        </w:numPr>
        <w:kinsoku/>
        <w:wordWrap/>
        <w:overflowPunct/>
        <w:bidi w:val="0"/>
        <w:spacing w:line="600" w:lineRule="exact"/>
        <w:ind w:left="0" w:leftChars="0" w:firstLine="643" w:firstLineChars="200"/>
        <w:jc w:val="both"/>
        <w:textAlignment w:val="auto"/>
        <w:rPr>
          <w:rFonts w:hint="eastAsia" w:ascii="仿宋_GB2312" w:hAnsi="仿宋_GB2312" w:eastAsia="仿宋_GB2312" w:cs="仿宋_GB2312"/>
          <w:b/>
          <w:bCs/>
          <w:lang w:val="en-US" w:eastAsia="zh-CN"/>
        </w:rPr>
      </w:pPr>
      <w:r>
        <w:rPr>
          <w:rFonts w:hint="eastAsia" w:ascii="仿宋_GB2312" w:hAnsi="仿宋_GB2312" w:eastAsia="仿宋_GB2312" w:cs="仿宋_GB2312"/>
          <w:b/>
          <w:bCs/>
          <w:kern w:val="2"/>
          <w:sz w:val="32"/>
          <w:szCs w:val="24"/>
          <w:lang w:val="en-US" w:eastAsia="zh-CN" w:bidi="ar-SA"/>
        </w:rPr>
        <w:t>二、</w:t>
      </w:r>
      <w:r>
        <w:rPr>
          <w:rFonts w:hint="eastAsia" w:ascii="仿宋_GB2312" w:hAnsi="仿宋_GB2312" w:eastAsia="仿宋_GB2312" w:cs="仿宋_GB2312"/>
          <w:b/>
          <w:bCs/>
          <w:lang w:val="en-US" w:eastAsia="zh-CN"/>
        </w:rPr>
        <w:t>提高公共安全治理水平</w:t>
      </w:r>
    </w:p>
    <w:p w14:paraId="64AC07CA">
      <w:pPr>
        <w:bidi w:val="0"/>
        <w:rPr>
          <w:rFonts w:hint="default"/>
          <w:lang w:val="en-US" w:eastAsia="zh-CN"/>
        </w:rPr>
      </w:pPr>
      <w:r>
        <w:rPr>
          <w:rFonts w:hint="default"/>
          <w:lang w:val="en-US" w:eastAsia="zh-CN"/>
        </w:rPr>
        <w:t>完善公共安全体系，推动公共安全治理模式向事前预防转型</w:t>
      </w:r>
      <w:r>
        <w:rPr>
          <w:rFonts w:hint="eastAsia"/>
          <w:lang w:val="en-US" w:eastAsia="zh-CN"/>
        </w:rPr>
        <w:t>，</w:t>
      </w:r>
      <w:r>
        <w:t>全面强化风险监测预警与应急准备能力，构建全社会共同参与、韧性高效的公共安全新格局。</w:t>
      </w:r>
    </w:p>
    <w:p w14:paraId="60F87587">
      <w:pPr>
        <w:keepNext w:val="0"/>
        <w:keepLines w:val="0"/>
        <w:pageBreakBefore w:val="0"/>
        <w:widowControl w:val="0"/>
        <w:kinsoku/>
        <w:wordWrap/>
        <w:overflowPunct/>
        <w:bidi w:val="0"/>
        <w:spacing w:line="600" w:lineRule="exact"/>
        <w:ind w:left="0" w:leftChars="0" w:firstLine="643" w:firstLineChars="200"/>
        <w:jc w:val="both"/>
        <w:textAlignment w:val="auto"/>
        <w:rPr>
          <w:rFonts w:hint="default"/>
          <w:lang w:val="en-US" w:eastAsia="zh-CN"/>
        </w:rPr>
      </w:pPr>
      <w:r>
        <w:rPr>
          <w:rFonts w:hint="eastAsia"/>
          <w:b/>
          <w:bCs/>
          <w:lang w:val="en-US" w:eastAsia="zh-CN"/>
        </w:rPr>
        <w:t>提升现代化应急管理能力。</w:t>
      </w:r>
      <w:r>
        <w:rPr>
          <w:rFonts w:hint="default"/>
          <w:lang w:val="en-US" w:eastAsia="zh-CN"/>
        </w:rPr>
        <w:t>构建高效的联合调度应急指挥机制，提升消防救援能力，</w:t>
      </w:r>
      <w:r>
        <w:rPr>
          <w:rFonts w:hint="eastAsia"/>
          <w:lang w:val="en-US" w:eastAsia="zh-CN"/>
        </w:rPr>
        <w:t>加强</w:t>
      </w:r>
      <w:r>
        <w:rPr>
          <w:rFonts w:hint="eastAsia"/>
        </w:rPr>
        <w:t>综合应急救援培训训练场地</w:t>
      </w:r>
      <w:r>
        <w:rPr>
          <w:rFonts w:hint="eastAsia"/>
          <w:lang w:val="en-US" w:eastAsia="zh-CN"/>
        </w:rPr>
        <w:t>建设</w:t>
      </w:r>
      <w:r>
        <w:rPr>
          <w:rFonts w:hint="eastAsia"/>
          <w:lang w:eastAsia="zh-CN"/>
        </w:rPr>
        <w:t>，</w:t>
      </w:r>
      <w:r>
        <w:rPr>
          <w:rFonts w:hint="default"/>
          <w:lang w:val="en-US" w:eastAsia="zh-CN"/>
        </w:rPr>
        <w:t>加强气象、水文、地质灾害监测预报预警，</w:t>
      </w:r>
      <w:r>
        <w:rPr>
          <w:rFonts w:hint="eastAsia"/>
        </w:rPr>
        <w:t>建设“灾害防御智慧中枢”</w:t>
      </w:r>
      <w:r>
        <w:rPr>
          <w:rFonts w:hint="eastAsia"/>
          <w:lang w:eastAsia="zh-CN"/>
        </w:rPr>
        <w:t>，</w:t>
      </w:r>
      <w:r>
        <w:rPr>
          <w:rFonts w:hint="eastAsia"/>
          <w:lang w:val="en-US" w:eastAsia="zh-CN"/>
        </w:rPr>
        <w:t>加强</w:t>
      </w:r>
      <w:r>
        <w:rPr>
          <w:rFonts w:hint="eastAsia"/>
        </w:rPr>
        <w:t>防汛</w:t>
      </w:r>
      <w:r>
        <w:rPr>
          <w:rFonts w:hint="eastAsia"/>
          <w:lang w:val="en-US" w:eastAsia="zh-CN"/>
        </w:rPr>
        <w:t>抗旱</w:t>
      </w:r>
      <w:r>
        <w:rPr>
          <w:rFonts w:hint="eastAsia"/>
        </w:rPr>
        <w:t>、森林</w:t>
      </w:r>
      <w:r>
        <w:rPr>
          <w:rFonts w:hint="eastAsia"/>
          <w:lang w:val="en-US" w:eastAsia="zh-CN"/>
        </w:rPr>
        <w:t>草原</w:t>
      </w:r>
      <w:r>
        <w:rPr>
          <w:rFonts w:hint="eastAsia"/>
        </w:rPr>
        <w:t>防灭火</w:t>
      </w:r>
      <w:r>
        <w:rPr>
          <w:rFonts w:hint="eastAsia"/>
          <w:lang w:val="en-US" w:eastAsia="zh-CN"/>
        </w:rPr>
        <w:t>及</w:t>
      </w:r>
      <w:r>
        <w:rPr>
          <w:rFonts w:hint="eastAsia"/>
        </w:rPr>
        <w:t>地质灾害</w:t>
      </w:r>
      <w:r>
        <w:rPr>
          <w:rFonts w:hint="eastAsia"/>
          <w:lang w:val="en-US" w:eastAsia="zh-CN"/>
        </w:rPr>
        <w:t>救援</w:t>
      </w:r>
      <w:r>
        <w:rPr>
          <w:rFonts w:hint="eastAsia"/>
        </w:rPr>
        <w:t>等</w:t>
      </w:r>
      <w:r>
        <w:rPr>
          <w:rFonts w:hint="eastAsia"/>
          <w:lang w:val="en-US" w:eastAsia="zh-CN"/>
        </w:rPr>
        <w:t>应急物资与专业装备储备，</w:t>
      </w:r>
      <w:r>
        <w:rPr>
          <w:rFonts w:hint="eastAsia"/>
        </w:rPr>
        <w:t>谋划</w:t>
      </w:r>
      <w:r>
        <w:rPr>
          <w:rFonts w:hint="eastAsia"/>
          <w:lang w:val="en-US" w:eastAsia="zh-CN"/>
        </w:rPr>
        <w:t>建设</w:t>
      </w:r>
      <w:r>
        <w:rPr>
          <w:rFonts w:hint="eastAsia"/>
        </w:rPr>
        <w:t>富锦市防灾减灾自然灾害应急综合能力提升项目</w:t>
      </w:r>
      <w:r>
        <w:rPr>
          <w:rFonts w:hint="eastAsia"/>
          <w:lang w:eastAsia="zh-CN"/>
        </w:rPr>
        <w:t>，</w:t>
      </w:r>
      <w:r>
        <w:rPr>
          <w:rFonts w:hint="default"/>
          <w:lang w:val="en-US" w:eastAsia="zh-CN"/>
        </w:rPr>
        <w:t>提高防灾减灾救灾和重大突发公共事件</w:t>
      </w:r>
      <w:r>
        <w:rPr>
          <w:rFonts w:hint="eastAsia" w:ascii="仿宋_GB2312" w:hAnsi="仿宋_GB2312" w:eastAsia="仿宋_GB2312" w:cs="仿宋_GB2312"/>
          <w:sz w:val="32"/>
          <w:szCs w:val="32"/>
          <w:lang w:val="en-US" w:eastAsia="zh-CN"/>
        </w:rPr>
        <w:t>处置保障能力。聚焦</w:t>
      </w:r>
      <w:r>
        <w:rPr>
          <w:rFonts w:hint="eastAsia" w:ascii="仿宋_GB2312" w:hAnsi="仿宋_GB2312" w:eastAsia="仿宋_GB2312" w:cs="仿宋_GB2312"/>
          <w:i w:val="0"/>
          <w:iCs w:val="0"/>
          <w:caps w:val="0"/>
          <w:color w:val="0F1115"/>
          <w:spacing w:val="0"/>
          <w:sz w:val="32"/>
          <w:szCs w:val="32"/>
          <w:shd w:val="clear" w:fill="FFFFFF"/>
        </w:rPr>
        <w:t>粮食仓储、危化区域、</w:t>
      </w:r>
      <w:r>
        <w:rPr>
          <w:rFonts w:hint="eastAsia" w:ascii="仿宋_GB2312" w:hAnsi="仿宋_GB2312" w:eastAsia="仿宋_GB2312" w:cs="仿宋_GB2312"/>
          <w:i w:val="0"/>
          <w:iCs w:val="0"/>
          <w:caps w:val="0"/>
          <w:color w:val="0F1115"/>
          <w:spacing w:val="0"/>
          <w:sz w:val="32"/>
          <w:szCs w:val="32"/>
          <w:shd w:val="clear" w:fill="FFFFFF"/>
          <w:lang w:val="en-US" w:eastAsia="zh-CN"/>
        </w:rPr>
        <w:t>河流</w:t>
      </w:r>
      <w:r>
        <w:rPr>
          <w:rFonts w:hint="eastAsia" w:ascii="仿宋_GB2312" w:hAnsi="仿宋_GB2312" w:eastAsia="仿宋_GB2312" w:cs="仿宋_GB2312"/>
          <w:i w:val="0"/>
          <w:iCs w:val="0"/>
          <w:caps w:val="0"/>
          <w:color w:val="0F1115"/>
          <w:spacing w:val="0"/>
          <w:sz w:val="32"/>
          <w:szCs w:val="32"/>
          <w:shd w:val="clear" w:fill="FFFFFF"/>
        </w:rPr>
        <w:t>口岸、老旧小区及沿江地带等关键部位</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color w:val="000000"/>
          <w:kern w:val="2"/>
          <w:sz w:val="32"/>
          <w:szCs w:val="32"/>
          <w:u w:val="none"/>
          <w:lang w:val="en-US" w:eastAsia="zh-CN" w:bidi="ar-SA"/>
        </w:rPr>
        <w:t>完善重点安防设施，推动安防设施智能化升级，提升应急处置能力。</w:t>
      </w:r>
    </w:p>
    <w:p w14:paraId="6BECA8AE">
      <w:pPr>
        <w:bidi w:val="0"/>
        <w:rPr>
          <w:rFonts w:hint="default"/>
          <w:lang w:val="en-US" w:eastAsia="zh-CN"/>
        </w:rPr>
      </w:pPr>
      <w:r>
        <w:rPr>
          <w:rFonts w:hint="eastAsia"/>
          <w:b/>
          <w:bCs/>
          <w:lang w:val="en-US" w:eastAsia="zh-CN"/>
        </w:rPr>
        <w:t>筑牢食药安全防线。</w:t>
      </w:r>
      <w:r>
        <w:rPr>
          <w:rFonts w:hint="default"/>
          <w:lang w:val="en-US" w:eastAsia="zh-CN"/>
        </w:rPr>
        <w:t>建立健全协同监管机制，</w:t>
      </w:r>
      <w:r>
        <w:t>以数字化、智慧化为牵引，</w:t>
      </w:r>
      <w:r>
        <w:rPr>
          <w:rFonts w:hint="default"/>
          <w:lang w:val="en-US" w:eastAsia="zh-CN"/>
        </w:rPr>
        <w:t>进一步强化食品药品安全全链条监管</w:t>
      </w:r>
      <w:r>
        <w:rPr>
          <w:rFonts w:hint="eastAsia"/>
          <w:lang w:val="en-US" w:eastAsia="zh-CN"/>
        </w:rPr>
        <w:t>，</w:t>
      </w:r>
      <w:r>
        <w:t>强化源头严防、过程严管、风险严控、违法严惩</w:t>
      </w:r>
      <w:r>
        <w:rPr>
          <w:rFonts w:hint="eastAsia"/>
          <w:lang w:eastAsia="zh-CN"/>
        </w:rPr>
        <w:t>，</w:t>
      </w:r>
      <w:r>
        <w:t>构建覆盖全链条、全时空、全要素的食品药品安全治理体系</w:t>
      </w:r>
      <w:r>
        <w:rPr>
          <w:rFonts w:hint="eastAsia"/>
          <w:lang w:eastAsia="zh-CN"/>
        </w:rPr>
        <w:t>，</w:t>
      </w:r>
      <w:r>
        <w:t>确保</w:t>
      </w:r>
      <w:r>
        <w:rPr>
          <w:rFonts w:hint="eastAsia"/>
          <w:lang w:val="en-US" w:eastAsia="zh-CN"/>
        </w:rPr>
        <w:t>全市</w:t>
      </w:r>
      <w:r>
        <w:t>食品药品安全形势持续稳定向好，</w:t>
      </w:r>
      <w:r>
        <w:rPr>
          <w:rFonts w:hint="eastAsia"/>
          <w:lang w:val="en-US" w:eastAsia="zh-CN"/>
        </w:rPr>
        <w:t>全力保障人民群众“舌尖上的安全”和用药安全有效可及</w:t>
      </w:r>
      <w:r>
        <w:rPr>
          <w:rFonts w:hint="default"/>
          <w:lang w:val="en-US" w:eastAsia="zh-CN"/>
        </w:rPr>
        <w:t>。</w:t>
      </w:r>
    </w:p>
    <w:p w14:paraId="4D1D3CF7">
      <w:pPr>
        <w:bidi w:val="0"/>
        <w:rPr>
          <w:rFonts w:hint="default"/>
          <w:lang w:val="en-US" w:eastAsia="zh-CN"/>
        </w:rPr>
      </w:pPr>
      <w:r>
        <w:rPr>
          <w:rFonts w:hint="eastAsia"/>
          <w:b/>
          <w:bCs/>
          <w:lang w:val="en-US" w:eastAsia="zh-CN"/>
        </w:rPr>
        <w:t>筑牢安全生产防线。</w:t>
      </w:r>
      <w:r>
        <w:rPr>
          <w:rFonts w:hint="default"/>
          <w:lang w:val="en-US" w:eastAsia="zh-CN"/>
        </w:rPr>
        <w:t>严格落实安全生产责任制，深化安全生产治本攻坚，紧盯非煤矿山、危化品、建筑施工、特种设备、道路交通、消防、燃气等重点行业领域风险隐患，加大排查整治力度，</w:t>
      </w:r>
      <w:r>
        <w:rPr>
          <w:rFonts w:hint="eastAsia"/>
          <w:lang w:val="en-US" w:eastAsia="zh-CN"/>
        </w:rPr>
        <w:t>强化科技兴安与智慧监管，推动企业主体责任向基层班组和岗位延伸，加强全员安全培训和应急处置演练，</w:t>
      </w:r>
      <w:r>
        <w:rPr>
          <w:rFonts w:hint="default"/>
          <w:lang w:val="en-US" w:eastAsia="zh-CN"/>
        </w:rPr>
        <w:t>坚决遏制重特大安全事故。</w:t>
      </w:r>
    </w:p>
    <w:p w14:paraId="77EFE806">
      <w:pPr>
        <w:bidi w:val="0"/>
        <w:rPr>
          <w:rFonts w:hint="eastAsia" w:ascii="仿宋_GB2312" w:hAnsi="仿宋_GB2312" w:eastAsia="仿宋_GB2312" w:cs="仿宋_GB2312"/>
          <w:lang w:val="en-US" w:eastAsia="zh-CN"/>
        </w:rPr>
      </w:pPr>
      <w:r>
        <w:rPr>
          <w:rFonts w:hint="eastAsia" w:ascii="仿宋_GB2312" w:hAnsi="仿宋_GB2312" w:eastAsia="仿宋_GB2312" w:cs="仿宋_GB2312"/>
          <w:b/>
          <w:bCs/>
          <w:lang w:val="en-US" w:eastAsia="zh-CN"/>
        </w:rPr>
        <w:t>健全社会治安防控体系。</w:t>
      </w:r>
      <w:r>
        <w:rPr>
          <w:rFonts w:hint="eastAsia" w:ascii="仿宋_GB2312" w:hAnsi="仿宋_GB2312" w:eastAsia="仿宋_GB2312" w:cs="仿宋_GB2312"/>
          <w:lang w:val="en-US" w:eastAsia="zh-CN"/>
        </w:rPr>
        <w:t>深化社会治安整体防控体系和能力现代化建设，推进警官实战训练基地建设，推动 AI数据模型与“枫桥经验”“一村</w:t>
      </w:r>
      <w:r>
        <w:rPr>
          <w:rFonts w:hint="eastAsia" w:ascii="仿宋_GB2312" w:hAnsi="仿宋_GB2312" w:cs="仿宋_GB2312"/>
          <w:lang w:val="en-US" w:eastAsia="zh-CN"/>
        </w:rPr>
        <w:t>（</w:t>
      </w:r>
      <w:r>
        <w:rPr>
          <w:rFonts w:hint="eastAsia" w:ascii="仿宋_GB2312" w:hAnsi="仿宋_GB2312" w:eastAsia="仿宋_GB2312" w:cs="仿宋_GB2312"/>
          <w:lang w:val="en-US" w:eastAsia="zh-CN"/>
        </w:rPr>
        <w:t>格</w:t>
      </w:r>
      <w:r>
        <w:rPr>
          <w:rFonts w:hint="eastAsia" w:ascii="仿宋_GB2312" w:hAnsi="仿宋_GB2312" w:cs="仿宋_GB2312"/>
          <w:lang w:val="en-US" w:eastAsia="zh-CN"/>
        </w:rPr>
        <w:t>）</w:t>
      </w:r>
      <w:r>
        <w:rPr>
          <w:rFonts w:hint="eastAsia" w:ascii="仿宋_GB2312" w:hAnsi="仿宋_GB2312" w:eastAsia="仿宋_GB2312" w:cs="仿宋_GB2312"/>
          <w:lang w:val="en-US" w:eastAsia="zh-CN"/>
        </w:rPr>
        <w:t>一警”、交管网格深度融合，构建立体化、智能化的社会治安防控体系。健全扫黑除恶常态化机制，加大预防和打击电信网络诈骗、毒品犯罪力度。深化网络空间安全综合治理，加强网络安全保障体系和能力建设，优化舆论环境和网络生态，加强个人信息保护。加强未成年人违法犯罪预防和治理。全面准确贯彻宽严相济刑事政策，依法惩处违法犯罪，提升刑罚执行质效。</w:t>
      </w:r>
    </w:p>
    <w:p w14:paraId="29F67140">
      <w:pPr>
        <w:bidi w:val="0"/>
        <w:rPr>
          <w:rFonts w:hint="eastAsia" w:ascii="仿宋_GB2312" w:hAnsi="仿宋_GB2312" w:eastAsia="仿宋_GB2312" w:cs="仿宋_GB2312"/>
          <w:b/>
          <w:bCs/>
        </w:rPr>
      </w:pPr>
      <w:r>
        <w:rPr>
          <w:rFonts w:hint="eastAsia" w:ascii="仿宋_GB2312" w:hAnsi="仿宋_GB2312" w:cs="仿宋_GB2312"/>
          <w:b/>
          <w:bCs/>
          <w:lang w:val="en-US" w:eastAsia="zh-CN"/>
        </w:rPr>
        <w:t>三、</w:t>
      </w:r>
      <w:r>
        <w:rPr>
          <w:rFonts w:hint="eastAsia" w:ascii="仿宋_GB2312" w:hAnsi="仿宋_GB2312" w:eastAsia="仿宋_GB2312" w:cs="仿宋_GB2312"/>
          <w:b/>
          <w:bCs/>
          <w:lang w:val="en-US" w:eastAsia="zh-CN"/>
        </w:rPr>
        <w:t>构建</w:t>
      </w:r>
      <w:r>
        <w:rPr>
          <w:rFonts w:hint="eastAsia" w:ascii="仿宋_GB2312" w:hAnsi="仿宋_GB2312" w:eastAsia="仿宋_GB2312" w:cs="仿宋_GB2312"/>
          <w:b/>
          <w:bCs/>
          <w:lang w:eastAsia="zh-CN"/>
        </w:rPr>
        <w:t>“</w:t>
      </w:r>
      <w:r>
        <w:rPr>
          <w:rFonts w:hint="eastAsia" w:ascii="仿宋_GB2312" w:hAnsi="仿宋_GB2312" w:eastAsia="仿宋_GB2312" w:cs="仿宋_GB2312"/>
          <w:b/>
          <w:bCs/>
        </w:rPr>
        <w:t>平急两用</w:t>
      </w:r>
      <w:r>
        <w:rPr>
          <w:rFonts w:hint="eastAsia" w:ascii="仿宋_GB2312" w:hAnsi="仿宋_GB2312" w:eastAsia="仿宋_GB2312" w:cs="仿宋_GB2312"/>
          <w:b/>
          <w:bCs/>
          <w:lang w:eastAsia="zh-CN"/>
        </w:rPr>
        <w:t>”</w:t>
      </w:r>
      <w:r>
        <w:rPr>
          <w:rFonts w:hint="eastAsia" w:ascii="仿宋_GB2312" w:hAnsi="仿宋_GB2312" w:eastAsia="仿宋_GB2312" w:cs="仿宋_GB2312"/>
          <w:b/>
          <w:bCs/>
        </w:rPr>
        <w:t>协同治理新格局</w:t>
      </w:r>
    </w:p>
    <w:p w14:paraId="283799F0">
      <w:pPr>
        <w:bidi w:val="0"/>
        <w:rPr>
          <w:rFonts w:hint="eastAsia" w:ascii="仿宋_GB2312" w:hAnsi="仿宋_GB2312" w:eastAsia="仿宋_GB2312" w:cs="仿宋_GB2312"/>
          <w:lang w:val="en-US" w:eastAsia="zh-CN"/>
        </w:rPr>
      </w:pPr>
      <w:r>
        <w:rPr>
          <w:rFonts w:hint="eastAsia" w:ascii="仿宋_GB2312" w:hAnsi="仿宋_GB2312" w:eastAsia="仿宋_GB2312" w:cs="仿宋_GB2312"/>
        </w:rPr>
        <w:t>以平时高效治理为基础、急时快速响应为核心，推进“平急两用”协同治理模式，将常态化治理与应急管理深度融合，筑牢富锦市安全治理防线，提升城市整体抗风险能力和恢复能力。</w:t>
      </w:r>
      <w:r>
        <w:rPr>
          <w:rFonts w:hint="eastAsia" w:ascii="仿宋_GB2312" w:hAnsi="仿宋_GB2312" w:eastAsia="仿宋_GB2312" w:cs="仿宋_GB2312"/>
          <w:lang w:val="en-US" w:eastAsia="zh-CN"/>
        </w:rPr>
        <w:t>加强“平急两用”公共基础设施建设</w:t>
      </w:r>
      <w:r>
        <w:rPr>
          <w:rFonts w:hint="eastAsia" w:ascii="仿宋_GB2312" w:hAnsi="仿宋_GB2312" w:eastAsia="仿宋_GB2312" w:cs="仿宋_GB2312"/>
        </w:rPr>
        <w:t>，依据“平急两用”设计规范，推进物流仓储中心等民生项目建设，平时用于农产品仓储配送，急时可转为救灾物资中转站；改造农村学校、文化广场为“应急避难场所”，配套应急供水、供电设施，</w:t>
      </w:r>
      <w:r>
        <w:rPr>
          <w:rFonts w:hint="eastAsia" w:ascii="仿宋_GB2312" w:hAnsi="仿宋_GB2312" w:cs="仿宋_GB2312"/>
          <w:lang w:val="en-US" w:eastAsia="zh-CN"/>
        </w:rPr>
        <w:t>可</w:t>
      </w:r>
      <w:r>
        <w:rPr>
          <w:rFonts w:hint="eastAsia" w:ascii="仿宋_GB2312" w:hAnsi="仿宋_GB2312" w:eastAsia="仿宋_GB2312" w:cs="仿宋_GB2312"/>
        </w:rPr>
        <w:t>作为临时安置场所。建立“政府储备+社会储备”双轨制，政府储备粮食、帐篷等基础物资，引导企业储备化肥、农机等生产物资。将社会治理网格员、党组织成员、村民代表等纳入“</w:t>
      </w:r>
      <w:r>
        <w:rPr>
          <w:rFonts w:hint="eastAsia" w:ascii="仿宋_GB2312" w:hAnsi="仿宋_GB2312" w:cs="仿宋_GB2312"/>
          <w:lang w:eastAsia="zh-CN"/>
        </w:rPr>
        <w:t>‘平急两用’</w:t>
      </w:r>
      <w:r>
        <w:rPr>
          <w:rFonts w:hint="eastAsia" w:ascii="仿宋_GB2312" w:hAnsi="仿宋_GB2312" w:eastAsia="仿宋_GB2312" w:cs="仿宋_GB2312"/>
        </w:rPr>
        <w:t>人才库”，平时参与矛盾调解、环境整治，急时转为救援队员</w:t>
      </w:r>
      <w:r>
        <w:rPr>
          <w:rFonts w:hint="eastAsia" w:ascii="仿宋_GB2312" w:hAnsi="仿宋_GB2312" w:cs="仿宋_GB2312"/>
          <w:lang w:eastAsia="zh-CN"/>
        </w:rPr>
        <w:t>，</w:t>
      </w:r>
      <w:r>
        <w:rPr>
          <w:rFonts w:hint="eastAsia" w:ascii="仿宋_GB2312" w:hAnsi="仿宋_GB2312" w:eastAsia="仿宋_GB2312" w:cs="仿宋_GB2312"/>
        </w:rPr>
        <w:t>开展“日常服务+应急救援”技能双训，实现队伍能力融合提升。</w:t>
      </w:r>
    </w:p>
    <w:p w14:paraId="5944EA0F">
      <w:pPr>
        <w:pStyle w:val="3"/>
        <w:bidi w:val="0"/>
        <w:rPr>
          <w:rFonts w:hint="default"/>
          <w:lang w:val="en-US" w:eastAsia="zh-CN"/>
        </w:rPr>
      </w:pPr>
      <w:bookmarkStart w:id="97" w:name="_Toc8778"/>
      <w:r>
        <w:rPr>
          <w:rFonts w:hint="eastAsia"/>
          <w:lang w:val="en-US" w:eastAsia="zh-CN"/>
        </w:rPr>
        <w:t>第四节  提升社会治理现代化水平</w:t>
      </w:r>
      <w:bookmarkEnd w:id="97"/>
    </w:p>
    <w:p w14:paraId="6B1CCA19">
      <w:pPr>
        <w:bidi w:val="0"/>
        <w:ind w:left="0" w:leftChars="0" w:firstLine="643" w:firstLineChars="200"/>
        <w:rPr>
          <w:rFonts w:hint="default"/>
          <w:lang w:val="en-US" w:eastAsia="zh-CN"/>
        </w:rPr>
      </w:pPr>
      <w:r>
        <w:rPr>
          <w:rFonts w:hint="eastAsia"/>
          <w:b/>
          <w:bCs/>
          <w:lang w:val="en-US" w:eastAsia="zh-CN"/>
        </w:rPr>
        <w:t>加强社会治理制度建设。</w:t>
      </w:r>
      <w:r>
        <w:rPr>
          <w:rFonts w:hint="default"/>
          <w:lang w:val="en-US" w:eastAsia="zh-CN"/>
        </w:rPr>
        <w:t>坚持系统治理、依法治理、综合治理、源头治理，完善共建共治共享的社会治理制度，推进网上网下协同治理，加强人工智能同社会治理相结合，提高社会治理科学化、精细化、智能化、现代化水平。健全社会工作体制机制，完善社会治理政策。加强新经济组织、新社会组织、新就业群体党的建设。加强社会组织培育管理，推动行业协会商会改革发展。</w:t>
      </w:r>
    </w:p>
    <w:p w14:paraId="2E7BFCD4">
      <w:pPr>
        <w:bidi w:val="0"/>
        <w:ind w:left="0" w:leftChars="0" w:firstLine="643"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加强党建引领基层治理。</w:t>
      </w:r>
      <w:r>
        <w:rPr>
          <w:rFonts w:hint="eastAsia" w:ascii="仿宋_GB2312" w:hAnsi="仿宋_GB2312" w:eastAsia="仿宋_GB2312" w:cs="仿宋_GB2312"/>
          <w:sz w:val="32"/>
          <w:szCs w:val="32"/>
          <w:lang w:val="en-US" w:eastAsia="zh-CN"/>
        </w:rPr>
        <w:t>健全完善党组织领导下的基层治理体系，</w:t>
      </w:r>
      <w:r>
        <w:rPr>
          <w:rFonts w:hint="default" w:ascii="Times New Roman" w:hAnsi="Times New Roman" w:eastAsia="仿宋_GB2312" w:cs="Times New Roman"/>
          <w:color w:val="000000"/>
          <w:kern w:val="2"/>
          <w:sz w:val="32"/>
          <w:szCs w:val="32"/>
          <w:u w:val="none"/>
          <w:lang w:val="en-US" w:eastAsia="zh-CN" w:bidi="ar-SA"/>
        </w:rPr>
        <w:t>全面实施乡镇（街道）履行职责事项清单，健全村（社区）工作事项准入制度</w:t>
      </w:r>
      <w:r>
        <w:rPr>
          <w:rFonts w:hint="eastAsia" w:ascii="Times New Roman" w:hAnsi="Times New Roman" w:cs="Times New Roman"/>
          <w:color w:val="000000"/>
          <w:kern w:val="2"/>
          <w:sz w:val="32"/>
          <w:szCs w:val="32"/>
          <w:u w:val="none"/>
          <w:lang w:val="en-US" w:eastAsia="zh-CN" w:bidi="ar-SA"/>
        </w:rPr>
        <w:t>，</w:t>
      </w:r>
      <w:r>
        <w:rPr>
          <w:rFonts w:hint="eastAsia" w:ascii="仿宋_GB2312" w:hAnsi="仿宋_GB2312" w:eastAsia="仿宋_GB2312" w:cs="仿宋_GB2312"/>
          <w:sz w:val="32"/>
          <w:szCs w:val="32"/>
          <w:lang w:val="en-US" w:eastAsia="zh-CN"/>
        </w:rPr>
        <w:t>实现社区党的组织和工作全覆盖，深化农村基层党组织建设，拓宽村党组织书记培养选拔渠道。强化基层干部能力提升，实施村（社区）党组织书记全员轮训计划，提升其政治能力、治理能力、服务能力和应急处突能力。发挥党员队伍先锋引领，深化在职党员到社区（村）报到机制，推行“群众点单、社区派单、党员接单”服务模式。完善社区（村）干部报酬待遇和激励保障机制，激发基层队伍干事创业热情。</w:t>
      </w:r>
    </w:p>
    <w:p w14:paraId="3B22BE62">
      <w:pPr>
        <w:bidi w:val="0"/>
        <w:rPr>
          <w:rFonts w:hint="eastAsia" w:ascii="仿宋_GB2312" w:hAnsi="仿宋_GB2312" w:eastAsia="仿宋_GB2312" w:cs="仿宋_GB2312"/>
          <w:lang w:val="en-US" w:eastAsia="zh-CN"/>
        </w:rPr>
      </w:pPr>
      <w:r>
        <w:rPr>
          <w:rFonts w:hint="eastAsia" w:ascii="仿宋_GB2312" w:hAnsi="仿宋_GB2312" w:eastAsia="仿宋_GB2312" w:cs="仿宋_GB2312"/>
          <w:b/>
          <w:bCs/>
          <w:lang w:val="en-US" w:eastAsia="zh-CN"/>
        </w:rPr>
        <w:t>创新基层治理模式。</w:t>
      </w:r>
      <w:r>
        <w:rPr>
          <w:rFonts w:hint="eastAsia" w:ascii="仿宋_GB2312" w:hAnsi="仿宋_GB2312" w:eastAsia="仿宋_GB2312" w:cs="仿宋_GB2312"/>
          <w:lang w:val="en-US" w:eastAsia="zh-CN"/>
        </w:rPr>
        <w:t>优化升级网格化服务管理，</w:t>
      </w:r>
      <w:r>
        <w:rPr>
          <w:rFonts w:hint="eastAsia" w:ascii="仿宋_GB2312" w:hAnsi="仿宋_GB2312" w:eastAsia="仿宋_GB2312" w:cs="仿宋_GB2312"/>
        </w:rPr>
        <w:t>全域推进城乡网格化整合</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深化网格化管理体系，探索推行“基础网格+专属网格”治理模式，创新推行“敲门守护”行动，实现网格诉求的主动发现与精准服务。坚持和发展新时代“枫桥经验”，完善乡村（社区）治理，加强综治中心规范化建设，打造综治中心、矛盾纠纷预防化解中心等多中心合一新模式，实现群众“只进一扇门、解决所有事”。完善社会矛盾纠纷多元化预防调处化解处置综合治理机制，深入推进矛盾纠纷源头化解、多元化解、有序化解。全面推进信访工作法治化，完善信息化与法治化深度融合机制。健全“镇街吹哨、部门报到、接诉即办”联动机制，赋予镇街更多统筹协调权，确保基层发现问题能快速响应、有效解决。探索“村社联建”融合发展治理模式，着力构建城乡融合发展新格局。发挥人民群众主体作用，加强群防群治，创新多元参与机制，引导各方有序参与社会治理，</w:t>
      </w:r>
      <w:r>
        <w:rPr>
          <w:rFonts w:hint="eastAsia" w:ascii="仿宋_GB2312" w:hAnsi="仿宋_GB2312" w:cs="仿宋_GB2312"/>
          <w:lang w:val="en-US" w:eastAsia="zh-CN"/>
        </w:rPr>
        <w:t>建设人人有责、人人尽责、人人享有的社会治理共同体</w:t>
      </w:r>
      <w:r>
        <w:rPr>
          <w:rFonts w:hint="eastAsia" w:ascii="仿宋_GB2312" w:hAnsi="仿宋_GB2312" w:eastAsia="仿宋_GB2312" w:cs="仿宋_GB2312"/>
          <w:lang w:val="en-US" w:eastAsia="zh-CN"/>
        </w:rPr>
        <w:t>。深化数字化在社会治理中的赋能应用，整合部门数据，搭建智慧网格管理服务平台，推动社会治理向精准高效、智慧温情转型。</w:t>
      </w:r>
    </w:p>
    <w:p w14:paraId="54B7D42C">
      <w:pPr>
        <w:bidi w:val="0"/>
        <w:rPr>
          <w:rFonts w:hint="eastAsia" w:ascii="仿宋_GB2312" w:hAnsi="仿宋_GB2312" w:eastAsia="仿宋_GB2312" w:cs="仿宋_GB2312"/>
          <w:lang w:val="en-US" w:eastAsia="zh-CN"/>
        </w:rPr>
      </w:pPr>
      <w:r>
        <w:rPr>
          <w:rFonts w:hint="eastAsia" w:ascii="仿宋_GB2312" w:hAnsi="仿宋_GB2312" w:cs="仿宋_GB2312"/>
          <w:b/>
          <w:bCs/>
          <w:lang w:val="en-US" w:eastAsia="zh-CN"/>
        </w:rPr>
        <w:t>强化</w:t>
      </w:r>
      <w:r>
        <w:rPr>
          <w:rFonts w:hint="eastAsia" w:ascii="仿宋_GB2312" w:hAnsi="仿宋_GB2312" w:eastAsia="仿宋_GB2312" w:cs="仿宋_GB2312"/>
          <w:b/>
          <w:bCs/>
          <w:lang w:val="en-US" w:eastAsia="zh-CN"/>
        </w:rPr>
        <w:t>社会治理服务保障。</w:t>
      </w:r>
      <w:r>
        <w:rPr>
          <w:rFonts w:hint="eastAsia" w:ascii="仿宋_GB2312" w:hAnsi="仿宋_GB2312" w:eastAsia="仿宋_GB2312" w:cs="仿宋_GB2312"/>
          <w:lang w:val="en-US" w:eastAsia="zh-CN"/>
        </w:rPr>
        <w:t>加强基层服务管理力量配置，完善服务设施和经费保障机制。完善凝聚服务群众工作机制，夯实社会治理群众基础。加强思想政治引领，改进各类社会群体服务管理，健全利益关系协调、合法权益保障制度，关心关爱困难、弱势群体。健全社会心理服务体系和危机干预机制。发展志愿服务，推广“专业社工+志愿服务”模式，强化志愿服务组织管理、阵地建设。加强社会工作者队伍建设，提高专业化服务水平。</w:t>
      </w:r>
    </w:p>
    <w:p w14:paraId="0A61125F">
      <w:pPr>
        <w:bidi w:val="0"/>
        <w:rPr>
          <w:rFonts w:hint="eastAsia"/>
          <w:lang w:val="en-US" w:eastAsia="zh-CN"/>
        </w:rPr>
      </w:pPr>
      <w:r>
        <w:rPr>
          <w:rFonts w:hint="eastAsia"/>
          <w:b/>
          <w:bCs/>
          <w:lang w:val="en-US" w:eastAsia="zh-CN"/>
        </w:rPr>
        <w:t>塑造社会文明新风尚。</w:t>
      </w:r>
      <w:r>
        <w:rPr>
          <w:rFonts w:hint="eastAsia"/>
          <w:lang w:val="en-US" w:eastAsia="zh-CN"/>
        </w:rPr>
        <w:t>强化价值引领，深耕社会主义核心价值观，充分挖掘和利用富锦特有的“北大荒精神”等红色文化资源，建设一批社会主义核心价值观示范点，讲好富锦故事，增强市民认同感与归属感。加强思想道德建设，实施“文明富锦”市民素质提升行动，引导市民自觉遵守社会公德、职业道德、家庭美德，提升个人品德，深化拓展新时代文明实践中心建设，使其成为服务群众，引导群众的“精神家园”，广泛开展“身边好人”“最美家庭”“道德模范”等选树活动，用身边事教育身边人，塑造崇德向善氛围。</w:t>
      </w:r>
      <w:r>
        <w:rPr>
          <w:rFonts w:hint="default"/>
          <w:lang w:val="en-US" w:eastAsia="zh-CN"/>
        </w:rPr>
        <w:t>发挥市民公约、村规民约等作用，加强家庭家教家风建设，推进移风易俗，有效治理婚丧嫁娶中的陋习等问题。</w:t>
      </w:r>
      <w:r>
        <w:rPr>
          <w:rFonts w:hint="eastAsia"/>
          <w:lang w:val="en-US" w:eastAsia="zh-CN"/>
        </w:rPr>
        <w:t>探索积分激励、道德银行等创新机制，以“文明分”引领“文明风”，调动群众参与的积极性，推动形成人人崇尚美德、人人践行文明的社会治理新格局。</w:t>
      </w:r>
    </w:p>
    <w:p w14:paraId="02F10EC7">
      <w:pPr>
        <w:pStyle w:val="3"/>
        <w:bidi w:val="0"/>
        <w:rPr>
          <w:rFonts w:hint="eastAsia"/>
          <w:lang w:val="en-US" w:eastAsia="zh-CN"/>
        </w:rPr>
      </w:pPr>
      <w:bookmarkStart w:id="98" w:name="_Toc10286"/>
      <w:r>
        <w:rPr>
          <w:rFonts w:hint="eastAsia"/>
          <w:lang w:val="en-US" w:eastAsia="zh-CN"/>
        </w:rPr>
        <w:t>第五节  夯实长治久安的民主法治基石</w:t>
      </w:r>
      <w:bookmarkEnd w:id="98"/>
    </w:p>
    <w:p w14:paraId="1D6C1170">
      <w:pPr>
        <w:bidi w:val="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推进民主政治建设。</w:t>
      </w:r>
      <w:r>
        <w:rPr>
          <w:rFonts w:hint="default" w:ascii="Times New Roman" w:hAnsi="Times New Roman" w:eastAsia="仿宋_GB2312" w:cs="Times New Roman"/>
          <w:color w:val="000000"/>
          <w:kern w:val="2"/>
          <w:sz w:val="32"/>
          <w:szCs w:val="32"/>
          <w:u w:val="none"/>
          <w:lang w:val="en-US" w:eastAsia="zh-CN" w:bidi="ar-SA"/>
        </w:rPr>
        <w:t>坚定不移走中国特色社会主义政治发展道路，坚持党的领导、人民当家作主、依法治国有机统一，发展全过程人民民主，建设高水平的法治</w:t>
      </w:r>
      <w:r>
        <w:rPr>
          <w:rFonts w:hint="default" w:ascii="Times New Roman" w:hAnsi="Times New Roman" w:cs="Times New Roman"/>
          <w:color w:val="000000"/>
          <w:kern w:val="2"/>
          <w:sz w:val="32"/>
          <w:szCs w:val="32"/>
          <w:u w:val="none"/>
          <w:lang w:val="en-US" w:eastAsia="zh-CN" w:bidi="ar-SA"/>
        </w:rPr>
        <w:t>富锦</w:t>
      </w:r>
      <w:r>
        <w:rPr>
          <w:rFonts w:hint="default" w:ascii="Times New Roman" w:hAnsi="Times New Roman" w:eastAsia="仿宋_GB2312" w:cs="Times New Roman"/>
          <w:color w:val="000000"/>
          <w:kern w:val="2"/>
          <w:sz w:val="32"/>
          <w:szCs w:val="32"/>
          <w:u w:val="none"/>
          <w:lang w:val="en-US" w:eastAsia="zh-CN" w:bidi="ar-SA"/>
        </w:rPr>
        <w:t>。坚持好、完善好、运行好人民代表大会制度，确保国家机关依法行使权力、履行职责，确保人民群众民主权利、合法权益得到维护和实现。坚持和完善中国共产党领导的多党合作和政治协商制度，发挥人民政协专门协商机构作用，更好发挥民主党派</w:t>
      </w:r>
      <w:r>
        <w:rPr>
          <w:rFonts w:hint="eastAsia" w:ascii="Times New Roman" w:hAnsi="Times New Roman" w:cs="Times New Roman"/>
          <w:color w:val="000000"/>
          <w:kern w:val="2"/>
          <w:sz w:val="32"/>
          <w:szCs w:val="32"/>
          <w:u w:val="none"/>
          <w:lang w:val="en-US" w:eastAsia="zh-CN" w:bidi="ar-SA"/>
        </w:rPr>
        <w:t>成员</w:t>
      </w:r>
      <w:r>
        <w:rPr>
          <w:rFonts w:hint="default" w:ascii="Times New Roman" w:hAnsi="Times New Roman" w:eastAsia="仿宋_GB2312" w:cs="Times New Roman"/>
          <w:color w:val="000000"/>
          <w:kern w:val="2"/>
          <w:sz w:val="32"/>
          <w:szCs w:val="32"/>
          <w:u w:val="none"/>
          <w:lang w:val="en-US" w:eastAsia="zh-CN" w:bidi="ar-SA"/>
        </w:rPr>
        <w:t>、工商联和无党派人士作用</w:t>
      </w:r>
      <w:r>
        <w:rPr>
          <w:rFonts w:hint="eastAsia" w:ascii="Times New Roman" w:hAnsi="Times New Roman" w:cs="Times New Roman"/>
          <w:color w:val="000000"/>
          <w:kern w:val="2"/>
          <w:sz w:val="32"/>
          <w:szCs w:val="32"/>
          <w:u w:val="none"/>
          <w:lang w:val="en-US" w:eastAsia="zh-CN" w:bidi="ar-SA"/>
        </w:rPr>
        <w:t>，</w:t>
      </w:r>
      <w:r>
        <w:rPr>
          <w:rFonts w:hint="default" w:ascii="Times New Roman" w:hAnsi="Times New Roman" w:eastAsia="仿宋_GB2312" w:cs="Times New Roman"/>
          <w:color w:val="000000"/>
          <w:kern w:val="2"/>
          <w:sz w:val="32"/>
          <w:szCs w:val="32"/>
          <w:u w:val="none"/>
          <w:lang w:val="en-US" w:eastAsia="zh-CN" w:bidi="ar-SA"/>
        </w:rPr>
        <w:t>积极健全人民政协工作制度机制，推进协商民主广泛多层制度化发展，提高建言资政和凝聚共识水平。健全基层民主制度，保障人民依法管理基层公共事务和公益事业。健全吸纳民意、汇集民智工作机制。发挥工会、共青团、妇联等群团组织作用，加强产业工人队伍建设、青少年发展、妇女儿童事业发展政策保障。巩固和发展最广泛的爱国统一战线，坚持和完善大统战工作格局，提升新型政党制度效能。全面贯彻党的民族政策，深化民族团结进步创建，</w:t>
      </w:r>
      <w:r>
        <w:rPr>
          <w:rFonts w:hint="default" w:ascii="Times New Roman" w:hAnsi="Times New Roman" w:eastAsia="仿宋_GB2312" w:cs="Times New Roman"/>
          <w:color w:val="000000"/>
          <w:kern w:val="2"/>
          <w:sz w:val="32"/>
          <w:szCs w:val="32"/>
          <w:highlight w:val="none"/>
          <w:u w:val="none"/>
          <w:lang w:val="en-US" w:eastAsia="zh-CN" w:bidi="ar-SA"/>
        </w:rPr>
        <w:t>铸牢中华民族共同体意识</w:t>
      </w:r>
      <w:r>
        <w:rPr>
          <w:rFonts w:hint="default" w:ascii="Times New Roman" w:hAnsi="Times New Roman" w:eastAsia="仿宋_GB2312" w:cs="Times New Roman"/>
          <w:color w:val="000000"/>
          <w:kern w:val="2"/>
          <w:sz w:val="32"/>
          <w:szCs w:val="32"/>
          <w:u w:val="none"/>
          <w:lang w:val="en-US" w:eastAsia="zh-CN" w:bidi="ar-SA"/>
        </w:rPr>
        <w:t>。坚持我国宗教中国化方向，加强宗教事务治理法治化。支持党外知识分子、新的社会阶层人士投身创新创造、有序参与政治生活。更好凝聚侨心侨力，巩固壮大爱国爱乡力量。</w:t>
      </w:r>
      <w:r>
        <w:rPr>
          <w:rFonts w:hint="eastAsia" w:ascii="仿宋_GB2312" w:hAnsi="仿宋_GB2312" w:eastAsia="仿宋_GB2312" w:cs="仿宋_GB2312"/>
          <w:sz w:val="32"/>
          <w:szCs w:val="32"/>
          <w:lang w:val="en-US" w:eastAsia="zh-CN"/>
        </w:rPr>
        <w:t>促进非公有制经济健康发展和非公有制经济人士健康成长，激发公民的主人翁意识，最大限度</w:t>
      </w:r>
      <w:r>
        <w:rPr>
          <w:rFonts w:hint="eastAsia" w:ascii="仿宋_GB2312" w:hAnsi="仿宋_GB2312" w:eastAsia="仿宋_GB2312" w:cs="仿宋_GB2312"/>
          <w:sz w:val="32"/>
          <w:szCs w:val="32"/>
        </w:rPr>
        <w:t>凝聚全面建设社会主义现代化</w:t>
      </w:r>
      <w:r>
        <w:rPr>
          <w:rFonts w:hint="eastAsia" w:ascii="仿宋_GB2312" w:hAnsi="仿宋_GB2312" w:eastAsia="仿宋_GB2312" w:cs="仿宋_GB2312"/>
          <w:sz w:val="32"/>
          <w:szCs w:val="32"/>
          <w:lang w:val="en-US" w:eastAsia="zh-CN"/>
        </w:rPr>
        <w:t>美好富锦</w:t>
      </w:r>
      <w:r>
        <w:rPr>
          <w:rFonts w:hint="eastAsia" w:ascii="仿宋_GB2312" w:hAnsi="仿宋_GB2312" w:eastAsia="仿宋_GB2312" w:cs="仿宋_GB2312"/>
          <w:sz w:val="32"/>
          <w:szCs w:val="32"/>
        </w:rPr>
        <w:t>团结奋斗的强大力量</w:t>
      </w:r>
      <w:r>
        <w:rPr>
          <w:rFonts w:hint="eastAsia" w:ascii="仿宋_GB2312" w:hAnsi="仿宋_GB2312" w:cs="仿宋_GB2312"/>
          <w:sz w:val="32"/>
          <w:szCs w:val="32"/>
          <w:lang w:eastAsia="zh-CN"/>
        </w:rPr>
        <w:t>。</w:t>
      </w:r>
    </w:p>
    <w:p w14:paraId="4C59CBCA">
      <w:pPr>
        <w:bidi w:val="0"/>
        <w:rPr>
          <w:rFonts w:hint="eastAsia" w:ascii="仿宋_GB2312" w:hAnsi="仿宋_GB2312" w:eastAsia="仿宋_GB2312" w:cs="仿宋_GB2312"/>
          <w:lang w:eastAsia="zh-CN"/>
        </w:rPr>
      </w:pPr>
      <w:r>
        <w:rPr>
          <w:rFonts w:hint="eastAsia" w:ascii="仿宋_GB2312" w:hAnsi="仿宋_GB2312" w:eastAsia="仿宋_GB2312" w:cs="仿宋_GB2312"/>
          <w:b/>
          <w:bCs/>
          <w:lang w:val="en-US" w:eastAsia="zh-CN"/>
        </w:rPr>
        <w:t>深化“法治富锦”建设。</w:t>
      </w:r>
      <w:r>
        <w:rPr>
          <w:rFonts w:hint="eastAsia" w:ascii="仿宋_GB2312" w:hAnsi="仿宋_GB2312" w:eastAsia="仿宋_GB2312" w:cs="仿宋_GB2312"/>
          <w:lang w:val="en-US" w:eastAsia="zh-CN"/>
        </w:rPr>
        <w:t>坚持全面依法治市，统筹</w:t>
      </w:r>
      <w:r>
        <w:rPr>
          <w:rFonts w:hint="eastAsia" w:ascii="仿宋_GB2312" w:hAnsi="仿宋_GB2312" w:cs="仿宋_GB2312"/>
          <w:lang w:val="en-US" w:eastAsia="zh-CN"/>
        </w:rPr>
        <w:t>法治国家、法治政府、法治社会一体建设</w:t>
      </w:r>
      <w:r>
        <w:rPr>
          <w:rFonts w:hint="eastAsia" w:ascii="仿宋_GB2312" w:hAnsi="仿宋_GB2312" w:eastAsia="仿宋_GB2312" w:cs="仿宋_GB2312"/>
          <w:lang w:val="en-US" w:eastAsia="zh-CN"/>
        </w:rPr>
        <w:t>，协同推进科学立法、严格执法、公正司法、全民守法。加强宪法法律法规的实施和监督，维护国家法治统一。强化法治政府建设，全面落实行政规范性文件备案审查，完善实质性化解行政争议机制。加强统计法治建设，筑牢数据质量安全防线。推进政法工作数字化平台建设，强化跨部门执法司法协同和监督。规范司法权力运行，完善司法公正实现和评价机制，提高司法裁判公正性、稳定性、权威性。强化检察监督，加强公益诉讼。依法保障人身权、财产权、人格权，健全规范涉企执法长效机制，防止和纠正违规异地执法、趋利性执法。深化审判权和执行权分离改革，有效解决“执行难”问题。加</w:t>
      </w:r>
      <w:r>
        <w:rPr>
          <w:rFonts w:hint="eastAsia" w:ascii="仿宋_GB2312" w:hAnsi="仿宋_GB2312" w:cs="仿宋_GB2312"/>
          <w:lang w:val="en-US" w:eastAsia="zh-CN"/>
        </w:rPr>
        <w:t>强对</w:t>
      </w:r>
      <w:r>
        <w:rPr>
          <w:rFonts w:hint="eastAsia" w:ascii="仿宋_GB2312" w:hAnsi="仿宋_GB2312" w:eastAsia="仿宋_GB2312" w:cs="仿宋_GB2312"/>
          <w:lang w:val="en-US" w:eastAsia="zh-CN"/>
        </w:rPr>
        <w:t>领导干部依法办事监督检查。推进法治社会建设，培养</w:t>
      </w:r>
      <w:r>
        <w:rPr>
          <w:rFonts w:hint="eastAsia" w:ascii="仿宋_GB2312" w:hAnsi="仿宋_GB2312" w:cs="仿宋_GB2312"/>
          <w:lang w:val="en-US" w:eastAsia="zh-CN"/>
        </w:rPr>
        <w:t>全民</w:t>
      </w:r>
      <w:r>
        <w:rPr>
          <w:rFonts w:hint="eastAsia" w:ascii="仿宋_GB2312" w:hAnsi="仿宋_GB2312" w:eastAsia="仿宋_GB2312" w:cs="仿宋_GB2312"/>
          <w:lang w:val="en-US" w:eastAsia="zh-CN"/>
        </w:rPr>
        <w:t>法治信仰，营造全社会崇尚法治、恪守规则、尊重契约、维护公正的良好环境，</w:t>
      </w:r>
      <w:r>
        <w:rPr>
          <w:rFonts w:hint="eastAsia" w:ascii="仿宋_GB2312" w:hAnsi="仿宋_GB2312" w:eastAsia="仿宋_GB2312" w:cs="仿宋_GB2312"/>
        </w:rPr>
        <w:t>为法治富锦建设筑牢坚实社会根基</w:t>
      </w:r>
      <w:r>
        <w:rPr>
          <w:rFonts w:hint="eastAsia" w:ascii="仿宋_GB2312" w:hAnsi="仿宋_GB2312" w:eastAsia="仿宋_GB2312" w:cs="仿宋_GB2312"/>
          <w:lang w:eastAsia="zh-CN"/>
        </w:rPr>
        <w:t>。</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1CFA4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8296" w:type="dxa"/>
            <w:vAlign w:val="center"/>
          </w:tcPr>
          <w:p w14:paraId="090A92E7">
            <w:pPr>
              <w:jc w:val="center"/>
              <w:rPr>
                <w:rFonts w:hint="default" w:ascii="仿宋" w:hAnsi="仿宋" w:eastAsia="黑体"/>
                <w:b/>
                <w:bCs/>
                <w:color w:val="000000"/>
                <w:kern w:val="2"/>
                <w:sz w:val="28"/>
                <w:szCs w:val="28"/>
                <w:shd w:val="clear" w:color="auto" w:fill="FFFFFF"/>
                <w:lang w:val="en-US" w:eastAsia="zh-CN"/>
              </w:rPr>
            </w:pPr>
            <w:r>
              <w:rPr>
                <w:rFonts w:hint="eastAsia" w:ascii="黑体" w:hAnsi="黑体" w:eastAsia="黑体" w:cs="黑体"/>
                <w:b w:val="0"/>
                <w:bCs w:val="0"/>
                <w:color w:val="000000"/>
                <w:kern w:val="2"/>
                <w:sz w:val="24"/>
                <w:szCs w:val="24"/>
                <w:shd w:val="clear" w:color="auto" w:fill="FFFFFF"/>
              </w:rPr>
              <w:t>专栏</w:t>
            </w:r>
            <w:r>
              <w:rPr>
                <w:rFonts w:hint="eastAsia" w:ascii="黑体" w:hAnsi="黑体" w:eastAsia="黑体" w:cs="黑体"/>
                <w:b w:val="0"/>
                <w:bCs w:val="0"/>
                <w:color w:val="000000"/>
                <w:kern w:val="2"/>
                <w:sz w:val="24"/>
                <w:szCs w:val="24"/>
                <w:shd w:val="clear" w:color="auto" w:fill="FFFFFF"/>
                <w:lang w:val="en-US" w:eastAsia="zh-CN"/>
              </w:rPr>
              <w:t>14-1</w:t>
            </w:r>
            <w:r>
              <w:rPr>
                <w:rFonts w:hint="eastAsia" w:ascii="黑体" w:hAnsi="黑体" w:eastAsia="黑体" w:cs="黑体"/>
                <w:b w:val="0"/>
                <w:bCs w:val="0"/>
                <w:color w:val="000000"/>
                <w:kern w:val="2"/>
                <w:sz w:val="24"/>
                <w:szCs w:val="24"/>
                <w:shd w:val="clear" w:color="auto" w:fill="FFFFFF"/>
              </w:rPr>
              <w:t xml:space="preserve">  基层治理</w:t>
            </w:r>
            <w:r>
              <w:rPr>
                <w:rFonts w:hint="eastAsia" w:ascii="黑体" w:hAnsi="黑体" w:eastAsia="黑体" w:cs="黑体"/>
                <w:b w:val="0"/>
                <w:bCs w:val="0"/>
                <w:color w:val="000000"/>
                <w:kern w:val="2"/>
                <w:sz w:val="24"/>
                <w:szCs w:val="24"/>
                <w:shd w:val="clear" w:color="auto" w:fill="FFFFFF"/>
                <w:lang w:val="en-US" w:eastAsia="zh-CN"/>
              </w:rPr>
              <w:t>创新与应急能力建设</w:t>
            </w:r>
            <w:r>
              <w:rPr>
                <w:rFonts w:hint="eastAsia" w:ascii="黑体" w:hAnsi="黑体" w:eastAsia="黑体" w:cs="黑体"/>
                <w:b w:val="0"/>
                <w:bCs w:val="0"/>
                <w:color w:val="000000"/>
                <w:kern w:val="2"/>
                <w:sz w:val="24"/>
                <w:szCs w:val="24"/>
                <w:shd w:val="clear" w:color="auto" w:fill="FFFFFF"/>
              </w:rPr>
              <w:t>重点工程</w:t>
            </w:r>
          </w:p>
        </w:tc>
      </w:tr>
      <w:tr w14:paraId="34D5F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391603BE">
            <w:pPr>
              <w:pStyle w:val="8"/>
              <w:bidi w:val="0"/>
              <w:rPr>
                <w:rFonts w:hint="eastAsia" w:ascii="楷体_GB2312" w:hAnsi="楷体_GB2312" w:eastAsia="楷体_GB2312" w:cs="楷体_GB2312"/>
                <w:b/>
                <w:bCs/>
                <w:lang w:val="en-US" w:eastAsia="zh-CN"/>
              </w:rPr>
            </w:pPr>
            <w:r>
              <w:rPr>
                <w:rFonts w:hint="eastAsia" w:ascii="楷体_GB2312" w:hAnsi="楷体_GB2312" w:eastAsia="楷体_GB2312" w:cs="楷体_GB2312"/>
                <w:b/>
                <w:bCs/>
                <w:lang w:val="en-US" w:eastAsia="zh-CN"/>
              </w:rPr>
              <w:t>1.数字治理与协同共治工程</w:t>
            </w:r>
          </w:p>
          <w:p w14:paraId="6B74A577">
            <w:pPr>
              <w:pStyle w:val="8"/>
              <w:bidi w:val="0"/>
              <w:rPr>
                <w:rFonts w:hint="eastAsia" w:ascii="楷体_GB2312" w:hAnsi="楷体_GB2312" w:eastAsia="楷体_GB2312" w:cs="楷体_GB2312"/>
              </w:rPr>
            </w:pPr>
            <w:r>
              <w:rPr>
                <w:rFonts w:hint="eastAsia" w:ascii="楷体_GB2312" w:hAnsi="楷体_GB2312" w:eastAsia="楷体_GB2312" w:cs="楷体_GB2312"/>
                <w:lang w:eastAsia="zh-CN"/>
              </w:rPr>
              <w:t>（</w:t>
            </w:r>
            <w:r>
              <w:rPr>
                <w:rFonts w:hint="eastAsia" w:ascii="楷体_GB2312" w:hAnsi="楷体_GB2312" w:eastAsia="楷体_GB2312" w:cs="楷体_GB2312"/>
                <w:lang w:val="en-US" w:eastAsia="zh-CN"/>
              </w:rPr>
              <w:t>1</w:t>
            </w:r>
            <w:r>
              <w:rPr>
                <w:rFonts w:hint="eastAsia" w:ascii="楷体_GB2312" w:hAnsi="楷体_GB2312" w:eastAsia="楷体_GB2312" w:cs="楷体_GB2312"/>
                <w:lang w:eastAsia="zh-CN"/>
              </w:rPr>
              <w:t>）</w:t>
            </w:r>
            <w:r>
              <w:rPr>
                <w:rFonts w:hint="eastAsia" w:ascii="楷体_GB2312" w:hAnsi="楷体_GB2312" w:eastAsia="楷体_GB2312" w:cs="楷体_GB2312"/>
              </w:rPr>
              <w:t>智慧网格管理服务平台建设。上传网格划分图层，整合公安、民政、住建、环保等各类部门数据，搭建智慧网格管理服务平台，实现“一张图”网格式精细化管理，提供综合指挥、网格管理、民生服务、风险预警等功能。</w:t>
            </w:r>
          </w:p>
          <w:p w14:paraId="108241B0">
            <w:pPr>
              <w:pStyle w:val="8"/>
              <w:bidi w:val="0"/>
              <w:rPr>
                <w:rFonts w:hint="eastAsia" w:ascii="楷体_GB2312" w:hAnsi="楷体_GB2312" w:eastAsia="楷体_GB2312" w:cs="楷体_GB2312"/>
              </w:rPr>
            </w:pPr>
            <w:r>
              <w:rPr>
                <w:rFonts w:hint="eastAsia" w:ascii="楷体_GB2312" w:hAnsi="楷体_GB2312" w:eastAsia="楷体_GB2312" w:cs="楷体_GB2312"/>
                <w:lang w:eastAsia="zh-CN"/>
              </w:rPr>
              <w:t>（</w:t>
            </w:r>
            <w:r>
              <w:rPr>
                <w:rFonts w:hint="eastAsia" w:ascii="楷体_GB2312" w:hAnsi="楷体_GB2312" w:eastAsia="楷体_GB2312" w:cs="楷体_GB2312"/>
                <w:lang w:val="en-US" w:eastAsia="zh-CN"/>
              </w:rPr>
              <w:t>2</w:t>
            </w:r>
            <w:r>
              <w:rPr>
                <w:rFonts w:hint="eastAsia" w:ascii="楷体_GB2312" w:hAnsi="楷体_GB2312" w:eastAsia="楷体_GB2312" w:cs="楷体_GB2312"/>
                <w:lang w:eastAsia="zh-CN"/>
              </w:rPr>
              <w:t>）</w:t>
            </w:r>
            <w:r>
              <w:rPr>
                <w:rFonts w:hint="eastAsia" w:ascii="楷体_GB2312" w:hAnsi="楷体_GB2312" w:eastAsia="楷体_GB2312" w:cs="楷体_GB2312"/>
              </w:rPr>
              <w:t>村社联建试点示范项目。以组织联建、产业联营、服务联享、治理联抓、文化联融为重点，推动社区与村庄开展联建治理模式，打造10个以上村社联建示范项目。</w:t>
            </w:r>
          </w:p>
          <w:p w14:paraId="57FE9767">
            <w:pPr>
              <w:pStyle w:val="8"/>
              <w:bidi w:val="0"/>
              <w:rPr>
                <w:rFonts w:hint="eastAsia" w:ascii="楷体_GB2312" w:hAnsi="楷体_GB2312" w:eastAsia="楷体_GB2312" w:cs="楷体_GB2312"/>
              </w:rPr>
            </w:pPr>
            <w:r>
              <w:rPr>
                <w:rFonts w:hint="eastAsia" w:ascii="楷体_GB2312" w:hAnsi="楷体_GB2312" w:eastAsia="楷体_GB2312" w:cs="楷体_GB2312"/>
                <w:lang w:eastAsia="zh-CN"/>
              </w:rPr>
              <w:t>（</w:t>
            </w:r>
            <w:r>
              <w:rPr>
                <w:rFonts w:hint="eastAsia" w:ascii="楷体_GB2312" w:hAnsi="楷体_GB2312" w:eastAsia="楷体_GB2312" w:cs="楷体_GB2312"/>
                <w:lang w:val="en-US" w:eastAsia="zh-CN"/>
              </w:rPr>
              <w:t>3</w:t>
            </w:r>
            <w:r>
              <w:rPr>
                <w:rFonts w:hint="eastAsia" w:ascii="楷体_GB2312" w:hAnsi="楷体_GB2312" w:eastAsia="楷体_GB2312" w:cs="楷体_GB2312"/>
                <w:lang w:eastAsia="zh-CN"/>
              </w:rPr>
              <w:t>）</w:t>
            </w:r>
            <w:r>
              <w:rPr>
                <w:rFonts w:hint="eastAsia" w:ascii="楷体_GB2312" w:hAnsi="楷体_GB2312" w:eastAsia="楷体_GB2312" w:cs="楷体_GB2312"/>
              </w:rPr>
              <w:t>乡村数字化治理平台建设。整合村庄治安、环境、民生等数据，搭建乡村数字化治理平台，</w:t>
            </w:r>
            <w:r>
              <w:rPr>
                <w:rFonts w:hint="eastAsia" w:ascii="楷体_GB2312" w:hAnsi="楷体_GB2312" w:eastAsia="楷体_GB2312" w:cs="楷体_GB2312"/>
                <w:lang w:val="en-US" w:eastAsia="zh-CN"/>
              </w:rPr>
              <w:t>集成</w:t>
            </w:r>
            <w:r>
              <w:rPr>
                <w:rFonts w:hint="eastAsia" w:ascii="楷体_GB2312" w:hAnsi="楷体_GB2312" w:eastAsia="楷体_GB2312" w:cs="楷体_GB2312"/>
              </w:rPr>
              <w:t>书记议事、村民说事、三务公开、党群服务、事件上报、投票决策、纠纷调解等功能。</w:t>
            </w:r>
          </w:p>
          <w:p w14:paraId="6C4D691B">
            <w:pPr>
              <w:pStyle w:val="8"/>
              <w:bidi w:val="0"/>
              <w:rPr>
                <w:rFonts w:hint="default" w:ascii="楷体_GB2312" w:hAnsi="楷体_GB2312" w:eastAsia="楷体_GB2312" w:cs="楷体_GB2312"/>
                <w:lang w:val="en-US" w:eastAsia="zh-CN"/>
              </w:rPr>
            </w:pPr>
            <w:r>
              <w:rPr>
                <w:rFonts w:hint="eastAsia" w:ascii="楷体_GB2312" w:hAnsi="楷体_GB2312" w:cs="楷体_GB2312"/>
                <w:lang w:eastAsia="zh-CN"/>
              </w:rPr>
              <w:t>（</w:t>
            </w:r>
            <w:r>
              <w:rPr>
                <w:rFonts w:hint="eastAsia" w:ascii="楷体_GB2312" w:hAnsi="楷体_GB2312" w:cs="楷体_GB2312"/>
                <w:lang w:val="en-US" w:eastAsia="zh-CN"/>
              </w:rPr>
              <w:t>4</w:t>
            </w:r>
            <w:r>
              <w:rPr>
                <w:rFonts w:hint="eastAsia" w:ascii="楷体_GB2312" w:hAnsi="楷体_GB2312" w:cs="楷体_GB2312"/>
                <w:lang w:eastAsia="zh-CN"/>
              </w:rPr>
              <w:t>）</w:t>
            </w:r>
            <w:r>
              <w:rPr>
                <w:rFonts w:hint="eastAsia" w:ascii="楷体_GB2312" w:hAnsi="楷体_GB2312" w:cs="楷体_GB2312"/>
                <w:lang w:val="en-US" w:eastAsia="zh-CN"/>
              </w:rPr>
              <w:t>富锦市公安局警官训练基地。训练基地建筑面积2000平方米。包括室内训练区、室外训练区、办公区、休息区及配套设施等，满足警官在体能、技能、战术、理论等多方面训练要求。</w:t>
            </w:r>
          </w:p>
          <w:p w14:paraId="34F7005B">
            <w:pPr>
              <w:pStyle w:val="8"/>
              <w:bidi w:val="0"/>
              <w:rPr>
                <w:rFonts w:hint="eastAsia" w:ascii="楷体_GB2312" w:hAnsi="楷体_GB2312" w:eastAsia="楷体_GB2312" w:cs="楷体_GB2312"/>
                <w:b/>
                <w:bCs/>
                <w:lang w:val="en-US" w:eastAsia="zh-CN"/>
              </w:rPr>
            </w:pPr>
            <w:r>
              <w:rPr>
                <w:rFonts w:hint="eastAsia" w:ascii="楷体_GB2312" w:hAnsi="楷体_GB2312" w:eastAsia="楷体_GB2312" w:cs="楷体_GB2312"/>
                <w:b/>
                <w:bCs/>
                <w:lang w:val="en-US" w:eastAsia="zh-CN"/>
              </w:rPr>
              <w:t>2.应急管理与安全韧性工程</w:t>
            </w:r>
          </w:p>
          <w:p w14:paraId="52BF934B">
            <w:pPr>
              <w:pStyle w:val="8"/>
              <w:bidi w:val="0"/>
              <w:rPr>
                <w:rFonts w:hint="eastAsia" w:ascii="楷体_GB2312" w:hAnsi="楷体_GB2312" w:eastAsia="楷体_GB2312" w:cs="楷体_GB2312"/>
              </w:rPr>
            </w:pPr>
            <w:r>
              <w:rPr>
                <w:rFonts w:hint="eastAsia" w:ascii="楷体_GB2312" w:hAnsi="楷体_GB2312" w:eastAsia="楷体_GB2312" w:cs="楷体_GB2312"/>
                <w:lang w:eastAsia="zh-CN"/>
              </w:rPr>
              <w:t>（</w:t>
            </w:r>
            <w:r>
              <w:rPr>
                <w:rFonts w:hint="eastAsia" w:ascii="楷体_GB2312" w:hAnsi="楷体_GB2312" w:eastAsia="楷体_GB2312" w:cs="楷体_GB2312"/>
                <w:lang w:val="en-US" w:eastAsia="zh-CN"/>
              </w:rPr>
              <w:t>1</w:t>
            </w:r>
            <w:r>
              <w:rPr>
                <w:rFonts w:hint="eastAsia" w:ascii="楷体_GB2312" w:hAnsi="楷体_GB2312" w:eastAsia="楷体_GB2312" w:cs="楷体_GB2312"/>
                <w:lang w:eastAsia="zh-CN"/>
              </w:rPr>
              <w:t>）</w:t>
            </w:r>
            <w:r>
              <w:rPr>
                <w:rFonts w:hint="eastAsia" w:ascii="楷体_GB2312" w:hAnsi="楷体_GB2312" w:eastAsia="楷体_GB2312" w:cs="楷体_GB2312"/>
              </w:rPr>
              <w:t>富锦市自然灾害应急综合能力提升项目。加快推进一批自然灾害应急综合能力提升项目建设工作，包括富锦市粮食应急保障中心建设、富锦综合应急救援培训训练场地及设施项目建设、富锦市应急管理系统提升工程、“平急两用”公共基础设施建设等。</w:t>
            </w:r>
          </w:p>
          <w:p w14:paraId="331CB024">
            <w:pPr>
              <w:pStyle w:val="8"/>
              <w:bidi w:val="0"/>
              <w:rPr>
                <w:rFonts w:hint="eastAsia" w:ascii="楷体_GB2312" w:hAnsi="楷体_GB2312" w:eastAsia="楷体_GB2312" w:cs="楷体_GB2312"/>
                <w:lang w:val="en-US" w:eastAsia="zh-CN"/>
              </w:rPr>
            </w:pPr>
            <w:r>
              <w:rPr>
                <w:rFonts w:hint="eastAsia" w:ascii="楷体_GB2312" w:hAnsi="楷体_GB2312" w:eastAsia="楷体_GB2312" w:cs="楷体_GB2312"/>
                <w:lang w:val="en-US" w:eastAsia="zh-CN"/>
              </w:rPr>
              <w:t>（2）人工影响天气水资源保障工程。实施全市人工影响天气能力提升计划，完成标准化作业站点和作业装置的全面升级改造，更新换代新型火箭发射系统，</w:t>
            </w:r>
            <w:r>
              <w:rPr>
                <w:rFonts w:hint="eastAsia" w:ascii="楷体_GB2312" w:hAnsi="楷体_GB2312" w:cs="楷体_GB2312"/>
                <w:lang w:val="en-US" w:eastAsia="zh-CN"/>
              </w:rPr>
              <w:t>优化</w:t>
            </w:r>
            <w:r>
              <w:rPr>
                <w:rFonts w:hint="eastAsia" w:ascii="楷体_GB2312" w:hAnsi="楷体_GB2312" w:eastAsia="楷体_GB2312" w:cs="楷体_GB2312"/>
                <w:lang w:val="en-US" w:eastAsia="zh-CN"/>
              </w:rPr>
              <w:t>站点布局，重点增强粮食主产区、生态保护区的水资源保障能力，开展常态化抗旱增雨型人工影响天气作业，为农业生产和生态保护提供精准化的人工影响天气服务。</w:t>
            </w:r>
          </w:p>
          <w:p w14:paraId="106142EC">
            <w:pPr>
              <w:pStyle w:val="8"/>
              <w:bidi w:val="0"/>
              <w:rPr>
                <w:rFonts w:hint="default" w:ascii="楷体_GB2312" w:hAnsi="楷体_GB2312" w:eastAsia="楷体_GB2312" w:cs="楷体_GB2312"/>
                <w:lang w:val="en-US" w:eastAsia="zh-CN"/>
              </w:rPr>
            </w:pPr>
            <w:r>
              <w:rPr>
                <w:rFonts w:hint="eastAsia" w:ascii="楷体_GB2312" w:hAnsi="楷体_GB2312" w:cs="楷体_GB2312"/>
                <w:lang w:val="en-US" w:eastAsia="zh-CN"/>
              </w:rPr>
              <w:t>3.富锦市革命烈士陵园维修改造项目。1）新建停车场铁艺围栏 、沥青路面、展览馆 、办公用房、园内张进思、吕庆芳及其他雕像、太阳能路灯、排水管道、排水井建筑面积2864平方米。2）拆除库房、围墙面积1448平方米。3）修缮绿化场地、纪念设施水池、纪念碑、广场、甬道、马路牙、纪念凉亭、办公用房、长廊粉刷建筑面积27986平方米。</w:t>
            </w:r>
          </w:p>
        </w:tc>
      </w:tr>
    </w:tbl>
    <w:p w14:paraId="5286CD11">
      <w:pPr>
        <w:ind w:left="0" w:leftChars="0" w:firstLine="0" w:firstLineChars="0"/>
        <w:rPr>
          <w:rFonts w:hint="eastAsia" w:ascii="黑体" w:hAnsi="黑体" w:eastAsia="黑体" w:cs="黑体"/>
          <w:sz w:val="36"/>
          <w:szCs w:val="48"/>
          <w:lang w:val="en-US" w:eastAsia="zh-CN"/>
        </w:rPr>
      </w:pPr>
      <w:r>
        <w:rPr>
          <w:rFonts w:hint="eastAsia" w:ascii="黑体" w:hAnsi="黑体" w:eastAsia="黑体" w:cs="黑体"/>
          <w:sz w:val="36"/>
          <w:szCs w:val="48"/>
          <w:lang w:val="en-US" w:eastAsia="zh-CN"/>
        </w:rPr>
        <w:br w:type="page"/>
      </w:r>
    </w:p>
    <w:p w14:paraId="445281A9">
      <w:pPr>
        <w:pStyle w:val="2"/>
        <w:bidi w:val="0"/>
        <w:ind w:left="0" w:leftChars="0" w:firstLine="0" w:firstLineChars="0"/>
        <w:jc w:val="center"/>
        <w:rPr>
          <w:rFonts w:hint="default" w:ascii="黑体" w:hAnsi="黑体" w:eastAsia="黑体" w:cs="黑体"/>
          <w:sz w:val="36"/>
          <w:szCs w:val="48"/>
          <w:lang w:val="en-US" w:eastAsia="zh-CN"/>
        </w:rPr>
      </w:pPr>
      <w:bookmarkStart w:id="99" w:name="_Toc5801"/>
      <w:r>
        <w:rPr>
          <w:rFonts w:hint="eastAsia" w:ascii="黑体" w:hAnsi="黑体" w:eastAsia="黑体" w:cs="黑体"/>
          <w:sz w:val="36"/>
          <w:szCs w:val="48"/>
          <w:lang w:val="en-US" w:eastAsia="zh-CN"/>
        </w:rPr>
        <w:t>第</w:t>
      </w:r>
      <w:r>
        <w:rPr>
          <w:rFonts w:hint="eastAsia" w:ascii="黑体" w:hAnsi="黑体" w:cs="黑体"/>
          <w:sz w:val="36"/>
          <w:szCs w:val="48"/>
          <w:lang w:val="en-US" w:eastAsia="zh-CN"/>
        </w:rPr>
        <w:t>十五</w:t>
      </w:r>
      <w:r>
        <w:rPr>
          <w:rFonts w:hint="eastAsia" w:ascii="黑体" w:hAnsi="黑体" w:eastAsia="黑体" w:cs="黑体"/>
          <w:sz w:val="36"/>
          <w:szCs w:val="48"/>
          <w:lang w:val="en-US" w:eastAsia="zh-CN"/>
        </w:rPr>
        <w:t xml:space="preserve">章  </w:t>
      </w:r>
      <w:r>
        <w:rPr>
          <w:rFonts w:hint="eastAsia" w:ascii="黑体" w:hAnsi="黑体" w:cs="黑体"/>
          <w:sz w:val="36"/>
          <w:szCs w:val="48"/>
          <w:lang w:val="en-US" w:eastAsia="zh-CN"/>
        </w:rPr>
        <w:t>加强规划实施保障</w:t>
      </w:r>
      <w:bookmarkEnd w:id="99"/>
    </w:p>
    <w:p w14:paraId="00A7CFF7">
      <w:pPr>
        <w:bidi w:val="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规划实施保障体系的核心在于“以制度创新激活要素潜能、以数字治理穿透执行堵点”，通过链长制打破部门藩篱、通过场景化招商替代传统补贴、通过民情指数倒逼服务提质，最终实现“规划图—施工图—实景图”的无损转化。</w:t>
      </w:r>
    </w:p>
    <w:p w14:paraId="74BF28F7">
      <w:pPr>
        <w:pStyle w:val="3"/>
        <w:keepNext w:val="0"/>
        <w:keepLines w:val="0"/>
        <w:widowControl/>
        <w:numPr>
          <w:ilvl w:val="0"/>
          <w:numId w:val="0"/>
        </w:numPr>
        <w:spacing w:line="240" w:lineRule="auto"/>
        <w:ind w:left="0" w:leftChars="0" w:firstLine="0" w:firstLineChars="0"/>
        <w:jc w:val="center"/>
        <w:rPr>
          <w:rFonts w:hint="eastAsia" w:ascii="Times New Roman" w:hAnsi="Times New Roman" w:eastAsia="楷体_GB2312" w:cs="楷体_GB2312"/>
          <w:lang w:val="en-US" w:eastAsia="zh-CN"/>
        </w:rPr>
      </w:pPr>
      <w:bookmarkStart w:id="100" w:name="_Toc32688"/>
      <w:r>
        <w:rPr>
          <w:rFonts w:hint="eastAsia" w:ascii="Times New Roman" w:hAnsi="Times New Roman" w:eastAsia="楷体_GB2312" w:cs="楷体_GB2312"/>
          <w:b/>
          <w:bCs/>
          <w:kern w:val="0"/>
          <w:sz w:val="32"/>
          <w:szCs w:val="32"/>
          <w:lang w:val="en-US" w:eastAsia="zh-CN" w:bidi="ar-SA"/>
        </w:rPr>
        <w:t>第一节</w:t>
      </w:r>
      <w:r>
        <w:rPr>
          <w:rFonts w:hint="eastAsia" w:ascii="Times New Roman" w:hAnsi="Times New Roman" w:cs="楷体_GB2312"/>
          <w:b/>
          <w:bCs/>
          <w:kern w:val="0"/>
          <w:sz w:val="32"/>
          <w:szCs w:val="32"/>
          <w:lang w:val="en-US" w:eastAsia="zh-CN" w:bidi="ar-SA"/>
        </w:rPr>
        <w:t xml:space="preserve">  </w:t>
      </w:r>
      <w:r>
        <w:rPr>
          <w:rFonts w:hint="eastAsia" w:ascii="Times New Roman" w:hAnsi="Times New Roman" w:eastAsia="楷体_GB2312" w:cs="楷体_GB2312"/>
          <w:lang w:val="en-US" w:eastAsia="zh-CN"/>
        </w:rPr>
        <w:t>坚持和加强党的全面领导</w:t>
      </w:r>
      <w:bookmarkEnd w:id="100"/>
    </w:p>
    <w:p w14:paraId="1E1D438A">
      <w:pPr>
        <w:bidi w:val="0"/>
        <w:rPr>
          <w:rFonts w:hint="default"/>
          <w:lang w:val="en-US" w:eastAsia="zh-CN"/>
        </w:rPr>
      </w:pPr>
      <w:r>
        <w:rPr>
          <w:rFonts w:hint="default"/>
          <w:lang w:val="en-US" w:eastAsia="zh-CN"/>
        </w:rPr>
        <w:t>坚决维护以习近平同志为核心的党中央权威和集中统一领导，充分发挥各级党组织作用，运用好领导责任、工作推进、督导检查、考核评价工作落实机制，确保习近平总书记重要讲话重要指示精神、党中央决策部署和省委、佳木斯市委工作要求落地见效。发展党内民主，健全和落实民主集中制，坚持科学决策、民主决策、依法决策。坚持正确用人导向，把政治标准放在首位，突出实干实绩，树立和践行正确政绩观，完善干部考核评价机制，调整不胜任现职干部，推进领导干部能上能下常态化。深化干部能力作风建设，锤炼扎扎实实、踏踏实实、求真务实优良作风，强化教育培训和实践锻炼，加快建设年轻化专业化高素质干部队伍。坚持严管与厚爱相结合、激励与约束并重，加大治庸治懒力度，完善干部担当作为激励和保护机制，惩治诬告陷害行为，积极为敢担当、善作为的干部容错纠错、澄清正名，激发干部内生动力和整体活力。统筹推进各领域基层党组织建设，发挥党员先锋模范作用，提高党的组织和工作覆盖，深入推进抓党建促乡村振兴，做细做实党建引领基层治理，扎实推进产业链党建工作，推动机关党建与业务工作深度融合，增强党组织政治功能和组织功能。</w:t>
      </w:r>
    </w:p>
    <w:p w14:paraId="4CAC85CC">
      <w:pPr>
        <w:bidi w:val="0"/>
        <w:rPr>
          <w:rFonts w:hint="default"/>
          <w:lang w:val="en-US" w:eastAsia="zh-CN"/>
        </w:rPr>
      </w:pPr>
      <w:r>
        <w:rPr>
          <w:rFonts w:hint="eastAsia" w:ascii="仿宋_GB2312" w:hAnsi="仿宋_GB2312" w:cs="仿宋_GB2312"/>
          <w:b w:val="0"/>
          <w:bCs w:val="0"/>
          <w:lang w:eastAsia="zh-CN"/>
        </w:rPr>
        <w:t>持之以恒推进全面从严治党</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lang w:val="en-US" w:eastAsia="zh-CN"/>
        </w:rPr>
        <w:t>坚持用改革精神和严的标准管党治党，推进理念思路创新、实践举措创新、制度机制创新，</w:t>
      </w:r>
      <w:r>
        <w:rPr>
          <w:rFonts w:hint="eastAsia" w:ascii="仿宋_GB2312" w:hAnsi="仿宋_GB2312" w:cs="仿宋_GB2312"/>
          <w:lang w:val="en-US" w:eastAsia="zh-CN"/>
        </w:rPr>
        <w:t>健全全面从严治党体系</w:t>
      </w:r>
      <w:r>
        <w:rPr>
          <w:rFonts w:hint="eastAsia" w:ascii="仿宋_GB2312" w:hAnsi="仿宋_GB2312" w:eastAsia="仿宋_GB2312" w:cs="仿宋_GB2312"/>
          <w:lang w:val="en-US" w:eastAsia="zh-CN"/>
        </w:rPr>
        <w:t>、教育体系、监管体系、制度体系、责任体系。推进政治监督具体化、精准化、常态化，深化政治巡察，增强对“一把手”和领导班子监督实效。锲而不舍落实中央八项规定精神，持续纠治形式主义、官僚主义，坚决破除特权思想和特权行为，狠刹各种作风顽疾，持续深化拓展整治形式主义为基层减负。坚决打好反腐败斗争攻坚战、持久战、总体战，深化整治权力集中、资金密集、资源富集领域腐败，持续深化整治群众身边不正之风和腐败问题，健全风腐同查同治机制，做实以案促改、以案促治，强化对权力配置、运行的规范和监督，加强新时代廉洁文化建设，一体推进不敢腐、不能腐、不想腐，营造风清气正的政治生态。</w:t>
      </w:r>
    </w:p>
    <w:p w14:paraId="3D703C7C">
      <w:pPr>
        <w:pStyle w:val="3"/>
        <w:keepNext w:val="0"/>
        <w:keepLines w:val="0"/>
        <w:widowControl/>
        <w:spacing w:line="240" w:lineRule="auto"/>
        <w:ind w:left="0" w:leftChars="0" w:firstLine="0" w:firstLineChars="0"/>
        <w:jc w:val="center"/>
        <w:rPr>
          <w:rFonts w:hint="default" w:ascii="Times New Roman" w:hAnsi="Times New Roman" w:eastAsia="楷体_GB2312" w:cs="楷体_GB2312"/>
          <w:lang w:val="en-US" w:eastAsia="zh-CN"/>
        </w:rPr>
      </w:pPr>
      <w:bookmarkStart w:id="101" w:name="_Toc18537"/>
      <w:r>
        <w:rPr>
          <w:rFonts w:hint="eastAsia" w:ascii="Times New Roman" w:hAnsi="Times New Roman" w:eastAsia="楷体_GB2312" w:cs="楷体_GB2312"/>
          <w:lang w:val="en-US" w:eastAsia="zh-CN"/>
        </w:rPr>
        <w:t>第二节  以制度创新激活要素潜能</w:t>
      </w:r>
      <w:bookmarkEnd w:id="101"/>
    </w:p>
    <w:p w14:paraId="3398391A">
      <w:pPr>
        <w:bidi w:val="0"/>
        <w:rPr>
          <w:rFonts w:hint="eastAsia" w:ascii="仿宋_GB2312" w:hAnsi="仿宋_GB2312" w:eastAsia="仿宋_GB2312" w:cs="仿宋_GB2312"/>
          <w:lang w:val="en-US" w:eastAsia="zh-CN"/>
        </w:rPr>
      </w:pPr>
      <w:r>
        <w:rPr>
          <w:rFonts w:hint="eastAsia" w:ascii="仿宋_GB2312" w:hAnsi="仿宋_GB2312" w:eastAsia="仿宋_GB2312" w:cs="仿宋_GB2312"/>
          <w:b/>
          <w:bCs/>
          <w:lang w:val="en-US" w:eastAsia="zh-CN"/>
        </w:rPr>
        <w:t>创新产业扶持政策。</w:t>
      </w:r>
      <w:r>
        <w:rPr>
          <w:rFonts w:hint="eastAsia" w:ascii="仿宋_GB2312" w:hAnsi="仿宋_GB2312" w:eastAsia="仿宋_GB2312" w:cs="仿宋_GB2312"/>
          <w:lang w:val="en-US" w:eastAsia="zh-CN"/>
        </w:rPr>
        <w:t>推动产业政策从“大水漫灌”转向精准滴灌式扶持，通过全生命周期支持培育新质生产力，重点聚焦产业链薄弱环节与新兴产业赛道。系统性推进应用场景创新，围绕生物经济、智能农机等领域释放机会清单，创新“贷担联动”机制，强化产业基金与金融赋能，建立“产业链促进税收增收激励机制”。</w:t>
      </w:r>
    </w:p>
    <w:p w14:paraId="39215F9C">
      <w:pPr>
        <w:bidi w:val="0"/>
        <w:rPr>
          <w:rFonts w:hint="eastAsia" w:ascii="仿宋_GB2312" w:hAnsi="仿宋_GB2312" w:eastAsia="仿宋_GB2312" w:cs="仿宋_GB2312"/>
          <w:lang w:val="en-US" w:eastAsia="zh-CN"/>
        </w:rPr>
      </w:pPr>
      <w:r>
        <w:rPr>
          <w:rFonts w:hint="eastAsia" w:ascii="仿宋_GB2312" w:hAnsi="仿宋_GB2312" w:eastAsia="仿宋_GB2312" w:cs="仿宋_GB2312"/>
          <w:b/>
          <w:bCs/>
          <w:lang w:val="en-US" w:eastAsia="zh-CN"/>
        </w:rPr>
        <w:t>强化土地要素配置。</w:t>
      </w:r>
      <w:r>
        <w:rPr>
          <w:rFonts w:hint="eastAsia" w:ascii="仿宋_GB2312" w:hAnsi="仿宋_GB2312" w:eastAsia="仿宋_GB2312" w:cs="仿宋_GB2312"/>
          <w:lang w:val="en-US" w:eastAsia="zh-CN"/>
        </w:rPr>
        <w:t>面对建设用地紧缺等问题，强化集约利用与定向供应，通过差异化土地供应与存量空间再造提升资源配置效率，支撑产业空间拓展与城市功能升级。探索“土地全生命周期管理”，结合项目需求优化供地流程（如“拿地即开工”模式），提升土地利用效率。</w:t>
      </w:r>
      <w:r>
        <w:rPr>
          <w:rFonts w:hint="eastAsia" w:ascii="仿宋_GB2312" w:hAnsi="仿宋_GB2312" w:cs="仿宋_GB2312"/>
          <w:lang w:val="en-US" w:eastAsia="zh-CN"/>
        </w:rPr>
        <w:t>探索</w:t>
      </w:r>
      <w:r>
        <w:rPr>
          <w:rFonts w:hint="eastAsia" w:ascii="仿宋_GB2312" w:hAnsi="仿宋_GB2312" w:eastAsia="仿宋_GB2312" w:cs="仿宋_GB2312"/>
          <w:lang w:val="en-US" w:eastAsia="zh-CN"/>
        </w:rPr>
        <w:t>村级集体建设用地以作价入股</w:t>
      </w:r>
      <w:r>
        <w:rPr>
          <w:rFonts w:hint="eastAsia" w:ascii="仿宋_GB2312" w:hAnsi="仿宋_GB2312" w:cs="仿宋_GB2312"/>
          <w:lang w:val="en-US" w:eastAsia="zh-CN"/>
        </w:rPr>
        <w:t>开发园区新模式</w:t>
      </w:r>
      <w:r>
        <w:rPr>
          <w:rFonts w:hint="eastAsia" w:ascii="仿宋_GB2312" w:hAnsi="仿宋_GB2312" w:eastAsia="仿宋_GB2312" w:cs="仿宋_GB2312"/>
          <w:lang w:val="en-US" w:eastAsia="zh-CN"/>
        </w:rPr>
        <w:t>，</w:t>
      </w:r>
      <w:r>
        <w:rPr>
          <w:rFonts w:hint="eastAsia" w:ascii="仿宋_GB2312" w:hAnsi="仿宋_GB2312" w:cs="仿宋_GB2312"/>
          <w:lang w:val="en-US" w:eastAsia="zh-CN"/>
        </w:rPr>
        <w:t>推动资源变资产、农民变股东，共享发展红利。</w:t>
      </w:r>
    </w:p>
    <w:p w14:paraId="1D5AC80B">
      <w:pPr>
        <w:bidi w:val="0"/>
        <w:rPr>
          <w:rFonts w:hint="eastAsia" w:ascii="仿宋_GB2312" w:hAnsi="仿宋_GB2312" w:eastAsia="仿宋_GB2312" w:cs="仿宋_GB2312"/>
        </w:rPr>
      </w:pPr>
      <w:r>
        <w:rPr>
          <w:rFonts w:hint="eastAsia" w:ascii="仿宋_GB2312" w:hAnsi="仿宋_GB2312" w:eastAsia="仿宋_GB2312" w:cs="仿宋_GB2312"/>
          <w:b/>
          <w:bCs/>
          <w:lang w:val="en-US" w:eastAsia="zh-CN"/>
        </w:rPr>
        <w:t>全方位培养引进用好人才。</w:t>
      </w:r>
      <w:r>
        <w:rPr>
          <w:rFonts w:hint="eastAsia" w:ascii="仿宋_GB2312" w:hAnsi="仿宋_GB2312" w:eastAsia="仿宋_GB2312" w:cs="仿宋_GB2312"/>
          <w:lang w:val="en-US" w:eastAsia="zh-CN"/>
        </w:rPr>
        <w:t>人才是创新第一资源，以“人赴锦城”行动为载体，通过靶向引才与平台赋能构建产学研用融合生态，推动人才集聚与产业升级深度融合。聚焦现代农业、生物经济、绿色食品精深加工等重点领域，积极引进高层次急需紧缺人才和优秀青年人才，强化人才链与产业链协同发展。深入实施本土人才素质提升工程，围绕党政人才、专业技术人才、高技能人才和农村实用人才开展分层分类系统培训，构建结构合理的本土人才梯队。完善人才服务保障体系，持续扩大人才公寓、人才周转房建设力度，满足不同层次人才需求，设立“人才服务专窗”，推行“一站式”办理机制，妥善解决子女入学、医疗保障、配偶安置等实际需求。深化落实党委联系服务专家制度，畅通人才诉求表达渠道，营造尊重人才、关爱人才的良好氛围，让人</w:t>
      </w:r>
      <w:r>
        <w:rPr>
          <w:rFonts w:hint="eastAsia" w:ascii="仿宋_GB2312" w:hAnsi="仿宋_GB2312" w:eastAsia="仿宋_GB2312" w:cs="仿宋_GB2312"/>
        </w:rPr>
        <w:t>才在富锦顺心工作、安心发展、舒心生活。</w:t>
      </w:r>
    </w:p>
    <w:p w14:paraId="71C5EFD9">
      <w:pPr>
        <w:bidi w:val="0"/>
        <w:rPr>
          <w:rFonts w:hint="eastAsia" w:ascii="仿宋_GB2312" w:hAnsi="仿宋_GB2312" w:eastAsia="仿宋_GB2312" w:cs="仿宋_GB2312"/>
          <w:lang w:val="en-US" w:eastAsia="zh-CN"/>
        </w:rPr>
      </w:pPr>
      <w:r>
        <w:rPr>
          <w:rFonts w:hint="eastAsia" w:ascii="仿宋_GB2312" w:hAnsi="仿宋_GB2312" w:eastAsia="仿宋_GB2312" w:cs="仿宋_GB2312"/>
          <w:b/>
          <w:bCs/>
          <w:lang w:val="en-US" w:eastAsia="zh-CN"/>
        </w:rPr>
        <w:t>积极争取上级政策支持。</w:t>
      </w:r>
      <w:r>
        <w:rPr>
          <w:rFonts w:hint="eastAsia" w:ascii="仿宋_GB2312" w:hAnsi="仿宋_GB2312" w:eastAsia="仿宋_GB2312" w:cs="仿宋_GB2312"/>
          <w:lang w:val="en-US" w:eastAsia="zh-CN"/>
        </w:rPr>
        <w:t>在“十五五”规划编制和实施中，主动对接国家粮食安全、乡村振兴战略，积极争取政策红利</w:t>
      </w:r>
      <w:r>
        <w:rPr>
          <w:rFonts w:hint="eastAsia" w:ascii="仿宋_GB2312" w:hAnsi="仿宋_GB2312" w:cs="仿宋_GB2312"/>
          <w:lang w:val="en-US" w:eastAsia="zh-CN"/>
        </w:rPr>
        <w:t>。</w:t>
      </w:r>
      <w:r>
        <w:rPr>
          <w:rFonts w:hint="eastAsia" w:ascii="仿宋_GB2312" w:hAnsi="仿宋_GB2312" w:eastAsia="仿宋_GB2312" w:cs="仿宋_GB2312"/>
          <w:lang w:val="en-US" w:eastAsia="zh-CN"/>
        </w:rPr>
        <w:t>紧盯中央预算内投资、专项债等窗口期，提前储备风电改造、农业平台等项目</w:t>
      </w:r>
      <w:r>
        <w:rPr>
          <w:rFonts w:hint="eastAsia" w:ascii="仿宋_GB2312" w:hAnsi="仿宋_GB2312" w:cs="仿宋_GB2312"/>
          <w:lang w:val="en-US" w:eastAsia="zh-CN"/>
        </w:rPr>
        <w:t>。</w:t>
      </w:r>
      <w:r>
        <w:rPr>
          <w:rFonts w:hint="eastAsia" w:ascii="仿宋_GB2312" w:hAnsi="仿宋_GB2312" w:eastAsia="仿宋_GB2312" w:cs="仿宋_GB2312"/>
          <w:lang w:val="en-US" w:eastAsia="zh-CN"/>
        </w:rPr>
        <w:t>设立“对俄合作政策试验区”，试行俄罗斯农产品跨境加工“白名单”制度，缩短检疫通关时间</w:t>
      </w:r>
      <w:r>
        <w:rPr>
          <w:rFonts w:hint="eastAsia" w:ascii="仿宋_GB2312" w:hAnsi="仿宋_GB2312" w:cs="仿宋_GB2312"/>
          <w:lang w:val="en-US" w:eastAsia="zh-CN"/>
        </w:rPr>
        <w:t>。</w:t>
      </w:r>
      <w:r>
        <w:rPr>
          <w:rFonts w:hint="eastAsia" w:ascii="仿宋_GB2312" w:hAnsi="仿宋_GB2312" w:eastAsia="仿宋_GB2312" w:cs="仿宋_GB2312"/>
          <w:lang w:val="en-US" w:eastAsia="zh-CN"/>
        </w:rPr>
        <w:t>争取黑土地保护补偿、粮食金融化（仓单质押）等省级改革授权，形成“富锦样板”。</w:t>
      </w:r>
    </w:p>
    <w:p w14:paraId="0538ECF2">
      <w:pPr>
        <w:pStyle w:val="8"/>
        <w:keepNext/>
        <w:keepLines w:val="0"/>
        <w:pageBreakBefore w:val="0"/>
        <w:widowControl w:val="0"/>
        <w:kinsoku/>
        <w:wordWrap/>
        <w:overflowPunct/>
        <w:topLinePunct w:val="0"/>
        <w:autoSpaceDE/>
        <w:autoSpaceDN/>
        <w:bidi w:val="0"/>
        <w:adjustRightInd/>
        <w:snapToGrid/>
        <w:spacing w:after="120" w:line="240" w:lineRule="auto"/>
        <w:ind w:left="0" w:leftChars="0" w:firstLine="0" w:firstLineChars="0"/>
        <w:jc w:val="center"/>
        <w:textAlignment w:val="auto"/>
        <w:rPr>
          <w:rFonts w:hint="default" w:ascii="黑体" w:hAnsi="黑体" w:eastAsia="黑体" w:cs="黑体"/>
          <w:sz w:val="24"/>
          <w:szCs w:val="24"/>
          <w:lang w:val="en-US" w:eastAsia="zh-CN"/>
        </w:rPr>
      </w:pPr>
      <w:r>
        <w:rPr>
          <w:rFonts w:hint="eastAsia" w:ascii="黑体" w:hAnsi="黑体" w:eastAsia="黑体" w:cs="黑体"/>
          <w:sz w:val="24"/>
          <w:szCs w:val="24"/>
          <w:lang w:val="en-US" w:eastAsia="zh-CN"/>
        </w:rPr>
        <w:t>表2 富锦市“十五五”试点示范项目创建表</w:t>
      </w:r>
    </w:p>
    <w:tbl>
      <w:tblPr>
        <w:tblStyle w:val="20"/>
        <w:tblW w:w="96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64"/>
        <w:gridCol w:w="1236"/>
        <w:gridCol w:w="1236"/>
        <w:gridCol w:w="2476"/>
        <w:gridCol w:w="1606"/>
        <w:gridCol w:w="1756"/>
      </w:tblGrid>
      <w:tr w14:paraId="5750C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blHeader/>
          <w:jc w:val="center"/>
        </w:trPr>
        <w:tc>
          <w:tcPr>
            <w:tcW w:w="1364" w:type="dxa"/>
            <w:shd w:val="clear" w:color="auto" w:fill="DBE3F4" w:themeFill="accent1" w:themeFillTint="32"/>
            <w:vAlign w:val="center"/>
          </w:tcPr>
          <w:p w14:paraId="3A8FD0EC">
            <w:pPr>
              <w:pStyle w:val="8"/>
              <w:keepNext/>
              <w:keepLines w:val="0"/>
              <w:pageBreakBefore w:val="0"/>
              <w:widowControl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hint="eastAsia" w:ascii="仿宋" w:hAnsi="仿宋" w:eastAsia="仿宋" w:cs="仿宋"/>
                <w:b/>
                <w:bCs/>
                <w:sz w:val="15"/>
                <w:szCs w:val="15"/>
                <w:vertAlign w:val="baseline"/>
                <w:lang w:val="en-US" w:eastAsia="zh-CN"/>
              </w:rPr>
            </w:pPr>
            <w:r>
              <w:rPr>
                <w:rFonts w:hint="eastAsia" w:ascii="仿宋" w:hAnsi="仿宋" w:eastAsia="仿宋" w:cs="仿宋"/>
                <w:b/>
                <w:bCs/>
                <w:sz w:val="15"/>
                <w:szCs w:val="15"/>
                <w:vertAlign w:val="baseline"/>
                <w:lang w:val="en-US" w:eastAsia="zh-CN"/>
              </w:rPr>
              <w:t>项目名称</w:t>
            </w:r>
          </w:p>
        </w:tc>
        <w:tc>
          <w:tcPr>
            <w:tcW w:w="1236" w:type="dxa"/>
            <w:shd w:val="clear" w:color="auto" w:fill="DBE3F4" w:themeFill="accent1" w:themeFillTint="32"/>
            <w:vAlign w:val="center"/>
          </w:tcPr>
          <w:p w14:paraId="11DD8CAD">
            <w:pPr>
              <w:pStyle w:val="8"/>
              <w:keepNext/>
              <w:keepLines w:val="0"/>
              <w:pageBreakBefore w:val="0"/>
              <w:widowControl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hint="eastAsia" w:ascii="仿宋" w:hAnsi="仿宋" w:eastAsia="仿宋" w:cs="仿宋"/>
                <w:b/>
                <w:bCs/>
                <w:sz w:val="15"/>
                <w:szCs w:val="15"/>
                <w:vertAlign w:val="baseline"/>
                <w:lang w:val="en-US" w:eastAsia="zh-CN"/>
              </w:rPr>
            </w:pPr>
            <w:r>
              <w:rPr>
                <w:rFonts w:hint="eastAsia" w:ascii="仿宋" w:hAnsi="仿宋" w:eastAsia="仿宋" w:cs="仿宋"/>
                <w:b/>
                <w:bCs/>
                <w:sz w:val="15"/>
                <w:szCs w:val="15"/>
                <w:vertAlign w:val="baseline"/>
                <w:lang w:val="en-US" w:eastAsia="zh-CN"/>
              </w:rPr>
              <w:t>所属领域</w:t>
            </w:r>
          </w:p>
        </w:tc>
        <w:tc>
          <w:tcPr>
            <w:tcW w:w="1236" w:type="dxa"/>
            <w:shd w:val="clear" w:color="auto" w:fill="DBE3F4" w:themeFill="accent1" w:themeFillTint="32"/>
            <w:vAlign w:val="center"/>
          </w:tcPr>
          <w:p w14:paraId="77B736E0">
            <w:pPr>
              <w:pStyle w:val="8"/>
              <w:keepNext/>
              <w:keepLines w:val="0"/>
              <w:pageBreakBefore w:val="0"/>
              <w:widowControl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hint="eastAsia" w:ascii="仿宋" w:hAnsi="仿宋" w:eastAsia="仿宋" w:cs="仿宋"/>
                <w:b/>
                <w:bCs/>
                <w:sz w:val="15"/>
                <w:szCs w:val="15"/>
                <w:vertAlign w:val="baseline"/>
                <w:lang w:val="en-US" w:eastAsia="zh-CN"/>
              </w:rPr>
            </w:pPr>
            <w:r>
              <w:rPr>
                <w:rFonts w:hint="eastAsia" w:ascii="仿宋" w:hAnsi="仿宋" w:eastAsia="仿宋" w:cs="仿宋"/>
                <w:b/>
                <w:bCs/>
                <w:sz w:val="15"/>
                <w:szCs w:val="15"/>
                <w:vertAlign w:val="baseline"/>
                <w:lang w:val="en-US" w:eastAsia="zh-CN"/>
              </w:rPr>
              <w:t>申报层级</w:t>
            </w:r>
          </w:p>
        </w:tc>
        <w:tc>
          <w:tcPr>
            <w:tcW w:w="2476" w:type="dxa"/>
            <w:shd w:val="clear" w:color="auto" w:fill="DBE3F4" w:themeFill="accent1" w:themeFillTint="32"/>
            <w:vAlign w:val="center"/>
          </w:tcPr>
          <w:p w14:paraId="6130F4E4">
            <w:pPr>
              <w:pStyle w:val="8"/>
              <w:keepNext/>
              <w:keepLines w:val="0"/>
              <w:pageBreakBefore w:val="0"/>
              <w:widowControl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hint="eastAsia" w:ascii="仿宋" w:hAnsi="仿宋" w:eastAsia="仿宋" w:cs="仿宋"/>
                <w:b/>
                <w:bCs/>
                <w:sz w:val="15"/>
                <w:szCs w:val="15"/>
                <w:vertAlign w:val="baseline"/>
                <w:lang w:val="en-US" w:eastAsia="zh-CN"/>
              </w:rPr>
            </w:pPr>
            <w:r>
              <w:rPr>
                <w:rFonts w:hint="eastAsia" w:ascii="仿宋" w:hAnsi="仿宋" w:eastAsia="仿宋" w:cs="仿宋"/>
                <w:b/>
                <w:bCs/>
                <w:sz w:val="15"/>
                <w:szCs w:val="15"/>
                <w:vertAlign w:val="baseline"/>
                <w:lang w:val="en-US" w:eastAsia="zh-CN"/>
              </w:rPr>
              <w:t>建设内容与规模</w:t>
            </w:r>
          </w:p>
        </w:tc>
        <w:tc>
          <w:tcPr>
            <w:tcW w:w="1606" w:type="dxa"/>
            <w:shd w:val="clear" w:color="auto" w:fill="DBE3F4" w:themeFill="accent1" w:themeFillTint="32"/>
            <w:vAlign w:val="center"/>
          </w:tcPr>
          <w:p w14:paraId="6B916731">
            <w:pPr>
              <w:pStyle w:val="8"/>
              <w:keepNext/>
              <w:keepLines w:val="0"/>
              <w:pageBreakBefore w:val="0"/>
              <w:widowControl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hint="eastAsia" w:ascii="仿宋" w:hAnsi="仿宋" w:eastAsia="仿宋" w:cs="仿宋"/>
                <w:b/>
                <w:bCs/>
                <w:sz w:val="15"/>
                <w:szCs w:val="15"/>
                <w:vertAlign w:val="baseline"/>
                <w:lang w:val="en-US" w:eastAsia="zh-CN"/>
              </w:rPr>
            </w:pPr>
            <w:r>
              <w:rPr>
                <w:rFonts w:hint="eastAsia" w:ascii="仿宋" w:hAnsi="仿宋" w:eastAsia="仿宋" w:cs="仿宋"/>
                <w:b/>
                <w:bCs/>
                <w:sz w:val="15"/>
                <w:szCs w:val="15"/>
                <w:vertAlign w:val="baseline"/>
                <w:lang w:val="en-US" w:eastAsia="zh-CN"/>
              </w:rPr>
              <w:t>政策依据</w:t>
            </w:r>
          </w:p>
        </w:tc>
        <w:tc>
          <w:tcPr>
            <w:tcW w:w="1756" w:type="dxa"/>
            <w:shd w:val="clear" w:color="auto" w:fill="DBE3F4" w:themeFill="accent1" w:themeFillTint="32"/>
            <w:vAlign w:val="center"/>
          </w:tcPr>
          <w:p w14:paraId="3A3FFB4D">
            <w:pPr>
              <w:pStyle w:val="8"/>
              <w:keepNext/>
              <w:keepLines w:val="0"/>
              <w:pageBreakBefore w:val="0"/>
              <w:widowControl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hint="eastAsia" w:ascii="仿宋" w:hAnsi="仿宋" w:eastAsia="仿宋" w:cs="仿宋"/>
                <w:b/>
                <w:bCs/>
                <w:sz w:val="15"/>
                <w:szCs w:val="15"/>
                <w:vertAlign w:val="baseline"/>
                <w:lang w:val="en-US" w:eastAsia="zh-CN"/>
              </w:rPr>
            </w:pPr>
            <w:r>
              <w:rPr>
                <w:rFonts w:hint="eastAsia" w:ascii="仿宋" w:hAnsi="仿宋" w:eastAsia="仿宋" w:cs="仿宋"/>
                <w:b/>
                <w:bCs/>
                <w:sz w:val="15"/>
                <w:szCs w:val="15"/>
                <w:vertAlign w:val="baseline"/>
                <w:lang w:val="en-US" w:eastAsia="zh-CN"/>
              </w:rPr>
              <w:t>预期目标</w:t>
            </w:r>
          </w:p>
        </w:tc>
      </w:tr>
      <w:tr w14:paraId="56D50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64" w:type="dxa"/>
            <w:vAlign w:val="center"/>
          </w:tcPr>
          <w:p w14:paraId="51A6CC28">
            <w:pPr>
              <w:pStyle w:val="16"/>
              <w:keepNext/>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left="0" w:leftChars="0" w:right="0" w:rightChars="0" w:firstLine="0" w:firstLineChars="0"/>
              <w:jc w:val="left"/>
              <w:textAlignment w:val="auto"/>
              <w:rPr>
                <w:rFonts w:hint="eastAsia" w:ascii="仿宋" w:hAnsi="仿宋" w:eastAsia="仿宋" w:cs="仿宋"/>
                <w:sz w:val="15"/>
                <w:szCs w:val="15"/>
              </w:rPr>
            </w:pPr>
            <w:r>
              <w:rPr>
                <w:rFonts w:hint="eastAsia" w:ascii="仿宋" w:hAnsi="仿宋" w:eastAsia="仿宋" w:cs="仿宋"/>
                <w:color w:val="000000"/>
                <w:sz w:val="15"/>
                <w:szCs w:val="15"/>
              </w:rPr>
              <w:t>国家黑土地保护</w:t>
            </w:r>
          </w:p>
          <w:p w14:paraId="53B54B3E">
            <w:pPr>
              <w:pStyle w:val="16"/>
              <w:keepNext/>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left="0" w:leftChars="0" w:right="0" w:rightChars="0" w:firstLine="0" w:firstLineChars="0"/>
              <w:jc w:val="left"/>
              <w:textAlignment w:val="auto"/>
              <w:rPr>
                <w:rFonts w:hint="eastAsia" w:ascii="仿宋" w:hAnsi="仿宋" w:eastAsia="仿宋" w:cs="仿宋"/>
                <w:sz w:val="15"/>
                <w:szCs w:val="15"/>
                <w:vertAlign w:val="baseline"/>
                <w:lang w:val="en-US" w:eastAsia="zh-CN"/>
              </w:rPr>
            </w:pPr>
            <w:r>
              <w:rPr>
                <w:rFonts w:hint="eastAsia" w:ascii="仿宋" w:hAnsi="仿宋" w:eastAsia="仿宋" w:cs="仿宋"/>
                <w:color w:val="000000"/>
                <w:sz w:val="15"/>
                <w:szCs w:val="15"/>
              </w:rPr>
              <w:t>与利用示范基地</w:t>
            </w:r>
          </w:p>
        </w:tc>
        <w:tc>
          <w:tcPr>
            <w:tcW w:w="1236" w:type="dxa"/>
            <w:vAlign w:val="center"/>
          </w:tcPr>
          <w:p w14:paraId="23106E90">
            <w:pPr>
              <w:pStyle w:val="16"/>
              <w:keepNext/>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left="0" w:leftChars="0" w:right="0" w:rightChars="0" w:firstLine="0" w:firstLineChars="0"/>
              <w:jc w:val="left"/>
              <w:textAlignment w:val="auto"/>
              <w:rPr>
                <w:rFonts w:hint="eastAsia" w:ascii="仿宋" w:hAnsi="仿宋" w:eastAsia="仿宋" w:cs="仿宋"/>
                <w:sz w:val="15"/>
                <w:szCs w:val="15"/>
                <w:vertAlign w:val="baseline"/>
                <w:lang w:val="en-US" w:eastAsia="zh-CN"/>
              </w:rPr>
            </w:pPr>
            <w:r>
              <w:rPr>
                <w:rFonts w:hint="eastAsia" w:ascii="仿宋" w:hAnsi="仿宋" w:eastAsia="仿宋" w:cs="仿宋"/>
                <w:color w:val="000000"/>
                <w:sz w:val="15"/>
                <w:szCs w:val="15"/>
              </w:rPr>
              <w:t>农业强国</w:t>
            </w:r>
          </w:p>
        </w:tc>
        <w:tc>
          <w:tcPr>
            <w:tcW w:w="1236" w:type="dxa"/>
            <w:vAlign w:val="center"/>
          </w:tcPr>
          <w:p w14:paraId="2A6E6675">
            <w:pPr>
              <w:pStyle w:val="16"/>
              <w:keepNext/>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left="0" w:leftChars="0" w:right="0" w:rightChars="0" w:firstLine="0" w:firstLineChars="0"/>
              <w:jc w:val="left"/>
              <w:textAlignment w:val="auto"/>
              <w:rPr>
                <w:rFonts w:hint="eastAsia" w:ascii="仿宋" w:hAnsi="仿宋" w:eastAsia="仿宋" w:cs="仿宋"/>
                <w:sz w:val="15"/>
                <w:szCs w:val="15"/>
                <w:vertAlign w:val="baseline"/>
                <w:lang w:val="en-US" w:eastAsia="zh-CN"/>
              </w:rPr>
            </w:pPr>
            <w:r>
              <w:rPr>
                <w:rFonts w:hint="eastAsia" w:ascii="仿宋" w:hAnsi="仿宋" w:eastAsia="仿宋" w:cs="仿宋"/>
                <w:color w:val="000000"/>
                <w:sz w:val="15"/>
                <w:szCs w:val="15"/>
              </w:rPr>
              <w:t>省级→国家级</w:t>
            </w:r>
          </w:p>
        </w:tc>
        <w:tc>
          <w:tcPr>
            <w:tcW w:w="2476" w:type="dxa"/>
            <w:vAlign w:val="center"/>
          </w:tcPr>
          <w:p w14:paraId="4B92D64B">
            <w:pPr>
              <w:pStyle w:val="16"/>
              <w:keepNext/>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left="0" w:leftChars="0" w:right="0" w:rightChars="0" w:firstLine="0" w:firstLineChars="0"/>
              <w:jc w:val="left"/>
              <w:textAlignment w:val="auto"/>
              <w:rPr>
                <w:rFonts w:hint="eastAsia" w:ascii="仿宋" w:hAnsi="仿宋" w:eastAsia="仿宋" w:cs="仿宋"/>
                <w:sz w:val="15"/>
                <w:szCs w:val="15"/>
                <w:vertAlign w:val="baseline"/>
                <w:lang w:val="en-US" w:eastAsia="zh-CN"/>
              </w:rPr>
            </w:pPr>
            <w:r>
              <w:rPr>
                <w:rFonts w:hint="eastAsia" w:ascii="仿宋" w:hAnsi="仿宋" w:eastAsia="仿宋" w:cs="仿宋"/>
                <w:color w:val="000000"/>
                <w:sz w:val="15"/>
                <w:szCs w:val="15"/>
              </w:rPr>
              <w:t>黑土地保护200万亩，侵蚀沟治理50条，种养循环基地10个</w:t>
            </w:r>
          </w:p>
        </w:tc>
        <w:tc>
          <w:tcPr>
            <w:tcW w:w="1606" w:type="dxa"/>
            <w:vAlign w:val="center"/>
          </w:tcPr>
          <w:p w14:paraId="05BA25DB">
            <w:pPr>
              <w:pStyle w:val="16"/>
              <w:keepNext/>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left="0" w:leftChars="0" w:right="0" w:rightChars="0" w:firstLine="0" w:firstLineChars="0"/>
              <w:jc w:val="left"/>
              <w:textAlignment w:val="auto"/>
              <w:rPr>
                <w:rFonts w:hint="eastAsia" w:ascii="仿宋" w:hAnsi="仿宋" w:eastAsia="仿宋" w:cs="仿宋"/>
                <w:sz w:val="15"/>
                <w:szCs w:val="15"/>
                <w:vertAlign w:val="baseline"/>
                <w:lang w:val="en-US" w:eastAsia="zh-CN"/>
              </w:rPr>
            </w:pPr>
            <w:r>
              <w:rPr>
                <w:rFonts w:hint="eastAsia" w:ascii="仿宋" w:hAnsi="仿宋" w:eastAsia="仿宋" w:cs="仿宋"/>
                <w:color w:val="000000"/>
                <w:sz w:val="15"/>
                <w:szCs w:val="15"/>
              </w:rPr>
              <w:t>《国家黑土地保护工程实施方案》</w:t>
            </w:r>
          </w:p>
        </w:tc>
        <w:tc>
          <w:tcPr>
            <w:tcW w:w="1756" w:type="dxa"/>
            <w:vAlign w:val="center"/>
          </w:tcPr>
          <w:p w14:paraId="459D65D7">
            <w:pPr>
              <w:pStyle w:val="16"/>
              <w:keepNext/>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left="0" w:leftChars="0" w:right="0" w:rightChars="0" w:firstLine="0" w:firstLineChars="0"/>
              <w:jc w:val="left"/>
              <w:textAlignment w:val="auto"/>
              <w:rPr>
                <w:rFonts w:hint="eastAsia" w:ascii="仿宋" w:hAnsi="仿宋" w:eastAsia="仿宋" w:cs="仿宋"/>
                <w:sz w:val="15"/>
                <w:szCs w:val="15"/>
                <w:vertAlign w:val="baseline"/>
                <w:lang w:val="en-US" w:eastAsia="zh-CN"/>
              </w:rPr>
            </w:pPr>
            <w:r>
              <w:rPr>
                <w:rFonts w:hint="eastAsia" w:ascii="仿宋" w:hAnsi="仿宋" w:eastAsia="仿宋" w:cs="仿宋"/>
                <w:color w:val="000000"/>
                <w:sz w:val="15"/>
                <w:szCs w:val="15"/>
              </w:rPr>
              <w:t>土壤有机质年提升0.5%，化肥减量25%</w:t>
            </w:r>
          </w:p>
        </w:tc>
      </w:tr>
      <w:tr w14:paraId="189CB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64" w:type="dxa"/>
            <w:vAlign w:val="center"/>
          </w:tcPr>
          <w:p w14:paraId="2FE32013">
            <w:pPr>
              <w:pStyle w:val="16"/>
              <w:keepNext/>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left="0" w:leftChars="0" w:right="0" w:rightChars="0" w:firstLine="0" w:firstLineChars="0"/>
              <w:jc w:val="center"/>
              <w:textAlignment w:val="auto"/>
              <w:rPr>
                <w:rFonts w:hint="eastAsia" w:ascii="仿宋" w:hAnsi="仿宋" w:eastAsia="仿宋" w:cs="仿宋"/>
                <w:sz w:val="15"/>
                <w:szCs w:val="15"/>
                <w:vertAlign w:val="baseline"/>
                <w:lang w:val="en-US" w:eastAsia="zh-CN"/>
              </w:rPr>
            </w:pPr>
            <w:r>
              <w:rPr>
                <w:rFonts w:hint="eastAsia" w:ascii="仿宋" w:hAnsi="仿宋" w:eastAsia="仿宋" w:cs="仿宋"/>
                <w:color w:val="000000"/>
                <w:sz w:val="15"/>
                <w:szCs w:val="15"/>
              </w:rPr>
              <w:t>三产融合示范园</w:t>
            </w:r>
          </w:p>
        </w:tc>
        <w:tc>
          <w:tcPr>
            <w:tcW w:w="1236" w:type="dxa"/>
            <w:vAlign w:val="center"/>
          </w:tcPr>
          <w:p w14:paraId="274760E6">
            <w:pPr>
              <w:pStyle w:val="16"/>
              <w:keepNext/>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left="0" w:leftChars="0" w:right="0" w:rightChars="0" w:firstLine="0" w:firstLineChars="0"/>
              <w:jc w:val="left"/>
              <w:textAlignment w:val="auto"/>
              <w:rPr>
                <w:rFonts w:hint="eastAsia" w:ascii="仿宋" w:hAnsi="仿宋" w:eastAsia="仿宋" w:cs="仿宋"/>
                <w:sz w:val="15"/>
                <w:szCs w:val="15"/>
                <w:vertAlign w:val="baseline"/>
                <w:lang w:val="en-US" w:eastAsia="zh-CN"/>
              </w:rPr>
            </w:pPr>
            <w:r>
              <w:rPr>
                <w:rFonts w:hint="eastAsia" w:ascii="仿宋" w:hAnsi="仿宋" w:eastAsia="仿宋" w:cs="仿宋"/>
                <w:color w:val="000000"/>
                <w:sz w:val="15"/>
                <w:szCs w:val="15"/>
              </w:rPr>
              <w:t>乡村振兴</w:t>
            </w:r>
          </w:p>
        </w:tc>
        <w:tc>
          <w:tcPr>
            <w:tcW w:w="1236" w:type="dxa"/>
            <w:vAlign w:val="center"/>
          </w:tcPr>
          <w:p w14:paraId="786343DD">
            <w:pPr>
              <w:pStyle w:val="16"/>
              <w:keepNext/>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left="0" w:leftChars="0" w:right="0" w:rightChars="0" w:firstLine="0" w:firstLineChars="0"/>
              <w:jc w:val="left"/>
              <w:textAlignment w:val="auto"/>
              <w:rPr>
                <w:rFonts w:hint="eastAsia" w:ascii="仿宋" w:hAnsi="仿宋" w:eastAsia="仿宋" w:cs="仿宋"/>
                <w:sz w:val="15"/>
                <w:szCs w:val="15"/>
                <w:vertAlign w:val="baseline"/>
                <w:lang w:val="en-US" w:eastAsia="zh-CN"/>
              </w:rPr>
            </w:pPr>
            <w:r>
              <w:rPr>
                <w:rFonts w:hint="eastAsia" w:ascii="仿宋" w:hAnsi="仿宋" w:eastAsia="仿宋" w:cs="仿宋"/>
                <w:color w:val="000000"/>
                <w:sz w:val="15"/>
                <w:szCs w:val="15"/>
              </w:rPr>
              <w:t>国家级</w:t>
            </w:r>
          </w:p>
        </w:tc>
        <w:tc>
          <w:tcPr>
            <w:tcW w:w="2476" w:type="dxa"/>
            <w:vAlign w:val="center"/>
          </w:tcPr>
          <w:p w14:paraId="5AAE32C5">
            <w:pPr>
              <w:pStyle w:val="16"/>
              <w:keepNext/>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left="0" w:leftChars="0" w:right="0" w:rightChars="0" w:firstLine="0" w:firstLineChars="0"/>
              <w:jc w:val="left"/>
              <w:textAlignment w:val="auto"/>
              <w:rPr>
                <w:rFonts w:hint="eastAsia" w:ascii="仿宋" w:hAnsi="仿宋" w:eastAsia="仿宋" w:cs="仿宋"/>
                <w:sz w:val="15"/>
                <w:szCs w:val="15"/>
                <w:vertAlign w:val="baseline"/>
                <w:lang w:val="en-US" w:eastAsia="zh-CN"/>
              </w:rPr>
            </w:pPr>
            <w:r>
              <w:rPr>
                <w:rFonts w:hint="eastAsia" w:ascii="仿宋" w:hAnsi="仿宋" w:eastAsia="仿宋" w:cs="仿宋"/>
                <w:color w:val="000000"/>
                <w:sz w:val="15"/>
                <w:szCs w:val="15"/>
              </w:rPr>
              <w:t>稻米加工中心、洪洲村民宿集群（10家）、草编工坊、农产品市集</w:t>
            </w:r>
          </w:p>
        </w:tc>
        <w:tc>
          <w:tcPr>
            <w:tcW w:w="1606" w:type="dxa"/>
            <w:vAlign w:val="center"/>
          </w:tcPr>
          <w:p w14:paraId="535E1822">
            <w:pPr>
              <w:pStyle w:val="16"/>
              <w:keepNext/>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left="0" w:leftChars="0" w:right="0" w:rightChars="0" w:firstLine="0" w:firstLineChars="0"/>
              <w:jc w:val="left"/>
              <w:textAlignment w:val="auto"/>
              <w:rPr>
                <w:rFonts w:hint="eastAsia" w:ascii="仿宋" w:hAnsi="仿宋" w:eastAsia="仿宋" w:cs="仿宋"/>
                <w:sz w:val="15"/>
                <w:szCs w:val="15"/>
                <w:vertAlign w:val="baseline"/>
                <w:lang w:val="en-US" w:eastAsia="zh-CN"/>
              </w:rPr>
            </w:pPr>
            <w:r>
              <w:rPr>
                <w:rFonts w:hint="eastAsia" w:ascii="仿宋" w:hAnsi="仿宋" w:eastAsia="仿宋" w:cs="仿宋"/>
                <w:color w:val="000000"/>
                <w:sz w:val="15"/>
                <w:szCs w:val="15"/>
              </w:rPr>
              <w:t>《关于推动文化产业赋能乡村振兴的意见》</w:t>
            </w:r>
          </w:p>
        </w:tc>
        <w:tc>
          <w:tcPr>
            <w:tcW w:w="1756" w:type="dxa"/>
            <w:vAlign w:val="center"/>
          </w:tcPr>
          <w:p w14:paraId="231BB06D">
            <w:pPr>
              <w:pStyle w:val="16"/>
              <w:keepNext/>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left="0" w:leftChars="0" w:right="0" w:rightChars="0" w:firstLine="0" w:firstLineChars="0"/>
              <w:jc w:val="left"/>
              <w:textAlignment w:val="auto"/>
              <w:rPr>
                <w:rFonts w:hint="eastAsia" w:ascii="仿宋" w:hAnsi="仿宋" w:eastAsia="仿宋" w:cs="仿宋"/>
                <w:sz w:val="15"/>
                <w:szCs w:val="15"/>
                <w:vertAlign w:val="baseline"/>
                <w:lang w:val="en-US" w:eastAsia="zh-CN"/>
              </w:rPr>
            </w:pPr>
            <w:r>
              <w:rPr>
                <w:rFonts w:hint="eastAsia" w:ascii="仿宋" w:hAnsi="仿宋" w:eastAsia="仿宋" w:cs="仿宋"/>
                <w:color w:val="000000"/>
                <w:sz w:val="15"/>
                <w:szCs w:val="15"/>
              </w:rPr>
              <w:t>带动农户500户，户均增收2万元</w:t>
            </w:r>
          </w:p>
        </w:tc>
      </w:tr>
      <w:tr w14:paraId="6CD5F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64" w:type="dxa"/>
            <w:vAlign w:val="center"/>
          </w:tcPr>
          <w:p w14:paraId="4C293CE8">
            <w:pPr>
              <w:pStyle w:val="16"/>
              <w:keepNext/>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left="0" w:leftChars="0" w:right="0" w:rightChars="0" w:firstLine="0" w:firstLineChars="0"/>
              <w:jc w:val="center"/>
              <w:textAlignment w:val="auto"/>
              <w:rPr>
                <w:rFonts w:hint="eastAsia" w:ascii="仿宋" w:hAnsi="仿宋" w:eastAsia="仿宋" w:cs="仿宋"/>
                <w:sz w:val="15"/>
                <w:szCs w:val="15"/>
              </w:rPr>
            </w:pPr>
            <w:r>
              <w:rPr>
                <w:rFonts w:hint="eastAsia" w:ascii="仿宋" w:hAnsi="仿宋" w:eastAsia="仿宋" w:cs="仿宋"/>
                <w:color w:val="000000"/>
                <w:sz w:val="15"/>
                <w:szCs w:val="15"/>
              </w:rPr>
              <w:t>数字乡村全域</w:t>
            </w:r>
          </w:p>
          <w:p w14:paraId="43DA0EF1">
            <w:pPr>
              <w:pStyle w:val="16"/>
              <w:keepNext/>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left="0" w:leftChars="0" w:right="0" w:rightChars="0" w:firstLine="0" w:firstLineChars="0"/>
              <w:jc w:val="center"/>
              <w:textAlignment w:val="auto"/>
              <w:rPr>
                <w:rFonts w:hint="eastAsia" w:ascii="仿宋" w:hAnsi="仿宋" w:eastAsia="仿宋" w:cs="仿宋"/>
                <w:sz w:val="15"/>
                <w:szCs w:val="15"/>
                <w:vertAlign w:val="baseline"/>
                <w:lang w:val="en-US" w:eastAsia="zh-CN"/>
              </w:rPr>
            </w:pPr>
            <w:r>
              <w:rPr>
                <w:rFonts w:hint="eastAsia" w:ascii="仿宋" w:hAnsi="仿宋" w:eastAsia="仿宋" w:cs="仿宋"/>
                <w:color w:val="000000"/>
                <w:sz w:val="15"/>
                <w:szCs w:val="15"/>
              </w:rPr>
              <w:t>试点</w:t>
            </w:r>
          </w:p>
        </w:tc>
        <w:tc>
          <w:tcPr>
            <w:tcW w:w="1236" w:type="dxa"/>
            <w:vAlign w:val="center"/>
          </w:tcPr>
          <w:p w14:paraId="1E25C0AE">
            <w:pPr>
              <w:pStyle w:val="16"/>
              <w:keepNext/>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left="0" w:leftChars="0" w:right="0" w:rightChars="0" w:firstLine="0" w:firstLineChars="0"/>
              <w:jc w:val="left"/>
              <w:textAlignment w:val="auto"/>
              <w:rPr>
                <w:rFonts w:hint="eastAsia" w:ascii="仿宋" w:hAnsi="仿宋" w:eastAsia="仿宋" w:cs="仿宋"/>
                <w:sz w:val="15"/>
                <w:szCs w:val="15"/>
                <w:vertAlign w:val="baseline"/>
                <w:lang w:val="en-US" w:eastAsia="zh-CN"/>
              </w:rPr>
            </w:pPr>
            <w:r>
              <w:rPr>
                <w:rFonts w:hint="eastAsia" w:ascii="仿宋" w:hAnsi="仿宋" w:eastAsia="仿宋" w:cs="仿宋"/>
                <w:color w:val="000000"/>
                <w:sz w:val="15"/>
                <w:szCs w:val="15"/>
              </w:rPr>
              <w:t>乡村振兴</w:t>
            </w:r>
          </w:p>
        </w:tc>
        <w:tc>
          <w:tcPr>
            <w:tcW w:w="1236" w:type="dxa"/>
            <w:vAlign w:val="center"/>
          </w:tcPr>
          <w:p w14:paraId="52981D7C">
            <w:pPr>
              <w:pStyle w:val="16"/>
              <w:keepNext/>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left="0" w:leftChars="0" w:right="0" w:rightChars="0" w:firstLine="0" w:firstLineChars="0"/>
              <w:jc w:val="left"/>
              <w:textAlignment w:val="auto"/>
              <w:rPr>
                <w:rFonts w:hint="eastAsia" w:ascii="仿宋" w:hAnsi="仿宋" w:eastAsia="仿宋" w:cs="仿宋"/>
                <w:sz w:val="15"/>
                <w:szCs w:val="15"/>
                <w:vertAlign w:val="baseline"/>
                <w:lang w:val="en-US" w:eastAsia="zh-CN"/>
              </w:rPr>
            </w:pPr>
            <w:r>
              <w:rPr>
                <w:rFonts w:hint="eastAsia" w:ascii="仿宋" w:hAnsi="仿宋" w:eastAsia="仿宋" w:cs="仿宋"/>
                <w:color w:val="000000"/>
                <w:sz w:val="15"/>
                <w:szCs w:val="15"/>
              </w:rPr>
              <w:t>国家级</w:t>
            </w:r>
          </w:p>
        </w:tc>
        <w:tc>
          <w:tcPr>
            <w:tcW w:w="2476" w:type="dxa"/>
            <w:vAlign w:val="center"/>
          </w:tcPr>
          <w:p w14:paraId="5E8E0A0A">
            <w:pPr>
              <w:pStyle w:val="16"/>
              <w:keepNext/>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left="0" w:leftChars="0" w:right="0" w:rightChars="0" w:firstLine="0" w:firstLineChars="0"/>
              <w:jc w:val="left"/>
              <w:textAlignment w:val="auto"/>
              <w:rPr>
                <w:rFonts w:hint="eastAsia" w:ascii="仿宋" w:hAnsi="仿宋" w:eastAsia="仿宋" w:cs="仿宋"/>
                <w:sz w:val="15"/>
                <w:szCs w:val="15"/>
                <w:vertAlign w:val="baseline"/>
                <w:lang w:val="en-US" w:eastAsia="zh-CN"/>
              </w:rPr>
            </w:pPr>
            <w:r>
              <w:rPr>
                <w:rFonts w:hint="eastAsia" w:ascii="仿宋" w:hAnsi="仿宋" w:eastAsia="仿宋" w:cs="仿宋"/>
                <w:color w:val="000000"/>
                <w:sz w:val="15"/>
                <w:szCs w:val="15"/>
              </w:rPr>
              <w:t>北斗农机应用1000台套，三级政务平台村级覆盖率100%，乡村数字孪生平台</w:t>
            </w:r>
          </w:p>
        </w:tc>
        <w:tc>
          <w:tcPr>
            <w:tcW w:w="1606" w:type="dxa"/>
            <w:vAlign w:val="center"/>
          </w:tcPr>
          <w:p w14:paraId="651C9A68">
            <w:pPr>
              <w:pStyle w:val="16"/>
              <w:keepNext/>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left="0" w:leftChars="0" w:right="0" w:rightChars="0" w:firstLine="0" w:firstLineChars="0"/>
              <w:jc w:val="left"/>
              <w:textAlignment w:val="auto"/>
              <w:rPr>
                <w:rFonts w:hint="eastAsia" w:ascii="仿宋" w:hAnsi="仿宋" w:eastAsia="仿宋" w:cs="仿宋"/>
                <w:sz w:val="15"/>
                <w:szCs w:val="15"/>
                <w:vertAlign w:val="baseline"/>
                <w:lang w:val="en-US" w:eastAsia="zh-CN"/>
              </w:rPr>
            </w:pPr>
            <w:r>
              <w:rPr>
                <w:rFonts w:hint="eastAsia" w:ascii="仿宋" w:hAnsi="仿宋" w:eastAsia="仿宋" w:cs="仿宋"/>
                <w:color w:val="000000"/>
                <w:sz w:val="15"/>
                <w:szCs w:val="15"/>
              </w:rPr>
              <w:t>《数字乡村发展行动计划》</w:t>
            </w:r>
          </w:p>
        </w:tc>
        <w:tc>
          <w:tcPr>
            <w:tcW w:w="1756" w:type="dxa"/>
            <w:vAlign w:val="center"/>
          </w:tcPr>
          <w:p w14:paraId="2042B8D8">
            <w:pPr>
              <w:pStyle w:val="16"/>
              <w:keepNext/>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left="0" w:leftChars="0" w:right="0" w:rightChars="0" w:firstLine="0" w:firstLineChars="0"/>
              <w:jc w:val="left"/>
              <w:textAlignment w:val="auto"/>
              <w:rPr>
                <w:rFonts w:hint="eastAsia" w:ascii="仿宋" w:hAnsi="仿宋" w:eastAsia="仿宋" w:cs="仿宋"/>
                <w:sz w:val="15"/>
                <w:szCs w:val="15"/>
                <w:vertAlign w:val="baseline"/>
                <w:lang w:val="en-US" w:eastAsia="zh-CN"/>
              </w:rPr>
            </w:pPr>
            <w:r>
              <w:rPr>
                <w:rFonts w:hint="eastAsia" w:ascii="仿宋" w:hAnsi="仿宋" w:eastAsia="仿宋" w:cs="仿宋"/>
                <w:color w:val="000000"/>
                <w:sz w:val="15"/>
                <w:szCs w:val="15"/>
              </w:rPr>
              <w:t>农业生产信息化率85%，政务服务在线办结率95%</w:t>
            </w:r>
          </w:p>
        </w:tc>
      </w:tr>
      <w:tr w14:paraId="34D06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64" w:type="dxa"/>
            <w:vAlign w:val="center"/>
          </w:tcPr>
          <w:p w14:paraId="4353EAC9">
            <w:pPr>
              <w:pStyle w:val="16"/>
              <w:keepNext/>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left="0" w:leftChars="0" w:right="0" w:rightChars="0" w:firstLine="0" w:firstLineChars="0"/>
              <w:jc w:val="center"/>
              <w:textAlignment w:val="auto"/>
              <w:rPr>
                <w:rFonts w:hint="eastAsia" w:ascii="仿宋" w:hAnsi="仿宋" w:eastAsia="仿宋" w:cs="仿宋"/>
                <w:sz w:val="15"/>
                <w:szCs w:val="15"/>
                <w:vertAlign w:val="baseline"/>
                <w:lang w:val="en-US" w:eastAsia="zh-CN"/>
              </w:rPr>
            </w:pPr>
            <w:r>
              <w:rPr>
                <w:rFonts w:hint="eastAsia" w:ascii="仿宋" w:hAnsi="仿宋" w:eastAsia="仿宋" w:cs="仿宋"/>
                <w:color w:val="000000"/>
                <w:sz w:val="15"/>
                <w:szCs w:val="15"/>
              </w:rPr>
              <w:t>松花江流域生态保护与高质量发展试验区</w:t>
            </w:r>
          </w:p>
        </w:tc>
        <w:tc>
          <w:tcPr>
            <w:tcW w:w="1236" w:type="dxa"/>
            <w:vAlign w:val="center"/>
          </w:tcPr>
          <w:p w14:paraId="16937AF0">
            <w:pPr>
              <w:pStyle w:val="16"/>
              <w:keepNext/>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left="0" w:leftChars="0" w:right="0" w:rightChars="0" w:firstLine="0" w:firstLineChars="0"/>
              <w:jc w:val="left"/>
              <w:textAlignment w:val="auto"/>
              <w:rPr>
                <w:rFonts w:hint="eastAsia" w:ascii="仿宋" w:hAnsi="仿宋" w:eastAsia="仿宋" w:cs="仿宋"/>
                <w:sz w:val="15"/>
                <w:szCs w:val="15"/>
                <w:vertAlign w:val="baseline"/>
                <w:lang w:val="en-US" w:eastAsia="zh-CN"/>
              </w:rPr>
            </w:pPr>
            <w:r>
              <w:rPr>
                <w:rFonts w:hint="eastAsia" w:ascii="仿宋" w:hAnsi="仿宋" w:eastAsia="仿宋" w:cs="仿宋"/>
                <w:color w:val="000000"/>
                <w:sz w:val="15"/>
                <w:szCs w:val="15"/>
              </w:rPr>
              <w:t>生态文明</w:t>
            </w:r>
          </w:p>
        </w:tc>
        <w:tc>
          <w:tcPr>
            <w:tcW w:w="1236" w:type="dxa"/>
            <w:vAlign w:val="center"/>
          </w:tcPr>
          <w:p w14:paraId="0E81152F">
            <w:pPr>
              <w:pStyle w:val="16"/>
              <w:keepNext/>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left="0" w:leftChars="0" w:right="0" w:rightChars="0" w:firstLine="0" w:firstLineChars="0"/>
              <w:jc w:val="left"/>
              <w:textAlignment w:val="auto"/>
              <w:rPr>
                <w:rFonts w:hint="eastAsia" w:ascii="仿宋" w:hAnsi="仿宋" w:eastAsia="仿宋" w:cs="仿宋"/>
                <w:sz w:val="15"/>
                <w:szCs w:val="15"/>
                <w:vertAlign w:val="baseline"/>
                <w:lang w:val="en-US" w:eastAsia="zh-CN"/>
              </w:rPr>
            </w:pPr>
            <w:r>
              <w:rPr>
                <w:rFonts w:hint="eastAsia" w:ascii="仿宋" w:hAnsi="仿宋" w:eastAsia="仿宋" w:cs="仿宋"/>
                <w:color w:val="000000"/>
                <w:sz w:val="15"/>
                <w:szCs w:val="15"/>
              </w:rPr>
              <w:t>省级→国家级</w:t>
            </w:r>
          </w:p>
        </w:tc>
        <w:tc>
          <w:tcPr>
            <w:tcW w:w="2476" w:type="dxa"/>
            <w:vAlign w:val="center"/>
          </w:tcPr>
          <w:p w14:paraId="75290347">
            <w:pPr>
              <w:pStyle w:val="16"/>
              <w:keepNext/>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left="0" w:leftChars="0" w:right="0" w:rightChars="0" w:firstLine="0" w:firstLineChars="0"/>
              <w:jc w:val="left"/>
              <w:textAlignment w:val="auto"/>
              <w:rPr>
                <w:rFonts w:hint="eastAsia" w:ascii="仿宋" w:hAnsi="仿宋" w:eastAsia="仿宋" w:cs="仿宋"/>
                <w:sz w:val="15"/>
                <w:szCs w:val="15"/>
                <w:vertAlign w:val="baseline"/>
                <w:lang w:val="en-US" w:eastAsia="zh-CN"/>
              </w:rPr>
            </w:pPr>
            <w:r>
              <w:rPr>
                <w:rFonts w:hint="eastAsia" w:ascii="仿宋" w:hAnsi="仿宋" w:eastAsia="仿宋" w:cs="仿宋"/>
                <w:color w:val="000000"/>
                <w:sz w:val="15"/>
                <w:szCs w:val="15"/>
              </w:rPr>
              <w:t>湿地修复5万亩，滨江生态堤防50公里，CCER碳汇项目</w:t>
            </w:r>
          </w:p>
        </w:tc>
        <w:tc>
          <w:tcPr>
            <w:tcW w:w="1606" w:type="dxa"/>
            <w:vAlign w:val="center"/>
          </w:tcPr>
          <w:p w14:paraId="3FA1EF7C">
            <w:pPr>
              <w:pStyle w:val="16"/>
              <w:keepNext/>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left="0" w:leftChars="0" w:right="0" w:rightChars="0" w:firstLine="0" w:firstLineChars="0"/>
              <w:jc w:val="left"/>
              <w:textAlignment w:val="auto"/>
              <w:rPr>
                <w:rFonts w:hint="eastAsia" w:ascii="仿宋" w:hAnsi="仿宋" w:eastAsia="仿宋" w:cs="仿宋"/>
                <w:sz w:val="15"/>
                <w:szCs w:val="15"/>
                <w:vertAlign w:val="baseline"/>
                <w:lang w:val="en-US" w:eastAsia="zh-CN"/>
              </w:rPr>
            </w:pPr>
            <w:r>
              <w:rPr>
                <w:rFonts w:hint="eastAsia" w:ascii="仿宋" w:hAnsi="仿宋" w:eastAsia="仿宋" w:cs="仿宋"/>
                <w:color w:val="000000"/>
                <w:sz w:val="15"/>
                <w:szCs w:val="15"/>
              </w:rPr>
              <w:t>《松花江流域综合规划》</w:t>
            </w:r>
          </w:p>
        </w:tc>
        <w:tc>
          <w:tcPr>
            <w:tcW w:w="1756" w:type="dxa"/>
            <w:vAlign w:val="center"/>
          </w:tcPr>
          <w:p w14:paraId="0BA2EB9B">
            <w:pPr>
              <w:pStyle w:val="16"/>
              <w:keepNext/>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left="0" w:leftChars="0" w:right="0" w:rightChars="0" w:firstLine="0" w:firstLineChars="0"/>
              <w:jc w:val="left"/>
              <w:textAlignment w:val="auto"/>
              <w:rPr>
                <w:rFonts w:hint="eastAsia" w:ascii="仿宋" w:hAnsi="仿宋" w:eastAsia="仿宋" w:cs="仿宋"/>
                <w:sz w:val="15"/>
                <w:szCs w:val="15"/>
                <w:vertAlign w:val="baseline"/>
                <w:lang w:val="en-US" w:eastAsia="zh-CN"/>
              </w:rPr>
            </w:pPr>
            <w:r>
              <w:rPr>
                <w:rFonts w:hint="eastAsia" w:ascii="仿宋" w:hAnsi="仿宋" w:eastAsia="仿宋" w:cs="仿宋"/>
                <w:color w:val="000000"/>
                <w:sz w:val="15"/>
                <w:szCs w:val="15"/>
              </w:rPr>
              <w:t>水质达标率100%，年碳汇量10万吨</w:t>
            </w:r>
          </w:p>
        </w:tc>
      </w:tr>
      <w:tr w14:paraId="706DF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64" w:type="dxa"/>
            <w:vAlign w:val="center"/>
          </w:tcPr>
          <w:p w14:paraId="421FA017">
            <w:pPr>
              <w:pStyle w:val="16"/>
              <w:keepNext/>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left="0" w:leftChars="0" w:right="0" w:rightChars="0" w:firstLine="0" w:firstLineChars="0"/>
              <w:jc w:val="center"/>
              <w:textAlignment w:val="auto"/>
              <w:rPr>
                <w:rFonts w:hint="eastAsia" w:ascii="仿宋" w:hAnsi="仿宋" w:eastAsia="仿宋" w:cs="仿宋"/>
                <w:sz w:val="15"/>
                <w:szCs w:val="15"/>
              </w:rPr>
            </w:pPr>
            <w:r>
              <w:rPr>
                <w:rFonts w:hint="eastAsia" w:ascii="仿宋" w:hAnsi="仿宋" w:eastAsia="仿宋" w:cs="仿宋"/>
                <w:color w:val="000000"/>
                <w:sz w:val="15"/>
                <w:szCs w:val="15"/>
              </w:rPr>
              <w:t>生物经济循环</w:t>
            </w:r>
          </w:p>
          <w:p w14:paraId="0B10FEDA">
            <w:pPr>
              <w:pStyle w:val="16"/>
              <w:keepNext/>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left="0" w:leftChars="0" w:right="0" w:rightChars="0" w:firstLine="0" w:firstLineChars="0"/>
              <w:jc w:val="center"/>
              <w:textAlignment w:val="auto"/>
              <w:rPr>
                <w:rFonts w:hint="eastAsia" w:ascii="仿宋" w:hAnsi="仿宋" w:eastAsia="仿宋" w:cs="仿宋"/>
                <w:sz w:val="15"/>
                <w:szCs w:val="15"/>
                <w:vertAlign w:val="baseline"/>
                <w:lang w:val="en-US" w:eastAsia="zh-CN"/>
              </w:rPr>
            </w:pPr>
            <w:r>
              <w:rPr>
                <w:rFonts w:hint="eastAsia" w:ascii="仿宋" w:hAnsi="仿宋" w:eastAsia="仿宋" w:cs="仿宋"/>
                <w:color w:val="000000"/>
                <w:sz w:val="15"/>
                <w:szCs w:val="15"/>
              </w:rPr>
              <w:t>示范基地</w:t>
            </w:r>
          </w:p>
        </w:tc>
        <w:tc>
          <w:tcPr>
            <w:tcW w:w="1236" w:type="dxa"/>
            <w:vAlign w:val="center"/>
          </w:tcPr>
          <w:p w14:paraId="3AAF7474">
            <w:pPr>
              <w:pStyle w:val="16"/>
              <w:keepNext/>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left="0" w:leftChars="0" w:right="0" w:rightChars="0" w:firstLine="0" w:firstLineChars="0"/>
              <w:jc w:val="left"/>
              <w:textAlignment w:val="auto"/>
              <w:rPr>
                <w:rFonts w:hint="eastAsia" w:ascii="仿宋" w:hAnsi="仿宋" w:eastAsia="仿宋" w:cs="仿宋"/>
                <w:sz w:val="15"/>
                <w:szCs w:val="15"/>
                <w:vertAlign w:val="baseline"/>
                <w:lang w:val="en-US" w:eastAsia="zh-CN"/>
              </w:rPr>
            </w:pPr>
            <w:r>
              <w:rPr>
                <w:rFonts w:hint="eastAsia" w:ascii="仿宋" w:hAnsi="仿宋" w:eastAsia="仿宋" w:cs="仿宋"/>
                <w:color w:val="000000"/>
                <w:sz w:val="15"/>
                <w:szCs w:val="15"/>
                <w:lang w:eastAsia="zh-CN"/>
              </w:rPr>
              <w:t>战略性新兴产业</w:t>
            </w:r>
          </w:p>
        </w:tc>
        <w:tc>
          <w:tcPr>
            <w:tcW w:w="1236" w:type="dxa"/>
            <w:vAlign w:val="center"/>
          </w:tcPr>
          <w:p w14:paraId="04162B91">
            <w:pPr>
              <w:pStyle w:val="16"/>
              <w:keepNext/>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left="0" w:leftChars="0" w:right="0" w:rightChars="0" w:firstLine="0" w:firstLineChars="0"/>
              <w:jc w:val="left"/>
              <w:textAlignment w:val="auto"/>
              <w:rPr>
                <w:rFonts w:hint="eastAsia" w:ascii="仿宋" w:hAnsi="仿宋" w:eastAsia="仿宋" w:cs="仿宋"/>
                <w:sz w:val="15"/>
                <w:szCs w:val="15"/>
                <w:vertAlign w:val="baseline"/>
                <w:lang w:val="en-US" w:eastAsia="zh-CN"/>
              </w:rPr>
            </w:pPr>
            <w:r>
              <w:rPr>
                <w:rFonts w:hint="eastAsia" w:ascii="仿宋" w:hAnsi="仿宋" w:eastAsia="仿宋" w:cs="仿宋"/>
                <w:color w:val="000000"/>
                <w:sz w:val="15"/>
                <w:szCs w:val="15"/>
              </w:rPr>
              <w:t>省级</w:t>
            </w:r>
          </w:p>
        </w:tc>
        <w:tc>
          <w:tcPr>
            <w:tcW w:w="2476" w:type="dxa"/>
            <w:vAlign w:val="center"/>
          </w:tcPr>
          <w:p w14:paraId="0C4FE37C">
            <w:pPr>
              <w:pStyle w:val="16"/>
              <w:keepNext/>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left="0" w:leftChars="0" w:right="0" w:rightChars="0" w:firstLine="0" w:firstLineChars="0"/>
              <w:jc w:val="left"/>
              <w:textAlignment w:val="auto"/>
              <w:rPr>
                <w:rFonts w:hint="eastAsia" w:ascii="仿宋" w:hAnsi="仿宋" w:eastAsia="仿宋" w:cs="仿宋"/>
                <w:sz w:val="15"/>
                <w:szCs w:val="15"/>
                <w:vertAlign w:val="baseline"/>
                <w:lang w:val="en-US" w:eastAsia="zh-CN"/>
              </w:rPr>
            </w:pPr>
            <w:r>
              <w:rPr>
                <w:rFonts w:hint="eastAsia" w:ascii="仿宋" w:hAnsi="仿宋" w:eastAsia="仿宋" w:cs="仿宋"/>
                <w:color w:val="000000"/>
                <w:sz w:val="15"/>
                <w:szCs w:val="15"/>
              </w:rPr>
              <w:t>秸秆利用30万吨/年，微生物制剂厂，聚乳酸生产线</w:t>
            </w:r>
          </w:p>
        </w:tc>
        <w:tc>
          <w:tcPr>
            <w:tcW w:w="1606" w:type="dxa"/>
            <w:vAlign w:val="center"/>
          </w:tcPr>
          <w:p w14:paraId="5D863243">
            <w:pPr>
              <w:pStyle w:val="16"/>
              <w:keepNext/>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left="0" w:leftChars="0" w:right="0" w:rightChars="0" w:firstLine="0" w:firstLineChars="0"/>
              <w:jc w:val="left"/>
              <w:textAlignment w:val="auto"/>
              <w:rPr>
                <w:rFonts w:hint="eastAsia" w:ascii="仿宋" w:hAnsi="仿宋" w:eastAsia="仿宋" w:cs="仿宋"/>
                <w:sz w:val="15"/>
                <w:szCs w:val="15"/>
                <w:vertAlign w:val="baseline"/>
                <w:lang w:val="en-US" w:eastAsia="zh-CN"/>
              </w:rPr>
            </w:pPr>
            <w:r>
              <w:rPr>
                <w:rFonts w:hint="eastAsia" w:ascii="仿宋" w:hAnsi="仿宋" w:eastAsia="仿宋" w:cs="仿宋"/>
                <w:color w:val="000000"/>
                <w:sz w:val="15"/>
                <w:szCs w:val="15"/>
              </w:rPr>
              <w:t>《黑龙江省“十四五”生物经济发展规划》</w:t>
            </w:r>
          </w:p>
        </w:tc>
        <w:tc>
          <w:tcPr>
            <w:tcW w:w="1756" w:type="dxa"/>
            <w:vAlign w:val="center"/>
          </w:tcPr>
          <w:p w14:paraId="13A33FEF">
            <w:pPr>
              <w:pStyle w:val="16"/>
              <w:keepNext/>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left="0" w:leftChars="0" w:right="0" w:rightChars="0" w:firstLine="0" w:firstLineChars="0"/>
              <w:jc w:val="left"/>
              <w:textAlignment w:val="auto"/>
              <w:rPr>
                <w:rFonts w:hint="eastAsia" w:ascii="仿宋" w:hAnsi="仿宋" w:eastAsia="仿宋" w:cs="仿宋"/>
                <w:sz w:val="15"/>
                <w:szCs w:val="15"/>
                <w:vertAlign w:val="baseline"/>
                <w:lang w:val="en-US" w:eastAsia="zh-CN"/>
              </w:rPr>
            </w:pPr>
            <w:r>
              <w:rPr>
                <w:rFonts w:hint="eastAsia" w:ascii="仿宋" w:hAnsi="仿宋" w:eastAsia="仿宋" w:cs="仿宋"/>
                <w:color w:val="000000"/>
                <w:sz w:val="15"/>
                <w:szCs w:val="15"/>
              </w:rPr>
              <w:t>秸秆综合利用率95%，产值20亿元</w:t>
            </w:r>
          </w:p>
        </w:tc>
      </w:tr>
      <w:tr w14:paraId="74FB9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64" w:type="dxa"/>
            <w:vAlign w:val="center"/>
          </w:tcPr>
          <w:p w14:paraId="5DAAC8A8">
            <w:pPr>
              <w:pStyle w:val="16"/>
              <w:keepNext/>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left="0" w:leftChars="0" w:right="0" w:rightChars="0" w:firstLine="0" w:firstLineChars="0"/>
              <w:jc w:val="center"/>
              <w:textAlignment w:val="auto"/>
              <w:rPr>
                <w:rFonts w:hint="eastAsia" w:ascii="仿宋" w:hAnsi="仿宋" w:eastAsia="仿宋" w:cs="仿宋"/>
                <w:color w:val="000000"/>
                <w:sz w:val="15"/>
                <w:szCs w:val="15"/>
              </w:rPr>
            </w:pPr>
            <w:r>
              <w:rPr>
                <w:rFonts w:hint="eastAsia" w:ascii="仿宋" w:hAnsi="仿宋" w:eastAsia="仿宋" w:cs="仿宋"/>
                <w:color w:val="000000"/>
                <w:sz w:val="15"/>
                <w:szCs w:val="15"/>
              </w:rPr>
              <w:t>智能农机装备应用示范区</w:t>
            </w:r>
          </w:p>
        </w:tc>
        <w:tc>
          <w:tcPr>
            <w:tcW w:w="1236" w:type="dxa"/>
            <w:vAlign w:val="center"/>
          </w:tcPr>
          <w:p w14:paraId="2390FCF3">
            <w:pPr>
              <w:pStyle w:val="16"/>
              <w:keepNext/>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left="0" w:leftChars="0" w:right="0" w:rightChars="0" w:firstLine="0" w:firstLineChars="0"/>
              <w:jc w:val="left"/>
              <w:textAlignment w:val="auto"/>
              <w:rPr>
                <w:rFonts w:hint="eastAsia" w:ascii="仿宋" w:hAnsi="仿宋" w:eastAsia="仿宋" w:cs="仿宋"/>
                <w:color w:val="000000"/>
                <w:sz w:val="15"/>
                <w:szCs w:val="15"/>
              </w:rPr>
            </w:pPr>
            <w:r>
              <w:rPr>
                <w:rFonts w:hint="eastAsia" w:ascii="仿宋" w:hAnsi="仿宋" w:eastAsia="仿宋" w:cs="仿宋"/>
                <w:color w:val="000000"/>
                <w:sz w:val="15"/>
                <w:szCs w:val="15"/>
                <w:lang w:eastAsia="zh-CN"/>
              </w:rPr>
              <w:t>战略性新兴产业</w:t>
            </w:r>
          </w:p>
        </w:tc>
        <w:tc>
          <w:tcPr>
            <w:tcW w:w="1236" w:type="dxa"/>
            <w:vAlign w:val="center"/>
          </w:tcPr>
          <w:p w14:paraId="21A9E7BD">
            <w:pPr>
              <w:pStyle w:val="16"/>
              <w:keepNext/>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left="0" w:leftChars="0" w:right="0" w:rightChars="0" w:firstLine="0" w:firstLineChars="0"/>
              <w:jc w:val="left"/>
              <w:textAlignment w:val="auto"/>
              <w:rPr>
                <w:rFonts w:hint="eastAsia" w:ascii="仿宋" w:hAnsi="仿宋" w:eastAsia="仿宋" w:cs="仿宋"/>
                <w:color w:val="000000"/>
                <w:sz w:val="15"/>
                <w:szCs w:val="15"/>
              </w:rPr>
            </w:pPr>
            <w:r>
              <w:rPr>
                <w:rFonts w:hint="eastAsia" w:ascii="仿宋" w:hAnsi="仿宋" w:eastAsia="仿宋" w:cs="仿宋"/>
                <w:color w:val="000000"/>
                <w:sz w:val="15"/>
                <w:szCs w:val="15"/>
              </w:rPr>
              <w:t>省级→国家级</w:t>
            </w:r>
          </w:p>
        </w:tc>
        <w:tc>
          <w:tcPr>
            <w:tcW w:w="2476" w:type="dxa"/>
            <w:vAlign w:val="center"/>
          </w:tcPr>
          <w:p w14:paraId="5DA5C058">
            <w:pPr>
              <w:pStyle w:val="16"/>
              <w:keepNext/>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left="0" w:leftChars="0" w:right="0" w:rightChars="0" w:firstLine="0" w:firstLineChars="0"/>
              <w:jc w:val="left"/>
              <w:textAlignment w:val="auto"/>
              <w:rPr>
                <w:rFonts w:hint="eastAsia" w:ascii="仿宋" w:hAnsi="仿宋" w:eastAsia="仿宋" w:cs="仿宋"/>
                <w:color w:val="000000"/>
                <w:sz w:val="15"/>
                <w:szCs w:val="15"/>
              </w:rPr>
            </w:pPr>
            <w:r>
              <w:rPr>
                <w:rFonts w:hint="eastAsia" w:ascii="仿宋" w:hAnsi="仿宋" w:eastAsia="仿宋" w:cs="仿宋"/>
                <w:color w:val="000000"/>
                <w:sz w:val="15"/>
                <w:szCs w:val="15"/>
              </w:rPr>
              <w:t>无人农机300台，精准灌溉系统50万亩，农业机器人应用中心</w:t>
            </w:r>
          </w:p>
        </w:tc>
        <w:tc>
          <w:tcPr>
            <w:tcW w:w="1606" w:type="dxa"/>
            <w:vAlign w:val="center"/>
          </w:tcPr>
          <w:p w14:paraId="44868443">
            <w:pPr>
              <w:pStyle w:val="16"/>
              <w:keepNext/>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left="0" w:leftChars="0" w:right="0" w:rightChars="0" w:firstLine="0" w:firstLineChars="0"/>
              <w:jc w:val="left"/>
              <w:textAlignment w:val="auto"/>
              <w:rPr>
                <w:rFonts w:hint="eastAsia" w:ascii="仿宋" w:hAnsi="仿宋" w:eastAsia="仿宋" w:cs="仿宋"/>
                <w:color w:val="000000"/>
                <w:sz w:val="15"/>
                <w:szCs w:val="15"/>
              </w:rPr>
            </w:pPr>
            <w:r>
              <w:rPr>
                <w:rFonts w:hint="eastAsia" w:ascii="仿宋" w:hAnsi="仿宋" w:eastAsia="仿宋" w:cs="仿宋"/>
                <w:color w:val="000000"/>
                <w:sz w:val="15"/>
                <w:szCs w:val="15"/>
              </w:rPr>
              <w:t>《“十四五”全国农业机械化发展规划》</w:t>
            </w:r>
          </w:p>
        </w:tc>
        <w:tc>
          <w:tcPr>
            <w:tcW w:w="1756" w:type="dxa"/>
            <w:vAlign w:val="center"/>
          </w:tcPr>
          <w:p w14:paraId="1813CFA1">
            <w:pPr>
              <w:pStyle w:val="16"/>
              <w:keepNext/>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left="0" w:leftChars="0" w:right="0" w:rightChars="0" w:firstLine="0" w:firstLineChars="0"/>
              <w:jc w:val="left"/>
              <w:textAlignment w:val="auto"/>
              <w:rPr>
                <w:rFonts w:hint="eastAsia" w:ascii="仿宋" w:hAnsi="仿宋" w:eastAsia="仿宋" w:cs="仿宋"/>
                <w:color w:val="000000"/>
                <w:sz w:val="15"/>
                <w:szCs w:val="15"/>
              </w:rPr>
            </w:pPr>
            <w:r>
              <w:rPr>
                <w:rFonts w:hint="eastAsia" w:ascii="仿宋" w:hAnsi="仿宋" w:eastAsia="仿宋" w:cs="仿宋"/>
                <w:color w:val="000000"/>
                <w:sz w:val="15"/>
                <w:szCs w:val="15"/>
              </w:rPr>
              <w:t>农机作业信息化率90%，人力成本降30%</w:t>
            </w:r>
          </w:p>
        </w:tc>
      </w:tr>
      <w:tr w14:paraId="1853C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64" w:type="dxa"/>
            <w:vAlign w:val="center"/>
          </w:tcPr>
          <w:p w14:paraId="091DBA5B">
            <w:pPr>
              <w:pStyle w:val="16"/>
              <w:keepNext/>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left="0" w:leftChars="0" w:right="0" w:rightChars="0" w:firstLine="0" w:firstLineChars="0"/>
              <w:jc w:val="center"/>
              <w:textAlignment w:val="auto"/>
              <w:rPr>
                <w:rFonts w:hint="eastAsia" w:ascii="仿宋" w:hAnsi="仿宋" w:eastAsia="仿宋" w:cs="仿宋"/>
                <w:color w:val="000000"/>
                <w:sz w:val="15"/>
                <w:szCs w:val="15"/>
              </w:rPr>
            </w:pPr>
            <w:r>
              <w:rPr>
                <w:rFonts w:hint="eastAsia" w:ascii="仿宋" w:hAnsi="仿宋" w:eastAsia="仿宋" w:cs="仿宋"/>
                <w:color w:val="000000"/>
                <w:sz w:val="15"/>
                <w:szCs w:val="15"/>
              </w:rPr>
              <w:t>对俄农产品贸易加工示范区</w:t>
            </w:r>
          </w:p>
        </w:tc>
        <w:tc>
          <w:tcPr>
            <w:tcW w:w="1236" w:type="dxa"/>
            <w:vAlign w:val="center"/>
          </w:tcPr>
          <w:p w14:paraId="353FB81E">
            <w:pPr>
              <w:pStyle w:val="16"/>
              <w:keepNext/>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left="0" w:leftChars="0" w:right="0" w:rightChars="0" w:firstLine="0" w:firstLineChars="0"/>
              <w:jc w:val="left"/>
              <w:textAlignment w:val="auto"/>
              <w:rPr>
                <w:rFonts w:hint="eastAsia" w:ascii="仿宋" w:hAnsi="仿宋" w:eastAsia="仿宋" w:cs="仿宋"/>
                <w:color w:val="000000"/>
                <w:sz w:val="15"/>
                <w:szCs w:val="15"/>
              </w:rPr>
            </w:pPr>
            <w:r>
              <w:rPr>
                <w:rFonts w:hint="eastAsia" w:ascii="仿宋" w:hAnsi="仿宋" w:eastAsia="仿宋" w:cs="仿宋"/>
                <w:color w:val="000000"/>
                <w:sz w:val="15"/>
                <w:szCs w:val="15"/>
              </w:rPr>
              <w:t>对俄合作</w:t>
            </w:r>
          </w:p>
        </w:tc>
        <w:tc>
          <w:tcPr>
            <w:tcW w:w="1236" w:type="dxa"/>
            <w:vAlign w:val="center"/>
          </w:tcPr>
          <w:p w14:paraId="38989676">
            <w:pPr>
              <w:pStyle w:val="16"/>
              <w:keepNext/>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left="0" w:leftChars="0" w:right="0" w:rightChars="0" w:firstLine="0" w:firstLineChars="0"/>
              <w:jc w:val="left"/>
              <w:textAlignment w:val="auto"/>
              <w:rPr>
                <w:rFonts w:hint="eastAsia" w:ascii="仿宋" w:hAnsi="仿宋" w:eastAsia="仿宋" w:cs="仿宋"/>
                <w:color w:val="000000"/>
                <w:sz w:val="15"/>
                <w:szCs w:val="15"/>
              </w:rPr>
            </w:pPr>
            <w:r>
              <w:rPr>
                <w:rFonts w:hint="eastAsia" w:ascii="仿宋" w:hAnsi="仿宋" w:eastAsia="仿宋" w:cs="仿宋"/>
                <w:color w:val="000000"/>
                <w:sz w:val="15"/>
                <w:szCs w:val="15"/>
              </w:rPr>
              <w:t>国家级</w:t>
            </w:r>
          </w:p>
        </w:tc>
        <w:tc>
          <w:tcPr>
            <w:tcW w:w="2476" w:type="dxa"/>
            <w:vAlign w:val="center"/>
          </w:tcPr>
          <w:p w14:paraId="7BF09650">
            <w:pPr>
              <w:pStyle w:val="16"/>
              <w:keepNext/>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left="0" w:leftChars="0" w:right="0" w:rightChars="0" w:firstLine="0" w:firstLineChars="0"/>
              <w:jc w:val="left"/>
              <w:textAlignment w:val="auto"/>
              <w:rPr>
                <w:rFonts w:hint="eastAsia" w:ascii="仿宋" w:hAnsi="仿宋" w:eastAsia="仿宋" w:cs="仿宋"/>
                <w:color w:val="000000"/>
                <w:sz w:val="15"/>
                <w:szCs w:val="15"/>
              </w:rPr>
            </w:pPr>
            <w:r>
              <w:rPr>
                <w:rFonts w:hint="eastAsia" w:ascii="仿宋" w:hAnsi="仿宋" w:eastAsia="仿宋" w:cs="仿宋"/>
                <w:color w:val="000000"/>
                <w:sz w:val="15"/>
                <w:szCs w:val="15"/>
              </w:rPr>
              <w:t>对俄蔬菜基地10万亩，冷链物流3万㎡，B2B跨境平台</w:t>
            </w:r>
          </w:p>
        </w:tc>
        <w:tc>
          <w:tcPr>
            <w:tcW w:w="1606" w:type="dxa"/>
            <w:vAlign w:val="center"/>
          </w:tcPr>
          <w:p w14:paraId="4532AC50">
            <w:pPr>
              <w:pStyle w:val="16"/>
              <w:keepNext/>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left="0" w:leftChars="0" w:right="0" w:rightChars="0" w:firstLine="0" w:firstLineChars="0"/>
              <w:jc w:val="left"/>
              <w:textAlignment w:val="auto"/>
              <w:rPr>
                <w:rFonts w:hint="eastAsia" w:ascii="仿宋" w:hAnsi="仿宋" w:eastAsia="仿宋" w:cs="仿宋"/>
                <w:color w:val="000000"/>
                <w:sz w:val="15"/>
                <w:szCs w:val="15"/>
              </w:rPr>
            </w:pPr>
            <w:r>
              <w:rPr>
                <w:rFonts w:hint="eastAsia" w:ascii="仿宋" w:hAnsi="仿宋" w:eastAsia="仿宋" w:cs="仿宋"/>
                <w:color w:val="000000"/>
                <w:sz w:val="15"/>
                <w:szCs w:val="15"/>
              </w:rPr>
              <w:t>《农业对外贸易高质量发展基地建设方案》</w:t>
            </w:r>
          </w:p>
        </w:tc>
        <w:tc>
          <w:tcPr>
            <w:tcW w:w="1756" w:type="dxa"/>
            <w:vAlign w:val="center"/>
          </w:tcPr>
          <w:p w14:paraId="037A1D3E">
            <w:pPr>
              <w:pStyle w:val="16"/>
              <w:keepNext/>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left="0" w:leftChars="0" w:right="0" w:rightChars="0" w:firstLine="0" w:firstLineChars="0"/>
              <w:jc w:val="left"/>
              <w:textAlignment w:val="auto"/>
              <w:rPr>
                <w:rFonts w:hint="eastAsia" w:ascii="仿宋" w:hAnsi="仿宋" w:eastAsia="仿宋" w:cs="仿宋"/>
                <w:color w:val="000000"/>
                <w:sz w:val="15"/>
                <w:szCs w:val="15"/>
              </w:rPr>
            </w:pPr>
            <w:r>
              <w:rPr>
                <w:rFonts w:hint="eastAsia" w:ascii="仿宋" w:hAnsi="仿宋" w:eastAsia="仿宋" w:cs="仿宋"/>
                <w:color w:val="000000"/>
                <w:sz w:val="15"/>
                <w:szCs w:val="15"/>
              </w:rPr>
              <w:t>年出口农产品10万吨，贸易额5亿元</w:t>
            </w:r>
          </w:p>
        </w:tc>
      </w:tr>
    </w:tbl>
    <w:p w14:paraId="228BD948">
      <w:pPr>
        <w:pStyle w:val="3"/>
        <w:keepNext w:val="0"/>
        <w:keepLines w:val="0"/>
        <w:widowControl/>
        <w:spacing w:line="240" w:lineRule="auto"/>
        <w:ind w:left="0" w:leftChars="0" w:firstLine="0" w:firstLineChars="0"/>
        <w:jc w:val="center"/>
        <w:rPr>
          <w:rFonts w:hint="default" w:ascii="Times New Roman" w:hAnsi="Times New Roman" w:eastAsia="楷体_GB2312" w:cs="楷体_GB2312"/>
          <w:lang w:val="en-US" w:eastAsia="zh-CN"/>
        </w:rPr>
      </w:pPr>
      <w:bookmarkStart w:id="102" w:name="_Toc16200"/>
      <w:r>
        <w:rPr>
          <w:rFonts w:hint="eastAsia" w:ascii="Times New Roman" w:hAnsi="Times New Roman" w:eastAsia="楷体_GB2312" w:cs="楷体_GB2312"/>
          <w:lang w:val="en-US" w:eastAsia="zh-CN"/>
        </w:rPr>
        <w:t>第三节  强化重大项目落地组织实施</w:t>
      </w:r>
      <w:bookmarkEnd w:id="102"/>
    </w:p>
    <w:p w14:paraId="48B0AD67">
      <w:pPr>
        <w:bidi w:val="0"/>
        <w:rPr>
          <w:rFonts w:hint="eastAsia" w:ascii="仿宋_GB2312" w:hAnsi="仿宋_GB2312" w:eastAsia="仿宋_GB2312" w:cs="仿宋_GB2312"/>
          <w:lang w:val="en-US" w:eastAsia="zh-CN"/>
        </w:rPr>
      </w:pPr>
      <w:r>
        <w:rPr>
          <w:rFonts w:hint="eastAsia" w:ascii="仿宋_GB2312" w:hAnsi="仿宋_GB2312" w:eastAsia="仿宋_GB2312" w:cs="仿宋_GB2312"/>
          <w:b/>
          <w:bCs/>
          <w:lang w:val="en-US" w:eastAsia="zh-CN"/>
        </w:rPr>
        <w:t>科学规划引领。</w:t>
      </w:r>
      <w:r>
        <w:rPr>
          <w:rFonts w:hint="eastAsia" w:ascii="仿宋_GB2312" w:hAnsi="仿宋_GB2312" w:eastAsia="仿宋_GB2312" w:cs="仿宋_GB2312"/>
          <w:lang w:val="en-US" w:eastAsia="zh-CN"/>
        </w:rPr>
        <w:t>坚持规划定方向、财政作保障、其他政策相协调，深度融入“抬头俯身”工作法，精准对接国家政策与地方需求，聚焦生物经济、智能农机、新能源等重点领域，建立重大项目库，强化招商引资和项目落地服务，着力构建规划与宏观政策协调联动机制。加强财政规划和年度预算、政府投资计划与本规划实施的衔接协调，财政资金优先投向本规划确定的重大任务和重大工程项目。</w:t>
      </w:r>
    </w:p>
    <w:p w14:paraId="04848062">
      <w:pPr>
        <w:bidi w:val="0"/>
        <w:rPr>
          <w:rFonts w:hint="eastAsia" w:ascii="仿宋_GB2312" w:hAnsi="仿宋_GB2312" w:eastAsia="仿宋_GB2312" w:cs="仿宋_GB2312"/>
          <w:lang w:val="en-US" w:eastAsia="zh-CN"/>
        </w:rPr>
      </w:pPr>
      <w:r>
        <w:rPr>
          <w:rFonts w:hint="eastAsia" w:ascii="仿宋_GB2312" w:hAnsi="仿宋_GB2312" w:eastAsia="仿宋_GB2312" w:cs="仿宋_GB2312"/>
          <w:b/>
          <w:bCs/>
          <w:lang w:val="en-US" w:eastAsia="zh-CN"/>
        </w:rPr>
        <w:t>优化服务机制。</w:t>
      </w:r>
      <w:r>
        <w:rPr>
          <w:rFonts w:hint="eastAsia" w:ascii="仿宋_GB2312" w:hAnsi="仿宋_GB2312" w:eastAsia="仿宋_GB2312" w:cs="仿宋_GB2312"/>
          <w:lang w:val="en-US" w:eastAsia="zh-CN"/>
        </w:rPr>
        <w:t>推行“项目为王、服务先行”理念，坚持项目跟着规划走、资金和要素跟着项目走，依据本规划制定重大工程项目清单，对清单内工程项目优先列入年度统筹推进计划，推行“拿地即开工”极简审批，优先保障规划选址、土地供应和资金需求，设立企业服务分中心及企业家服务处，建立诉求快速响应机制</w:t>
      </w:r>
      <w:r>
        <w:rPr>
          <w:rFonts w:hint="eastAsia" w:ascii="仿宋_GB2312" w:hAnsi="仿宋_GB2312" w:cs="仿宋_GB2312"/>
          <w:lang w:val="en-US" w:eastAsia="zh-CN"/>
        </w:rPr>
        <w:t>。主动靠前服务</w:t>
      </w:r>
      <w:r>
        <w:rPr>
          <w:rFonts w:hint="eastAsia" w:ascii="仿宋_GB2312" w:hAnsi="仿宋_GB2312" w:eastAsia="仿宋_GB2312" w:cs="仿宋_GB2312"/>
          <w:lang w:val="en-US" w:eastAsia="zh-CN"/>
        </w:rPr>
        <w:t>，</w:t>
      </w:r>
      <w:r>
        <w:rPr>
          <w:rFonts w:hint="eastAsia" w:ascii="仿宋_GB2312" w:hAnsi="仿宋_GB2312" w:cs="仿宋_GB2312"/>
          <w:lang w:val="en-US" w:eastAsia="zh-CN"/>
        </w:rPr>
        <w:t>建立</w:t>
      </w:r>
      <w:r>
        <w:rPr>
          <w:rFonts w:hint="eastAsia" w:ascii="仿宋_GB2312" w:hAnsi="仿宋_GB2312" w:eastAsia="仿宋_GB2312" w:cs="仿宋_GB2312"/>
          <w:lang w:val="en-US" w:eastAsia="zh-CN"/>
        </w:rPr>
        <w:t>企业问题专项攻坚</w:t>
      </w:r>
      <w:r>
        <w:rPr>
          <w:rFonts w:hint="eastAsia" w:ascii="仿宋_GB2312" w:hAnsi="仿宋_GB2312" w:cs="仿宋_GB2312"/>
          <w:lang w:val="en-US" w:eastAsia="zh-CN"/>
        </w:rPr>
        <w:t>与销项机制</w:t>
      </w:r>
      <w:r>
        <w:rPr>
          <w:rFonts w:hint="eastAsia" w:ascii="仿宋_GB2312" w:hAnsi="仿宋_GB2312" w:eastAsia="仿宋_GB2312" w:cs="仿宋_GB2312"/>
          <w:lang w:val="en-US" w:eastAsia="zh-CN"/>
        </w:rPr>
        <w:t>，</w:t>
      </w:r>
      <w:r>
        <w:rPr>
          <w:rFonts w:hint="eastAsia" w:ascii="仿宋_GB2312" w:hAnsi="仿宋_GB2312" w:cs="仿宋_GB2312"/>
          <w:lang w:val="en-US" w:eastAsia="zh-CN"/>
        </w:rPr>
        <w:t>以精准高效的</w:t>
      </w:r>
      <w:r>
        <w:rPr>
          <w:rFonts w:hint="eastAsia" w:ascii="仿宋_GB2312" w:hAnsi="仿宋_GB2312" w:eastAsia="仿宋_GB2312" w:cs="仿宋_GB2312"/>
          <w:lang w:val="en-US" w:eastAsia="zh-CN"/>
        </w:rPr>
        <w:t>“增值服务”</w:t>
      </w:r>
      <w:r>
        <w:rPr>
          <w:rFonts w:hint="eastAsia" w:ascii="仿宋_GB2312" w:hAnsi="仿宋_GB2312" w:cs="仿宋_GB2312"/>
          <w:lang w:val="en-US" w:eastAsia="zh-CN"/>
        </w:rPr>
        <w:t>赋能企业发展</w:t>
      </w:r>
      <w:r>
        <w:rPr>
          <w:rFonts w:hint="eastAsia" w:ascii="仿宋_GB2312" w:hAnsi="仿宋_GB2312" w:eastAsia="仿宋_GB2312" w:cs="仿宋_GB2312"/>
          <w:lang w:val="en-US" w:eastAsia="zh-CN"/>
        </w:rPr>
        <w:t>，</w:t>
      </w:r>
      <w:r>
        <w:rPr>
          <w:rFonts w:hint="eastAsia" w:ascii="仿宋_GB2312" w:hAnsi="仿宋_GB2312" w:cs="仿宋_GB2312"/>
          <w:lang w:val="en-US" w:eastAsia="zh-CN"/>
        </w:rPr>
        <w:t>保障规模目标落地</w:t>
      </w:r>
      <w:r>
        <w:rPr>
          <w:rFonts w:hint="eastAsia" w:ascii="仿宋_GB2312" w:hAnsi="仿宋_GB2312" w:eastAsia="仿宋_GB2312" w:cs="仿宋_GB2312"/>
          <w:lang w:val="en-US" w:eastAsia="zh-CN"/>
        </w:rPr>
        <w:t>。</w:t>
      </w:r>
    </w:p>
    <w:p w14:paraId="2D43E61C">
      <w:pPr>
        <w:bidi w:val="0"/>
        <w:rPr>
          <w:rFonts w:hint="eastAsia" w:ascii="仿宋_GB2312" w:hAnsi="仿宋_GB2312" w:eastAsia="仿宋_GB2312" w:cs="仿宋_GB2312"/>
          <w:lang w:val="en-US" w:eastAsia="zh-CN"/>
        </w:rPr>
      </w:pPr>
      <w:r>
        <w:rPr>
          <w:rFonts w:hint="eastAsia" w:ascii="仿宋_GB2312" w:hAnsi="仿宋_GB2312" w:eastAsia="仿宋_GB2312" w:cs="仿宋_GB2312"/>
          <w:b/>
          <w:bCs/>
          <w:lang w:val="en-US" w:eastAsia="zh-CN"/>
        </w:rPr>
        <w:t>压实主体责任。</w:t>
      </w:r>
      <w:r>
        <w:rPr>
          <w:rFonts w:hint="eastAsia" w:ascii="仿宋_GB2312" w:hAnsi="仿宋_GB2312" w:eastAsia="仿宋_GB2312" w:cs="仿宋_GB2312"/>
          <w:lang w:val="en-US" w:eastAsia="zh-CN"/>
        </w:rPr>
        <w:t>实行“一把手”负责制，压实部门责任，细化工作措施，明确项目手续办理时限清单，加密调度频次与督查问效，切实解决项目落地遇到的难点堵点</w:t>
      </w:r>
      <w:r>
        <w:rPr>
          <w:rFonts w:hint="eastAsia" w:ascii="仿宋_GB2312" w:hAnsi="仿宋_GB2312" w:cs="仿宋_GB2312"/>
          <w:lang w:val="en-US" w:eastAsia="zh-CN"/>
        </w:rPr>
        <w:t>。</w:t>
      </w:r>
      <w:r>
        <w:rPr>
          <w:rFonts w:hint="eastAsia" w:ascii="仿宋_GB2312" w:hAnsi="仿宋_GB2312" w:eastAsia="仿宋_GB2312" w:cs="仿宋_GB2312"/>
          <w:lang w:val="en-US" w:eastAsia="zh-CN"/>
        </w:rPr>
        <w:t>强化要素保障，同步推进化工园区安全评级、智能管廊等基建配套，缩短项目落地周期</w:t>
      </w:r>
      <w:r>
        <w:rPr>
          <w:rFonts w:hint="eastAsia" w:ascii="仿宋_GB2312" w:hAnsi="仿宋_GB2312" w:cs="仿宋_GB2312"/>
          <w:lang w:val="en-US" w:eastAsia="zh-CN"/>
        </w:rPr>
        <w:t>。</w:t>
      </w:r>
      <w:r>
        <w:rPr>
          <w:rFonts w:hint="eastAsia" w:ascii="仿宋_GB2312" w:hAnsi="仿宋_GB2312" w:eastAsia="仿宋_GB2312" w:cs="仿宋_GB2312"/>
          <w:lang w:val="en-US" w:eastAsia="zh-CN"/>
        </w:rPr>
        <w:t>试点“碳评能评合一”改革，探索将碳排放强度审查嵌入项目立项前置条件。</w:t>
      </w:r>
    </w:p>
    <w:p w14:paraId="1FBE2A20">
      <w:pPr>
        <w:pStyle w:val="3"/>
        <w:keepNext w:val="0"/>
        <w:keepLines w:val="0"/>
        <w:widowControl/>
        <w:spacing w:line="240" w:lineRule="auto"/>
        <w:ind w:left="0" w:leftChars="0" w:firstLine="0" w:firstLineChars="0"/>
        <w:jc w:val="center"/>
        <w:rPr>
          <w:rFonts w:hint="default" w:ascii="Times New Roman" w:hAnsi="Times New Roman" w:eastAsia="楷体_GB2312" w:cs="楷体_GB2312"/>
          <w:lang w:val="en-US" w:eastAsia="zh-CN"/>
        </w:rPr>
      </w:pPr>
      <w:bookmarkStart w:id="103" w:name="_Toc4664"/>
      <w:r>
        <w:rPr>
          <w:rFonts w:hint="eastAsia" w:ascii="Times New Roman" w:hAnsi="Times New Roman" w:eastAsia="楷体_GB2312" w:cs="楷体_GB2312"/>
          <w:lang w:val="en-US" w:eastAsia="zh-CN"/>
        </w:rPr>
        <w:t>第四节  完善多元化资金保障体系</w:t>
      </w:r>
      <w:bookmarkEnd w:id="103"/>
    </w:p>
    <w:p w14:paraId="2FF5861D">
      <w:pPr>
        <w:bidi w:val="0"/>
        <w:rPr>
          <w:rFonts w:hint="eastAsia" w:ascii="仿宋_GB2312" w:hAnsi="仿宋_GB2312" w:eastAsia="仿宋_GB2312" w:cs="仿宋_GB2312"/>
          <w:lang w:val="en-US" w:eastAsia="zh-CN"/>
        </w:rPr>
      </w:pPr>
      <w:r>
        <w:rPr>
          <w:rFonts w:hint="eastAsia" w:ascii="仿宋_GB2312" w:hAnsi="仿宋_GB2312" w:eastAsia="仿宋_GB2312" w:cs="仿宋_GB2312"/>
          <w:b/>
          <w:bCs/>
          <w:lang w:val="en-US" w:eastAsia="zh-CN"/>
        </w:rPr>
        <w:t>强化政府支持。</w:t>
      </w:r>
      <w:r>
        <w:rPr>
          <w:rFonts w:hint="eastAsia" w:ascii="仿宋_GB2312" w:hAnsi="仿宋_GB2312" w:eastAsia="仿宋_GB2312" w:cs="仿宋_GB2312"/>
          <w:lang w:val="en-US" w:eastAsia="zh-CN"/>
        </w:rPr>
        <w:t>聚焦“生物经济+现代农业”双引擎，积极申报中央预算内资金、超长期国债和政策性贷款，重点支持城市更新、新能源（如风电改造）、农业基础设施（如锦西灌区工程）等领域</w:t>
      </w:r>
      <w:r>
        <w:rPr>
          <w:rFonts w:hint="eastAsia" w:ascii="仿宋_GB2312" w:hAnsi="仿宋_GB2312" w:cs="仿宋_GB2312"/>
          <w:lang w:val="en-US" w:eastAsia="zh-CN"/>
        </w:rPr>
        <w:t>。</w:t>
      </w:r>
      <w:r>
        <w:rPr>
          <w:rFonts w:hint="eastAsia" w:ascii="仿宋_GB2312" w:hAnsi="仿宋_GB2312" w:eastAsia="仿宋_GB2312" w:cs="仿宋_GB2312"/>
          <w:lang w:val="en-US" w:eastAsia="zh-CN"/>
        </w:rPr>
        <w:t>深化政银企合作，引入农发行专项贷款等资金，推动产业链升级；通过政策性工具牵引、财政资金撬动与市场机制融合，构建覆盖全产业链的资金保障网络，为富锦市产业升级与乡村振兴提供可持续动力。</w:t>
      </w:r>
    </w:p>
    <w:p w14:paraId="433F5FAB">
      <w:pPr>
        <w:bidi w:val="0"/>
        <w:rPr>
          <w:rFonts w:hint="eastAsia" w:ascii="仿宋_GB2312" w:hAnsi="仿宋_GB2312" w:eastAsia="仿宋_GB2312" w:cs="仿宋_GB2312"/>
          <w:lang w:val="en-US" w:eastAsia="zh-CN"/>
        </w:rPr>
      </w:pPr>
      <w:r>
        <w:rPr>
          <w:rFonts w:hint="eastAsia" w:ascii="仿宋_GB2312" w:hAnsi="仿宋_GB2312" w:eastAsia="仿宋_GB2312" w:cs="仿宋_GB2312"/>
          <w:b/>
          <w:bCs/>
          <w:lang w:val="en-US" w:eastAsia="zh-CN"/>
        </w:rPr>
        <w:t>优化投资效能。</w:t>
      </w:r>
      <w:r>
        <w:rPr>
          <w:rFonts w:hint="eastAsia" w:ascii="仿宋_GB2312" w:hAnsi="仿宋_GB2312" w:eastAsia="仿宋_GB2312" w:cs="仿宋_GB2312"/>
          <w:lang w:val="en-US" w:eastAsia="zh-CN"/>
        </w:rPr>
        <w:t>严格规范政府投资方向，聚焦基础设施、生态环保等领域，推行“预算</w:t>
      </w:r>
      <w:r>
        <w:rPr>
          <w:rFonts w:hint="eastAsia" w:ascii="仿宋_GB2312" w:hAnsi="仿宋_GB2312" w:cs="仿宋_GB2312"/>
          <w:lang w:val="en-US" w:eastAsia="zh-CN"/>
        </w:rPr>
        <w:t>－</w:t>
      </w:r>
      <w:r>
        <w:rPr>
          <w:rFonts w:hint="eastAsia" w:ascii="仿宋_GB2312" w:hAnsi="仿宋_GB2312" w:eastAsia="仿宋_GB2312" w:cs="仿宋_GB2312"/>
          <w:lang w:val="en-US" w:eastAsia="zh-CN"/>
        </w:rPr>
        <w:t>支付</w:t>
      </w:r>
      <w:r>
        <w:rPr>
          <w:rFonts w:hint="eastAsia" w:ascii="仿宋_GB2312" w:hAnsi="仿宋_GB2312" w:cs="仿宋_GB2312"/>
          <w:lang w:val="en-US" w:eastAsia="zh-CN"/>
        </w:rPr>
        <w:t>－</w:t>
      </w:r>
      <w:r>
        <w:rPr>
          <w:rFonts w:hint="eastAsia" w:ascii="仿宋_GB2312" w:hAnsi="仿宋_GB2312" w:eastAsia="仿宋_GB2312" w:cs="仿宋_GB2312"/>
          <w:lang w:val="en-US" w:eastAsia="zh-CN"/>
        </w:rPr>
        <w:t>决算”闭环管理，严控超概算支付，调整预算需经市长审批，杜绝资金挪用，同步压缩非必要支出</w:t>
      </w:r>
      <w:r>
        <w:rPr>
          <w:rFonts w:hint="eastAsia" w:ascii="仿宋_GB2312" w:hAnsi="仿宋_GB2312" w:cs="仿宋_GB2312"/>
          <w:lang w:val="en-US" w:eastAsia="zh-CN"/>
        </w:rPr>
        <w:t>。</w:t>
      </w:r>
      <w:r>
        <w:rPr>
          <w:rFonts w:hint="eastAsia" w:ascii="仿宋_GB2312" w:hAnsi="仿宋_GB2312" w:eastAsia="仿宋_GB2312" w:cs="仿宋_GB2312"/>
          <w:lang w:val="en-US" w:eastAsia="zh-CN"/>
        </w:rPr>
        <w:t>严格遵循《政府投资项目资金管理办法》，设立基建资金专户，实行“联审拨付制”，确保专项债项目配套资金及时到位，确保资金精准投向民生与产业关键环节。</w:t>
      </w:r>
    </w:p>
    <w:p w14:paraId="734AA76F">
      <w:pPr>
        <w:bidi w:val="0"/>
        <w:rPr>
          <w:rFonts w:hint="eastAsia" w:ascii="仿宋_GB2312" w:hAnsi="仿宋_GB2312" w:eastAsia="仿宋_GB2312" w:cs="仿宋_GB2312"/>
          <w:lang w:val="en-US" w:eastAsia="zh-CN"/>
        </w:rPr>
      </w:pPr>
      <w:r>
        <w:rPr>
          <w:rFonts w:hint="eastAsia" w:ascii="仿宋_GB2312" w:hAnsi="仿宋_GB2312" w:eastAsia="仿宋_GB2312" w:cs="仿宋_GB2312"/>
          <w:b/>
          <w:bCs/>
          <w:lang w:val="en-US" w:eastAsia="zh-CN"/>
        </w:rPr>
        <w:t>拓展融资渠道。</w:t>
      </w:r>
      <w:r>
        <w:rPr>
          <w:rFonts w:hint="eastAsia" w:ascii="仿宋_GB2312" w:hAnsi="仿宋_GB2312" w:eastAsia="仿宋_GB2312" w:cs="仿宋_GB2312"/>
          <w:lang w:val="en-US" w:eastAsia="zh-CN"/>
        </w:rPr>
        <w:t>完善多元化资金保障体系，拓展市场化融资渠道，通过多层次、多渠道融资机制强化发展动能</w:t>
      </w:r>
      <w:r>
        <w:rPr>
          <w:rFonts w:hint="eastAsia" w:ascii="仿宋_GB2312" w:hAnsi="仿宋_GB2312" w:cs="仿宋_GB2312"/>
          <w:lang w:val="en-US" w:eastAsia="zh-CN"/>
        </w:rPr>
        <w:t>。</w:t>
      </w:r>
      <w:r>
        <w:rPr>
          <w:rFonts w:hint="eastAsia" w:ascii="仿宋_GB2312" w:hAnsi="仿宋_GB2312" w:eastAsia="仿宋_GB2312" w:cs="仿宋_GB2312"/>
          <w:lang w:val="en-US" w:eastAsia="zh-CN"/>
        </w:rPr>
        <w:t>创新“信易贷”平台发放贷款，破解中小企业融资难题</w:t>
      </w:r>
      <w:r>
        <w:rPr>
          <w:rFonts w:hint="eastAsia" w:ascii="仿宋_GB2312" w:hAnsi="仿宋_GB2312" w:cs="仿宋_GB2312"/>
          <w:lang w:val="en-US" w:eastAsia="zh-CN"/>
        </w:rPr>
        <w:t>。</w:t>
      </w:r>
      <w:r>
        <w:rPr>
          <w:rFonts w:hint="eastAsia" w:ascii="仿宋_GB2312" w:hAnsi="仿宋_GB2312" w:eastAsia="仿宋_GB2312" w:cs="仿宋_GB2312"/>
          <w:lang w:val="en-US" w:eastAsia="zh-CN"/>
        </w:rPr>
        <w:t>吸引社会资本参与重点项目，撬动社会投资，形成“财政+金融+社会资本”协同格局。</w:t>
      </w:r>
    </w:p>
    <w:p w14:paraId="73E11003">
      <w:pPr>
        <w:pStyle w:val="8"/>
        <w:keepNext w:val="0"/>
        <w:keepLines w:val="0"/>
        <w:pageBreakBefore w:val="0"/>
        <w:widowControl w:val="0"/>
        <w:kinsoku/>
        <w:wordWrap/>
        <w:overflowPunct/>
        <w:topLinePunct w:val="0"/>
        <w:autoSpaceDE/>
        <w:autoSpaceDN/>
        <w:bidi w:val="0"/>
        <w:adjustRightInd/>
        <w:snapToGrid/>
        <w:spacing w:after="120" w:line="240" w:lineRule="auto"/>
        <w:ind w:left="0" w:leftChars="0" w:firstLine="0" w:firstLineChars="0"/>
        <w:jc w:val="center"/>
        <w:textAlignment w:val="auto"/>
        <w:rPr>
          <w:rFonts w:hint="default" w:ascii="黑体" w:hAnsi="黑体" w:eastAsia="黑体" w:cs="黑体"/>
          <w:sz w:val="24"/>
          <w:szCs w:val="24"/>
          <w:lang w:val="en-US" w:eastAsia="zh-CN"/>
        </w:rPr>
      </w:pPr>
      <w:r>
        <w:rPr>
          <w:rFonts w:hint="eastAsia" w:ascii="黑体" w:hAnsi="黑体" w:eastAsia="黑体" w:cs="黑体"/>
          <w:sz w:val="24"/>
          <w:szCs w:val="24"/>
          <w:lang w:val="en-US" w:eastAsia="zh-CN"/>
        </w:rPr>
        <w:t>表3 富锦市“十五五”重点项目建设资金争取表</w:t>
      </w:r>
    </w:p>
    <w:tbl>
      <w:tblPr>
        <w:tblStyle w:val="20"/>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7"/>
        <w:gridCol w:w="963"/>
        <w:gridCol w:w="1325"/>
        <w:gridCol w:w="2400"/>
        <w:gridCol w:w="2997"/>
      </w:tblGrid>
      <w:tr w14:paraId="654DB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blHeader/>
          <w:jc w:val="center"/>
        </w:trPr>
        <w:tc>
          <w:tcPr>
            <w:tcW w:w="837" w:type="dxa"/>
            <w:shd w:val="clear" w:color="auto" w:fill="DBE3F4" w:themeFill="accent1" w:themeFillTint="32"/>
            <w:vAlign w:val="center"/>
          </w:tcPr>
          <w:p w14:paraId="26AE76E1">
            <w:pPr>
              <w:pStyle w:val="8"/>
              <w:keepNext w:val="0"/>
              <w:keepLines w:val="0"/>
              <w:pageBreakBefore w:val="0"/>
              <w:widowControl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hint="eastAsia" w:ascii="仿宋" w:hAnsi="仿宋" w:eastAsia="仿宋" w:cs="仿宋"/>
                <w:b/>
                <w:bCs/>
                <w:sz w:val="18"/>
                <w:szCs w:val="18"/>
                <w:vertAlign w:val="baseline"/>
                <w:lang w:val="en-US" w:eastAsia="zh-CN"/>
              </w:rPr>
            </w:pPr>
            <w:r>
              <w:rPr>
                <w:rFonts w:hint="eastAsia" w:ascii="仿宋" w:hAnsi="仿宋" w:eastAsia="仿宋" w:cs="仿宋"/>
                <w:b/>
                <w:bCs/>
                <w:sz w:val="18"/>
                <w:szCs w:val="18"/>
                <w:vertAlign w:val="baseline"/>
                <w:lang w:val="en-US" w:eastAsia="zh-CN"/>
              </w:rPr>
              <w:t>领域</w:t>
            </w:r>
          </w:p>
        </w:tc>
        <w:tc>
          <w:tcPr>
            <w:tcW w:w="963" w:type="dxa"/>
            <w:shd w:val="clear" w:color="auto" w:fill="DBE3F4" w:themeFill="accent1" w:themeFillTint="32"/>
            <w:vAlign w:val="center"/>
          </w:tcPr>
          <w:p w14:paraId="451E0769">
            <w:pPr>
              <w:pStyle w:val="8"/>
              <w:keepNext w:val="0"/>
              <w:keepLines w:val="0"/>
              <w:pageBreakBefore w:val="0"/>
              <w:widowControl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hint="eastAsia" w:ascii="仿宋" w:hAnsi="仿宋" w:eastAsia="仿宋" w:cs="仿宋"/>
                <w:b/>
                <w:bCs/>
                <w:sz w:val="18"/>
                <w:szCs w:val="18"/>
                <w:vertAlign w:val="baseline"/>
                <w:lang w:val="en-US" w:eastAsia="zh-CN"/>
              </w:rPr>
            </w:pPr>
            <w:r>
              <w:rPr>
                <w:rFonts w:hint="eastAsia" w:ascii="仿宋" w:hAnsi="仿宋" w:eastAsia="仿宋" w:cs="仿宋"/>
                <w:b/>
                <w:bCs/>
                <w:sz w:val="18"/>
                <w:szCs w:val="18"/>
                <w:vertAlign w:val="baseline"/>
                <w:lang w:val="en-US" w:eastAsia="zh-CN"/>
              </w:rPr>
              <w:t>资金类型</w:t>
            </w:r>
          </w:p>
        </w:tc>
        <w:tc>
          <w:tcPr>
            <w:tcW w:w="1325" w:type="dxa"/>
            <w:shd w:val="clear" w:color="auto" w:fill="DBE3F4" w:themeFill="accent1" w:themeFillTint="32"/>
            <w:vAlign w:val="center"/>
          </w:tcPr>
          <w:p w14:paraId="32682CF0">
            <w:pPr>
              <w:pStyle w:val="8"/>
              <w:keepNext w:val="0"/>
              <w:keepLines w:val="0"/>
              <w:pageBreakBefore w:val="0"/>
              <w:widowControl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hint="eastAsia" w:ascii="仿宋" w:hAnsi="仿宋" w:eastAsia="仿宋" w:cs="仿宋"/>
                <w:b/>
                <w:bCs/>
                <w:sz w:val="18"/>
                <w:szCs w:val="18"/>
                <w:vertAlign w:val="baseline"/>
                <w:lang w:val="en-US" w:eastAsia="zh-CN"/>
              </w:rPr>
            </w:pPr>
            <w:r>
              <w:rPr>
                <w:rFonts w:hint="eastAsia" w:ascii="仿宋" w:hAnsi="仿宋" w:eastAsia="仿宋" w:cs="仿宋"/>
                <w:b/>
                <w:bCs/>
                <w:sz w:val="18"/>
                <w:szCs w:val="18"/>
                <w:vertAlign w:val="baseline"/>
                <w:lang w:val="en-US" w:eastAsia="zh-CN"/>
              </w:rPr>
              <w:t>资金额度</w:t>
            </w:r>
          </w:p>
        </w:tc>
        <w:tc>
          <w:tcPr>
            <w:tcW w:w="2400" w:type="dxa"/>
            <w:shd w:val="clear" w:color="auto" w:fill="DBE3F4" w:themeFill="accent1" w:themeFillTint="32"/>
            <w:vAlign w:val="center"/>
          </w:tcPr>
          <w:p w14:paraId="7F66A76F">
            <w:pPr>
              <w:pStyle w:val="8"/>
              <w:keepNext w:val="0"/>
              <w:keepLines w:val="0"/>
              <w:pageBreakBefore w:val="0"/>
              <w:widowControl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hint="eastAsia" w:ascii="仿宋" w:hAnsi="仿宋" w:eastAsia="仿宋" w:cs="仿宋"/>
                <w:b/>
                <w:bCs/>
                <w:sz w:val="18"/>
                <w:szCs w:val="18"/>
                <w:vertAlign w:val="baseline"/>
                <w:lang w:val="en-US" w:eastAsia="zh-CN"/>
              </w:rPr>
            </w:pPr>
            <w:r>
              <w:rPr>
                <w:rFonts w:hint="eastAsia" w:ascii="仿宋" w:hAnsi="仿宋" w:eastAsia="仿宋" w:cs="仿宋"/>
                <w:b/>
                <w:bCs/>
                <w:sz w:val="18"/>
                <w:szCs w:val="18"/>
                <w:vertAlign w:val="baseline"/>
                <w:lang w:val="en-US" w:eastAsia="zh-CN"/>
              </w:rPr>
              <w:t>重点支持方向</w:t>
            </w:r>
          </w:p>
        </w:tc>
        <w:tc>
          <w:tcPr>
            <w:tcW w:w="2997" w:type="dxa"/>
            <w:shd w:val="clear" w:color="auto" w:fill="DBE3F4" w:themeFill="accent1" w:themeFillTint="32"/>
            <w:vAlign w:val="center"/>
          </w:tcPr>
          <w:p w14:paraId="003E0519">
            <w:pPr>
              <w:pStyle w:val="8"/>
              <w:keepNext w:val="0"/>
              <w:keepLines w:val="0"/>
              <w:pageBreakBefore w:val="0"/>
              <w:widowControl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hint="eastAsia" w:ascii="仿宋" w:hAnsi="仿宋" w:eastAsia="仿宋" w:cs="仿宋"/>
                <w:b/>
                <w:bCs/>
                <w:sz w:val="18"/>
                <w:szCs w:val="18"/>
                <w:vertAlign w:val="baseline"/>
                <w:lang w:val="en-US" w:eastAsia="zh-CN"/>
              </w:rPr>
            </w:pPr>
            <w:r>
              <w:rPr>
                <w:rFonts w:hint="eastAsia" w:ascii="仿宋" w:hAnsi="仿宋" w:eastAsia="仿宋" w:cs="仿宋"/>
                <w:b/>
                <w:bCs/>
                <w:sz w:val="18"/>
                <w:szCs w:val="18"/>
                <w:vertAlign w:val="baseline"/>
                <w:lang w:val="en-US" w:eastAsia="zh-CN"/>
              </w:rPr>
              <w:t>典型案例/政策依据</w:t>
            </w:r>
          </w:p>
        </w:tc>
      </w:tr>
      <w:tr w14:paraId="32B11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37" w:type="dxa"/>
            <w:vMerge w:val="restart"/>
            <w:vAlign w:val="center"/>
          </w:tcPr>
          <w:p w14:paraId="2F431963">
            <w:pPr>
              <w:pStyle w:val="16"/>
              <w:keepNext w:val="0"/>
              <w:keepLines w:val="0"/>
              <w:widowControl/>
              <w:suppressLineNumbers w:val="0"/>
              <w:kinsoku/>
              <w:wordWrap/>
              <w:overflowPunct/>
              <w:snapToGrid w:val="0"/>
              <w:spacing w:line="240" w:lineRule="auto"/>
              <w:ind w:left="0" w:leftChars="0" w:right="0" w:rightChars="0" w:firstLine="0" w:firstLineChars="0"/>
              <w:jc w:val="center"/>
              <w:rPr>
                <w:rFonts w:hint="eastAsia" w:ascii="仿宋" w:hAnsi="仿宋" w:eastAsia="仿宋" w:cs="仿宋"/>
                <w:b/>
                <w:bCs/>
                <w:sz w:val="15"/>
                <w:szCs w:val="15"/>
                <w:vertAlign w:val="baseline"/>
                <w:lang w:val="en-US" w:eastAsia="zh-CN"/>
              </w:rPr>
            </w:pPr>
            <w:r>
              <w:rPr>
                <w:rFonts w:hint="eastAsia" w:ascii="仿宋" w:hAnsi="仿宋" w:eastAsia="仿宋" w:cs="仿宋"/>
                <w:b/>
                <w:bCs/>
                <w:color w:val="000000"/>
                <w:sz w:val="15"/>
                <w:szCs w:val="15"/>
              </w:rPr>
              <w:t>现代农业</w:t>
            </w:r>
          </w:p>
        </w:tc>
        <w:tc>
          <w:tcPr>
            <w:tcW w:w="963" w:type="dxa"/>
            <w:vAlign w:val="center"/>
          </w:tcPr>
          <w:p w14:paraId="6481B4AE">
            <w:pPr>
              <w:pStyle w:val="16"/>
              <w:keepNext w:val="0"/>
              <w:keepLines w:val="0"/>
              <w:widowControl/>
              <w:suppressLineNumbers w:val="0"/>
              <w:kinsoku/>
              <w:wordWrap/>
              <w:overflowPunct/>
              <w:snapToGrid w:val="0"/>
              <w:spacing w:line="240" w:lineRule="auto"/>
              <w:ind w:left="0" w:leftChars="0" w:right="0" w:rightChars="0" w:firstLine="0" w:firstLineChars="0"/>
              <w:jc w:val="left"/>
              <w:rPr>
                <w:rFonts w:hint="eastAsia" w:ascii="仿宋" w:hAnsi="仿宋" w:eastAsia="仿宋" w:cs="仿宋"/>
                <w:sz w:val="15"/>
                <w:szCs w:val="15"/>
                <w:vertAlign w:val="baseline"/>
                <w:lang w:val="en-US" w:eastAsia="zh-CN"/>
              </w:rPr>
            </w:pPr>
            <w:r>
              <w:rPr>
                <w:rFonts w:hint="eastAsia" w:ascii="仿宋" w:hAnsi="仿宋" w:eastAsia="仿宋" w:cs="仿宋"/>
                <w:color w:val="000000"/>
                <w:sz w:val="15"/>
                <w:szCs w:val="15"/>
              </w:rPr>
              <w:t>中央预算内投资</w:t>
            </w:r>
          </w:p>
        </w:tc>
        <w:tc>
          <w:tcPr>
            <w:tcW w:w="1325" w:type="dxa"/>
            <w:vAlign w:val="center"/>
          </w:tcPr>
          <w:p w14:paraId="61D9E98F">
            <w:pPr>
              <w:pStyle w:val="16"/>
              <w:keepNext w:val="0"/>
              <w:keepLines w:val="0"/>
              <w:widowControl/>
              <w:suppressLineNumbers w:val="0"/>
              <w:kinsoku/>
              <w:wordWrap/>
              <w:overflowPunct/>
              <w:snapToGrid w:val="0"/>
              <w:spacing w:line="240" w:lineRule="auto"/>
              <w:ind w:left="0" w:leftChars="0" w:right="0" w:rightChars="0" w:firstLine="0" w:firstLineChars="0"/>
              <w:jc w:val="center"/>
              <w:rPr>
                <w:rFonts w:hint="eastAsia" w:ascii="仿宋" w:hAnsi="仿宋" w:eastAsia="仿宋" w:cs="仿宋"/>
                <w:sz w:val="15"/>
                <w:szCs w:val="15"/>
                <w:vertAlign w:val="baseline"/>
                <w:lang w:val="en-US" w:eastAsia="zh-CN"/>
              </w:rPr>
            </w:pPr>
            <w:r>
              <w:rPr>
                <w:rFonts w:hint="eastAsia" w:ascii="仿宋" w:hAnsi="仿宋" w:eastAsia="仿宋" w:cs="仿宋"/>
                <w:color w:val="000000"/>
                <w:sz w:val="15"/>
                <w:szCs w:val="15"/>
                <w:lang w:eastAsia="zh-CN"/>
              </w:rPr>
              <w:t>3000万—4000万</w:t>
            </w:r>
          </w:p>
        </w:tc>
        <w:tc>
          <w:tcPr>
            <w:tcW w:w="2400" w:type="dxa"/>
            <w:vAlign w:val="center"/>
          </w:tcPr>
          <w:p w14:paraId="2F46D24E">
            <w:pPr>
              <w:pStyle w:val="16"/>
              <w:keepNext w:val="0"/>
              <w:keepLines w:val="0"/>
              <w:widowControl/>
              <w:suppressLineNumbers w:val="0"/>
              <w:kinsoku/>
              <w:wordWrap/>
              <w:overflowPunct/>
              <w:snapToGrid w:val="0"/>
              <w:spacing w:line="240" w:lineRule="auto"/>
              <w:ind w:left="0" w:leftChars="0" w:right="0" w:rightChars="0" w:firstLine="0" w:firstLineChars="0"/>
              <w:jc w:val="left"/>
              <w:rPr>
                <w:rFonts w:hint="eastAsia" w:ascii="仿宋" w:hAnsi="仿宋" w:eastAsia="仿宋" w:cs="仿宋"/>
                <w:sz w:val="15"/>
                <w:szCs w:val="15"/>
                <w:vertAlign w:val="baseline"/>
                <w:lang w:val="en-US" w:eastAsia="zh-CN"/>
              </w:rPr>
            </w:pPr>
            <w:r>
              <w:rPr>
                <w:rFonts w:hint="eastAsia" w:ascii="仿宋" w:hAnsi="仿宋" w:eastAsia="仿宋" w:cs="仿宋"/>
                <w:color w:val="000000"/>
                <w:sz w:val="15"/>
                <w:szCs w:val="15"/>
              </w:rPr>
              <w:t>黑土地保护、高标准农田（田块整治、沟渠衬砌、田间道路）</w:t>
            </w:r>
          </w:p>
        </w:tc>
        <w:tc>
          <w:tcPr>
            <w:tcW w:w="2997" w:type="dxa"/>
            <w:vAlign w:val="center"/>
          </w:tcPr>
          <w:p w14:paraId="46A9B162">
            <w:pPr>
              <w:pStyle w:val="16"/>
              <w:keepNext w:val="0"/>
              <w:keepLines w:val="0"/>
              <w:widowControl/>
              <w:suppressLineNumbers w:val="0"/>
              <w:kinsoku/>
              <w:wordWrap/>
              <w:overflowPunct/>
              <w:snapToGrid w:val="0"/>
              <w:spacing w:line="240" w:lineRule="auto"/>
              <w:ind w:left="0" w:leftChars="0" w:right="0" w:rightChars="0" w:firstLine="0" w:firstLineChars="0"/>
              <w:jc w:val="left"/>
              <w:rPr>
                <w:rFonts w:hint="eastAsia" w:ascii="仿宋" w:hAnsi="仿宋" w:eastAsia="仿宋" w:cs="仿宋"/>
                <w:sz w:val="15"/>
                <w:szCs w:val="15"/>
                <w:vertAlign w:val="baseline"/>
                <w:lang w:val="en-US" w:eastAsia="zh-CN"/>
              </w:rPr>
            </w:pPr>
            <w:r>
              <w:rPr>
                <w:rFonts w:hint="eastAsia" w:ascii="仿宋" w:hAnsi="仿宋" w:eastAsia="仿宋" w:cs="仿宋"/>
                <w:color w:val="000000"/>
                <w:sz w:val="15"/>
                <w:szCs w:val="15"/>
              </w:rPr>
              <w:t>七星农场黑土地保护项目（3789万元），农业农村部科技共建专项</w:t>
            </w:r>
          </w:p>
        </w:tc>
      </w:tr>
      <w:tr w14:paraId="2D626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37" w:type="dxa"/>
            <w:vMerge w:val="continue"/>
            <w:vAlign w:val="center"/>
          </w:tcPr>
          <w:p w14:paraId="5F87F9CC">
            <w:pPr>
              <w:snapToGrid w:val="0"/>
              <w:spacing w:line="240" w:lineRule="auto"/>
              <w:ind w:left="0" w:leftChars="0" w:right="0" w:rightChars="0" w:firstLine="0" w:firstLineChars="0"/>
              <w:jc w:val="center"/>
              <w:rPr>
                <w:rFonts w:hint="eastAsia" w:ascii="仿宋" w:hAnsi="仿宋" w:eastAsia="仿宋" w:cs="仿宋"/>
                <w:b/>
                <w:bCs/>
                <w:sz w:val="15"/>
                <w:szCs w:val="15"/>
                <w:vertAlign w:val="baseline"/>
                <w:lang w:val="en-US" w:eastAsia="zh-CN"/>
              </w:rPr>
            </w:pPr>
          </w:p>
        </w:tc>
        <w:tc>
          <w:tcPr>
            <w:tcW w:w="963" w:type="dxa"/>
            <w:vAlign w:val="center"/>
          </w:tcPr>
          <w:p w14:paraId="68315D98">
            <w:pPr>
              <w:pStyle w:val="16"/>
              <w:keepNext w:val="0"/>
              <w:keepLines w:val="0"/>
              <w:widowControl/>
              <w:suppressLineNumbers w:val="0"/>
              <w:kinsoku/>
              <w:wordWrap/>
              <w:overflowPunct/>
              <w:snapToGrid w:val="0"/>
              <w:spacing w:line="240" w:lineRule="auto"/>
              <w:ind w:left="0" w:leftChars="0" w:right="0" w:rightChars="0" w:firstLine="0" w:firstLineChars="0"/>
              <w:jc w:val="left"/>
              <w:rPr>
                <w:rFonts w:hint="eastAsia" w:ascii="仿宋" w:hAnsi="仿宋" w:eastAsia="仿宋" w:cs="仿宋"/>
                <w:sz w:val="15"/>
                <w:szCs w:val="15"/>
                <w:vertAlign w:val="baseline"/>
                <w:lang w:val="en-US" w:eastAsia="zh-CN"/>
              </w:rPr>
            </w:pPr>
            <w:r>
              <w:rPr>
                <w:rFonts w:hint="eastAsia" w:ascii="仿宋" w:hAnsi="仿宋" w:eastAsia="仿宋" w:cs="仿宋"/>
                <w:color w:val="000000"/>
                <w:sz w:val="15"/>
                <w:szCs w:val="15"/>
              </w:rPr>
              <w:t>超长期特别国债</w:t>
            </w:r>
          </w:p>
        </w:tc>
        <w:tc>
          <w:tcPr>
            <w:tcW w:w="1325" w:type="dxa"/>
            <w:vAlign w:val="center"/>
          </w:tcPr>
          <w:p w14:paraId="4BE64542">
            <w:pPr>
              <w:pStyle w:val="16"/>
              <w:keepNext w:val="0"/>
              <w:keepLines w:val="0"/>
              <w:widowControl/>
              <w:suppressLineNumbers w:val="0"/>
              <w:kinsoku/>
              <w:wordWrap/>
              <w:overflowPunct/>
              <w:snapToGrid w:val="0"/>
              <w:spacing w:line="240" w:lineRule="auto"/>
              <w:ind w:left="0" w:leftChars="0" w:right="0" w:rightChars="0" w:firstLine="0" w:firstLineChars="0"/>
              <w:jc w:val="center"/>
              <w:rPr>
                <w:rFonts w:hint="eastAsia" w:ascii="仿宋" w:hAnsi="仿宋" w:eastAsia="仿宋" w:cs="仿宋"/>
                <w:sz w:val="15"/>
                <w:szCs w:val="15"/>
                <w:vertAlign w:val="baseline"/>
                <w:lang w:val="en-US" w:eastAsia="zh-CN"/>
              </w:rPr>
            </w:pPr>
            <w:r>
              <w:rPr>
                <w:rFonts w:hint="eastAsia" w:ascii="仿宋" w:hAnsi="仿宋" w:eastAsia="仿宋" w:cs="仿宋"/>
                <w:color w:val="000000"/>
                <w:sz w:val="15"/>
                <w:szCs w:val="15"/>
              </w:rPr>
              <w:t>≥1亿</w:t>
            </w:r>
          </w:p>
        </w:tc>
        <w:tc>
          <w:tcPr>
            <w:tcW w:w="2400" w:type="dxa"/>
            <w:vAlign w:val="center"/>
          </w:tcPr>
          <w:p w14:paraId="5FDA64E6">
            <w:pPr>
              <w:pStyle w:val="16"/>
              <w:keepNext w:val="0"/>
              <w:keepLines w:val="0"/>
              <w:widowControl/>
              <w:suppressLineNumbers w:val="0"/>
              <w:kinsoku/>
              <w:wordWrap/>
              <w:overflowPunct/>
              <w:snapToGrid w:val="0"/>
              <w:spacing w:line="240" w:lineRule="auto"/>
              <w:ind w:left="0" w:leftChars="0" w:right="0" w:rightChars="0" w:firstLine="0" w:firstLineChars="0"/>
              <w:jc w:val="left"/>
              <w:rPr>
                <w:rFonts w:hint="eastAsia" w:ascii="仿宋" w:hAnsi="仿宋" w:eastAsia="仿宋" w:cs="仿宋"/>
                <w:sz w:val="15"/>
                <w:szCs w:val="15"/>
                <w:vertAlign w:val="baseline"/>
                <w:lang w:val="en-US" w:eastAsia="zh-CN"/>
              </w:rPr>
            </w:pPr>
            <w:r>
              <w:rPr>
                <w:rFonts w:hint="eastAsia" w:ascii="仿宋" w:hAnsi="仿宋" w:eastAsia="仿宋" w:cs="仿宋"/>
                <w:color w:val="000000"/>
                <w:sz w:val="15"/>
                <w:szCs w:val="15"/>
              </w:rPr>
              <w:t>设施农业（智能温室、大垄密植技术基地）、冷链物流</w:t>
            </w:r>
          </w:p>
        </w:tc>
        <w:tc>
          <w:tcPr>
            <w:tcW w:w="2997" w:type="dxa"/>
            <w:vAlign w:val="center"/>
          </w:tcPr>
          <w:p w14:paraId="1F702EDB">
            <w:pPr>
              <w:pStyle w:val="16"/>
              <w:keepNext w:val="0"/>
              <w:keepLines w:val="0"/>
              <w:widowControl/>
              <w:suppressLineNumbers w:val="0"/>
              <w:kinsoku/>
              <w:wordWrap/>
              <w:overflowPunct/>
              <w:snapToGrid w:val="0"/>
              <w:spacing w:line="240" w:lineRule="auto"/>
              <w:ind w:left="0" w:leftChars="0" w:right="0" w:rightChars="0" w:firstLine="0" w:firstLineChars="0"/>
              <w:jc w:val="left"/>
              <w:rPr>
                <w:rFonts w:hint="eastAsia" w:ascii="仿宋" w:hAnsi="仿宋" w:eastAsia="仿宋" w:cs="仿宋"/>
                <w:sz w:val="15"/>
                <w:szCs w:val="15"/>
                <w:vertAlign w:val="baseline"/>
                <w:lang w:val="en-US" w:eastAsia="zh-CN"/>
              </w:rPr>
            </w:pPr>
            <w:r>
              <w:rPr>
                <w:rFonts w:hint="eastAsia" w:ascii="仿宋" w:hAnsi="仿宋" w:eastAsia="仿宋" w:cs="仿宋"/>
                <w:color w:val="000000"/>
                <w:sz w:val="15"/>
                <w:szCs w:val="15"/>
              </w:rPr>
              <w:t>大锦农冷链物流项目（1.5亿元），2025年新政纳入设施农业</w:t>
            </w:r>
          </w:p>
        </w:tc>
      </w:tr>
      <w:tr w14:paraId="7336D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37" w:type="dxa"/>
            <w:vMerge w:val="restart"/>
            <w:vAlign w:val="center"/>
          </w:tcPr>
          <w:p w14:paraId="489BD8B1">
            <w:pPr>
              <w:pStyle w:val="16"/>
              <w:keepNext w:val="0"/>
              <w:keepLines w:val="0"/>
              <w:widowControl/>
              <w:suppressLineNumbers w:val="0"/>
              <w:kinsoku/>
              <w:wordWrap/>
              <w:overflowPunct/>
              <w:snapToGrid w:val="0"/>
              <w:spacing w:line="240" w:lineRule="auto"/>
              <w:ind w:left="0" w:leftChars="0" w:right="0" w:rightChars="0" w:firstLine="0" w:firstLineChars="0"/>
              <w:jc w:val="center"/>
              <w:rPr>
                <w:rFonts w:hint="eastAsia" w:ascii="仿宋" w:hAnsi="仿宋" w:eastAsia="仿宋" w:cs="仿宋"/>
                <w:b/>
                <w:bCs/>
                <w:sz w:val="15"/>
                <w:szCs w:val="15"/>
                <w:vertAlign w:val="baseline"/>
                <w:lang w:val="en-US" w:eastAsia="zh-CN"/>
              </w:rPr>
            </w:pPr>
            <w:r>
              <w:rPr>
                <w:rFonts w:hint="eastAsia" w:ascii="仿宋" w:hAnsi="仿宋" w:eastAsia="仿宋" w:cs="仿宋"/>
                <w:b/>
                <w:bCs/>
                <w:color w:val="000000"/>
                <w:sz w:val="15"/>
                <w:szCs w:val="15"/>
              </w:rPr>
              <w:t>生物经济</w:t>
            </w:r>
          </w:p>
        </w:tc>
        <w:tc>
          <w:tcPr>
            <w:tcW w:w="963" w:type="dxa"/>
            <w:vAlign w:val="center"/>
          </w:tcPr>
          <w:p w14:paraId="377AC9A3">
            <w:pPr>
              <w:pStyle w:val="16"/>
              <w:keepNext w:val="0"/>
              <w:keepLines w:val="0"/>
              <w:widowControl/>
              <w:suppressLineNumbers w:val="0"/>
              <w:kinsoku/>
              <w:wordWrap/>
              <w:overflowPunct/>
              <w:snapToGrid w:val="0"/>
              <w:spacing w:line="240" w:lineRule="auto"/>
              <w:ind w:left="0" w:leftChars="0" w:right="0" w:rightChars="0" w:firstLine="0" w:firstLineChars="0"/>
              <w:jc w:val="left"/>
              <w:rPr>
                <w:rFonts w:hint="eastAsia" w:ascii="仿宋" w:hAnsi="仿宋" w:eastAsia="仿宋" w:cs="仿宋"/>
                <w:sz w:val="15"/>
                <w:szCs w:val="15"/>
                <w:vertAlign w:val="baseline"/>
                <w:lang w:val="en-US" w:eastAsia="zh-CN"/>
              </w:rPr>
            </w:pPr>
            <w:r>
              <w:rPr>
                <w:rFonts w:hint="eastAsia" w:ascii="仿宋" w:hAnsi="仿宋" w:eastAsia="仿宋" w:cs="仿宋"/>
                <w:color w:val="000000"/>
                <w:sz w:val="15"/>
                <w:szCs w:val="15"/>
              </w:rPr>
              <w:t>政策性金融贷款</w:t>
            </w:r>
          </w:p>
        </w:tc>
        <w:tc>
          <w:tcPr>
            <w:tcW w:w="1325" w:type="dxa"/>
            <w:vAlign w:val="center"/>
          </w:tcPr>
          <w:p w14:paraId="137065C9">
            <w:pPr>
              <w:pStyle w:val="16"/>
              <w:keepNext w:val="0"/>
              <w:keepLines w:val="0"/>
              <w:widowControl/>
              <w:suppressLineNumbers w:val="0"/>
              <w:kinsoku/>
              <w:wordWrap/>
              <w:overflowPunct/>
              <w:snapToGrid w:val="0"/>
              <w:spacing w:line="240" w:lineRule="auto"/>
              <w:ind w:left="0" w:leftChars="0" w:right="0" w:rightChars="0" w:firstLine="0" w:firstLineChars="0"/>
              <w:jc w:val="center"/>
              <w:rPr>
                <w:rFonts w:hint="eastAsia" w:ascii="仿宋" w:hAnsi="仿宋" w:eastAsia="仿宋" w:cs="仿宋"/>
                <w:sz w:val="15"/>
                <w:szCs w:val="15"/>
                <w:vertAlign w:val="baseline"/>
                <w:lang w:val="en-US" w:eastAsia="zh-CN"/>
              </w:rPr>
            </w:pPr>
            <w:r>
              <w:rPr>
                <w:rFonts w:hint="eastAsia" w:ascii="仿宋" w:hAnsi="仿宋" w:eastAsia="仿宋" w:cs="仿宋"/>
                <w:color w:val="000000"/>
                <w:sz w:val="15"/>
                <w:szCs w:val="15"/>
              </w:rPr>
              <w:t>≥1亿</w:t>
            </w:r>
          </w:p>
        </w:tc>
        <w:tc>
          <w:tcPr>
            <w:tcW w:w="2400" w:type="dxa"/>
            <w:vAlign w:val="center"/>
          </w:tcPr>
          <w:p w14:paraId="194E0377">
            <w:pPr>
              <w:pStyle w:val="16"/>
              <w:keepNext w:val="0"/>
              <w:keepLines w:val="0"/>
              <w:widowControl/>
              <w:suppressLineNumbers w:val="0"/>
              <w:kinsoku/>
              <w:wordWrap/>
              <w:overflowPunct/>
              <w:snapToGrid w:val="0"/>
              <w:spacing w:line="240" w:lineRule="auto"/>
              <w:ind w:left="0" w:leftChars="0" w:right="0" w:rightChars="0" w:firstLine="0" w:firstLineChars="0"/>
              <w:jc w:val="left"/>
              <w:rPr>
                <w:rFonts w:hint="eastAsia" w:ascii="仿宋" w:hAnsi="仿宋" w:eastAsia="仿宋" w:cs="仿宋"/>
                <w:sz w:val="15"/>
                <w:szCs w:val="15"/>
                <w:vertAlign w:val="baseline"/>
                <w:lang w:val="en-US" w:eastAsia="zh-CN"/>
              </w:rPr>
            </w:pPr>
            <w:r>
              <w:rPr>
                <w:rFonts w:hint="eastAsia" w:ascii="仿宋" w:hAnsi="仿宋" w:eastAsia="仿宋" w:cs="仿宋"/>
                <w:b/>
                <w:bCs/>
                <w:color w:val="000000"/>
                <w:sz w:val="15"/>
                <w:szCs w:val="15"/>
              </w:rPr>
              <w:t>生物制造</w:t>
            </w:r>
            <w:r>
              <w:rPr>
                <w:rFonts w:hint="eastAsia" w:ascii="仿宋" w:hAnsi="仿宋" w:eastAsia="仿宋" w:cs="仿宋"/>
                <w:color w:val="000000"/>
                <w:sz w:val="15"/>
                <w:szCs w:val="15"/>
              </w:rPr>
              <w:t>（氨基酸、海藻糖生产线）、设备更新</w:t>
            </w:r>
          </w:p>
        </w:tc>
        <w:tc>
          <w:tcPr>
            <w:tcW w:w="2997" w:type="dxa"/>
            <w:vAlign w:val="center"/>
          </w:tcPr>
          <w:p w14:paraId="01B3A8D4">
            <w:pPr>
              <w:pStyle w:val="16"/>
              <w:keepNext w:val="0"/>
              <w:keepLines w:val="0"/>
              <w:widowControl/>
              <w:suppressLineNumbers w:val="0"/>
              <w:kinsoku/>
              <w:wordWrap/>
              <w:overflowPunct/>
              <w:snapToGrid w:val="0"/>
              <w:spacing w:line="240" w:lineRule="auto"/>
              <w:ind w:left="0" w:leftChars="0" w:right="0" w:rightChars="0" w:firstLine="0" w:firstLineChars="0"/>
              <w:jc w:val="left"/>
              <w:rPr>
                <w:rFonts w:hint="eastAsia" w:ascii="仿宋" w:hAnsi="仿宋" w:eastAsia="仿宋" w:cs="仿宋"/>
                <w:sz w:val="15"/>
                <w:szCs w:val="15"/>
                <w:vertAlign w:val="baseline"/>
                <w:lang w:val="en-US" w:eastAsia="zh-CN"/>
              </w:rPr>
            </w:pPr>
            <w:r>
              <w:rPr>
                <w:rFonts w:hint="eastAsia" w:ascii="仿宋" w:hAnsi="仿宋" w:eastAsia="仿宋" w:cs="仿宋"/>
                <w:color w:val="000000"/>
                <w:sz w:val="15"/>
                <w:szCs w:val="15"/>
              </w:rPr>
              <w:t>粮都生物科技液糖项目（获农发行1.12亿元贷款），锦康肌醇项目（1800</w:t>
            </w:r>
            <w:r>
              <w:rPr>
                <w:rFonts w:hint="eastAsia" w:ascii="仿宋" w:hAnsi="仿宋" w:eastAsia="仿宋" w:cs="仿宋"/>
                <w:color w:val="000000"/>
                <w:sz w:val="15"/>
                <w:szCs w:val="15"/>
                <w:lang w:eastAsia="zh-CN"/>
              </w:rPr>
              <w:t>万元</w:t>
            </w:r>
            <w:r>
              <w:rPr>
                <w:rFonts w:hint="eastAsia" w:ascii="仿宋" w:hAnsi="仿宋" w:eastAsia="仿宋" w:cs="仿宋"/>
                <w:color w:val="000000"/>
                <w:sz w:val="15"/>
                <w:szCs w:val="15"/>
              </w:rPr>
              <w:t>）</w:t>
            </w:r>
          </w:p>
        </w:tc>
      </w:tr>
      <w:tr w14:paraId="49A11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37" w:type="dxa"/>
            <w:vMerge w:val="continue"/>
            <w:vAlign w:val="center"/>
          </w:tcPr>
          <w:p w14:paraId="47959605">
            <w:pPr>
              <w:snapToGrid w:val="0"/>
              <w:spacing w:line="240" w:lineRule="auto"/>
              <w:ind w:left="0" w:leftChars="0" w:right="0" w:rightChars="0" w:firstLine="0" w:firstLineChars="0"/>
              <w:jc w:val="center"/>
              <w:rPr>
                <w:rFonts w:hint="eastAsia" w:ascii="仿宋" w:hAnsi="仿宋" w:eastAsia="仿宋" w:cs="仿宋"/>
                <w:b/>
                <w:bCs/>
                <w:sz w:val="15"/>
                <w:szCs w:val="15"/>
                <w:vertAlign w:val="baseline"/>
                <w:lang w:val="en-US" w:eastAsia="zh-CN"/>
              </w:rPr>
            </w:pPr>
          </w:p>
        </w:tc>
        <w:tc>
          <w:tcPr>
            <w:tcW w:w="963" w:type="dxa"/>
            <w:vAlign w:val="center"/>
          </w:tcPr>
          <w:p w14:paraId="09E4F947">
            <w:pPr>
              <w:pStyle w:val="16"/>
              <w:keepNext w:val="0"/>
              <w:keepLines w:val="0"/>
              <w:widowControl/>
              <w:suppressLineNumbers w:val="0"/>
              <w:kinsoku/>
              <w:wordWrap/>
              <w:overflowPunct/>
              <w:snapToGrid w:val="0"/>
              <w:spacing w:line="240" w:lineRule="auto"/>
              <w:ind w:left="0" w:leftChars="0" w:right="0" w:rightChars="0" w:firstLine="0" w:firstLineChars="0"/>
              <w:jc w:val="left"/>
              <w:rPr>
                <w:rFonts w:hint="eastAsia" w:ascii="仿宋" w:hAnsi="仿宋" w:eastAsia="仿宋" w:cs="仿宋"/>
                <w:sz w:val="15"/>
                <w:szCs w:val="15"/>
                <w:vertAlign w:val="baseline"/>
                <w:lang w:val="en-US" w:eastAsia="zh-CN"/>
              </w:rPr>
            </w:pPr>
            <w:r>
              <w:rPr>
                <w:rFonts w:hint="eastAsia" w:ascii="仿宋" w:hAnsi="仿宋" w:eastAsia="仿宋" w:cs="仿宋"/>
                <w:color w:val="000000"/>
                <w:sz w:val="15"/>
                <w:szCs w:val="15"/>
              </w:rPr>
              <w:t>技术改造再贷款</w:t>
            </w:r>
          </w:p>
        </w:tc>
        <w:tc>
          <w:tcPr>
            <w:tcW w:w="1325" w:type="dxa"/>
            <w:vAlign w:val="center"/>
          </w:tcPr>
          <w:p w14:paraId="6DE5422E">
            <w:pPr>
              <w:pStyle w:val="16"/>
              <w:keepNext w:val="0"/>
              <w:keepLines w:val="0"/>
              <w:widowControl/>
              <w:suppressLineNumbers w:val="0"/>
              <w:kinsoku/>
              <w:wordWrap/>
              <w:overflowPunct/>
              <w:snapToGrid w:val="0"/>
              <w:spacing w:line="240" w:lineRule="auto"/>
              <w:ind w:left="0" w:leftChars="0" w:right="0" w:rightChars="0" w:firstLine="0" w:firstLineChars="0"/>
              <w:jc w:val="center"/>
              <w:rPr>
                <w:rFonts w:hint="eastAsia" w:ascii="仿宋" w:hAnsi="仿宋" w:eastAsia="仿宋" w:cs="仿宋"/>
                <w:sz w:val="15"/>
                <w:szCs w:val="15"/>
                <w:vertAlign w:val="baseline"/>
                <w:lang w:val="en-US" w:eastAsia="zh-CN"/>
              </w:rPr>
            </w:pPr>
            <w:r>
              <w:rPr>
                <w:rFonts w:hint="eastAsia" w:ascii="仿宋" w:hAnsi="仿宋" w:eastAsia="仿宋" w:cs="仿宋"/>
                <w:color w:val="000000"/>
                <w:sz w:val="15"/>
                <w:szCs w:val="15"/>
                <w:lang w:eastAsia="zh-CN"/>
              </w:rPr>
              <w:t>2000万—8000万</w:t>
            </w:r>
          </w:p>
        </w:tc>
        <w:tc>
          <w:tcPr>
            <w:tcW w:w="2400" w:type="dxa"/>
            <w:vAlign w:val="center"/>
          </w:tcPr>
          <w:p w14:paraId="596337C3">
            <w:pPr>
              <w:pStyle w:val="16"/>
              <w:keepNext w:val="0"/>
              <w:keepLines w:val="0"/>
              <w:widowControl/>
              <w:suppressLineNumbers w:val="0"/>
              <w:kinsoku/>
              <w:wordWrap/>
              <w:overflowPunct/>
              <w:snapToGrid w:val="0"/>
              <w:spacing w:line="240" w:lineRule="auto"/>
              <w:ind w:left="0" w:leftChars="0" w:right="0" w:rightChars="0" w:firstLine="0" w:firstLineChars="0"/>
              <w:jc w:val="left"/>
              <w:rPr>
                <w:rFonts w:hint="eastAsia" w:ascii="仿宋" w:hAnsi="仿宋" w:eastAsia="仿宋" w:cs="仿宋"/>
                <w:sz w:val="15"/>
                <w:szCs w:val="15"/>
                <w:vertAlign w:val="baseline"/>
                <w:lang w:val="en-US" w:eastAsia="zh-CN"/>
              </w:rPr>
            </w:pPr>
            <w:r>
              <w:rPr>
                <w:rFonts w:hint="eastAsia" w:ascii="仿宋" w:hAnsi="仿宋" w:eastAsia="仿宋" w:cs="仿宋"/>
                <w:color w:val="000000"/>
                <w:sz w:val="15"/>
                <w:szCs w:val="15"/>
              </w:rPr>
              <w:t>植酸钙钠生产线智能化改造、生物酶催化技术应用</w:t>
            </w:r>
          </w:p>
        </w:tc>
        <w:tc>
          <w:tcPr>
            <w:tcW w:w="2997" w:type="dxa"/>
            <w:vAlign w:val="center"/>
          </w:tcPr>
          <w:p w14:paraId="6F6E5B0B">
            <w:pPr>
              <w:pStyle w:val="16"/>
              <w:keepNext w:val="0"/>
              <w:keepLines w:val="0"/>
              <w:widowControl/>
              <w:suppressLineNumbers w:val="0"/>
              <w:kinsoku/>
              <w:wordWrap/>
              <w:overflowPunct/>
              <w:snapToGrid w:val="0"/>
              <w:spacing w:line="240" w:lineRule="auto"/>
              <w:ind w:left="0" w:leftChars="0" w:right="0" w:rightChars="0" w:firstLine="0" w:firstLineChars="0"/>
              <w:jc w:val="left"/>
              <w:rPr>
                <w:rFonts w:hint="eastAsia" w:ascii="仿宋" w:hAnsi="仿宋" w:eastAsia="仿宋" w:cs="仿宋"/>
                <w:sz w:val="15"/>
                <w:szCs w:val="15"/>
                <w:vertAlign w:val="baseline"/>
                <w:lang w:val="en-US" w:eastAsia="zh-CN"/>
              </w:rPr>
            </w:pPr>
            <w:r>
              <w:rPr>
                <w:rFonts w:hint="eastAsia" w:ascii="仿宋" w:hAnsi="仿宋" w:eastAsia="仿宋" w:cs="仿宋"/>
                <w:color w:val="000000"/>
                <w:sz w:val="15"/>
                <w:szCs w:val="15"/>
              </w:rPr>
              <w:t>央行4000</w:t>
            </w:r>
            <w:r>
              <w:rPr>
                <w:rFonts w:hint="eastAsia" w:ascii="仿宋" w:hAnsi="仿宋" w:eastAsia="仿宋" w:cs="仿宋"/>
                <w:color w:val="000000"/>
                <w:sz w:val="15"/>
                <w:szCs w:val="15"/>
                <w:lang w:eastAsia="zh-CN"/>
              </w:rPr>
              <w:t>亿元</w:t>
            </w:r>
            <w:r>
              <w:rPr>
                <w:rFonts w:hint="eastAsia" w:ascii="仿宋" w:hAnsi="仿宋" w:eastAsia="仿宋" w:cs="仿宋"/>
                <w:color w:val="000000"/>
                <w:sz w:val="15"/>
                <w:szCs w:val="15"/>
              </w:rPr>
              <w:t>额度，利率1.75%+财政贴息1.5%</w:t>
            </w:r>
          </w:p>
        </w:tc>
      </w:tr>
      <w:tr w14:paraId="35EBE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37" w:type="dxa"/>
            <w:vMerge w:val="continue"/>
            <w:vAlign w:val="center"/>
          </w:tcPr>
          <w:p w14:paraId="43157385">
            <w:pPr>
              <w:snapToGrid w:val="0"/>
              <w:spacing w:line="240" w:lineRule="auto"/>
              <w:ind w:left="0" w:leftChars="0" w:right="0" w:rightChars="0" w:firstLine="0" w:firstLineChars="0"/>
              <w:jc w:val="center"/>
              <w:rPr>
                <w:rFonts w:hint="eastAsia" w:ascii="仿宋" w:hAnsi="仿宋" w:eastAsia="仿宋" w:cs="仿宋"/>
                <w:b/>
                <w:bCs/>
                <w:sz w:val="15"/>
                <w:szCs w:val="15"/>
                <w:vertAlign w:val="baseline"/>
                <w:lang w:val="en-US" w:eastAsia="zh-CN"/>
              </w:rPr>
            </w:pPr>
          </w:p>
        </w:tc>
        <w:tc>
          <w:tcPr>
            <w:tcW w:w="963" w:type="dxa"/>
            <w:vAlign w:val="center"/>
          </w:tcPr>
          <w:p w14:paraId="037C4434">
            <w:pPr>
              <w:pStyle w:val="16"/>
              <w:keepNext w:val="0"/>
              <w:keepLines w:val="0"/>
              <w:widowControl/>
              <w:suppressLineNumbers w:val="0"/>
              <w:kinsoku/>
              <w:wordWrap/>
              <w:overflowPunct/>
              <w:snapToGrid w:val="0"/>
              <w:spacing w:line="240" w:lineRule="auto"/>
              <w:ind w:left="0" w:leftChars="0" w:right="0" w:rightChars="0" w:firstLine="0" w:firstLineChars="0"/>
              <w:jc w:val="left"/>
              <w:rPr>
                <w:rFonts w:hint="eastAsia" w:ascii="仿宋" w:hAnsi="仿宋" w:eastAsia="仿宋" w:cs="仿宋"/>
                <w:sz w:val="15"/>
                <w:szCs w:val="15"/>
                <w:vertAlign w:val="baseline"/>
                <w:lang w:val="en-US" w:eastAsia="zh-CN"/>
              </w:rPr>
            </w:pPr>
            <w:r>
              <w:rPr>
                <w:rFonts w:hint="eastAsia" w:ascii="仿宋" w:hAnsi="仿宋" w:eastAsia="仿宋" w:cs="仿宋"/>
                <w:color w:val="000000"/>
                <w:sz w:val="15"/>
                <w:szCs w:val="15"/>
              </w:rPr>
              <w:t>专项债券</w:t>
            </w:r>
          </w:p>
        </w:tc>
        <w:tc>
          <w:tcPr>
            <w:tcW w:w="1325" w:type="dxa"/>
            <w:vAlign w:val="center"/>
          </w:tcPr>
          <w:p w14:paraId="2BF24198">
            <w:pPr>
              <w:pStyle w:val="16"/>
              <w:keepNext w:val="0"/>
              <w:keepLines w:val="0"/>
              <w:widowControl/>
              <w:suppressLineNumbers w:val="0"/>
              <w:kinsoku/>
              <w:wordWrap/>
              <w:overflowPunct/>
              <w:snapToGrid w:val="0"/>
              <w:spacing w:line="240" w:lineRule="auto"/>
              <w:ind w:left="0" w:leftChars="0" w:right="0" w:rightChars="0" w:firstLine="0" w:firstLineChars="0"/>
              <w:jc w:val="center"/>
              <w:rPr>
                <w:rFonts w:hint="eastAsia" w:ascii="仿宋" w:hAnsi="仿宋" w:eastAsia="仿宋" w:cs="仿宋"/>
                <w:sz w:val="15"/>
                <w:szCs w:val="15"/>
                <w:vertAlign w:val="baseline"/>
                <w:lang w:val="en-US" w:eastAsia="zh-CN"/>
              </w:rPr>
            </w:pPr>
            <w:r>
              <w:rPr>
                <w:rFonts w:hint="eastAsia" w:ascii="仿宋" w:hAnsi="仿宋" w:eastAsia="仿宋" w:cs="仿宋"/>
                <w:color w:val="000000"/>
                <w:sz w:val="15"/>
                <w:szCs w:val="15"/>
                <w:lang w:eastAsia="zh-CN"/>
              </w:rPr>
              <w:t>1000万—5000万</w:t>
            </w:r>
          </w:p>
        </w:tc>
        <w:tc>
          <w:tcPr>
            <w:tcW w:w="2400" w:type="dxa"/>
            <w:vAlign w:val="center"/>
          </w:tcPr>
          <w:p w14:paraId="335B0FC2">
            <w:pPr>
              <w:pStyle w:val="16"/>
              <w:keepNext w:val="0"/>
              <w:keepLines w:val="0"/>
              <w:widowControl/>
              <w:suppressLineNumbers w:val="0"/>
              <w:kinsoku/>
              <w:wordWrap/>
              <w:overflowPunct/>
              <w:snapToGrid w:val="0"/>
              <w:spacing w:line="240" w:lineRule="auto"/>
              <w:ind w:left="0" w:leftChars="0" w:right="0" w:rightChars="0" w:firstLine="0" w:firstLineChars="0"/>
              <w:jc w:val="left"/>
              <w:rPr>
                <w:rFonts w:hint="eastAsia" w:ascii="仿宋" w:hAnsi="仿宋" w:eastAsia="仿宋" w:cs="仿宋"/>
                <w:sz w:val="15"/>
                <w:szCs w:val="15"/>
                <w:vertAlign w:val="baseline"/>
                <w:lang w:val="en-US" w:eastAsia="zh-CN"/>
              </w:rPr>
            </w:pPr>
            <w:r>
              <w:rPr>
                <w:rFonts w:hint="eastAsia" w:ascii="仿宋" w:hAnsi="仿宋" w:eastAsia="仿宋" w:cs="仿宋"/>
                <w:b/>
                <w:bCs/>
                <w:color w:val="000000"/>
                <w:sz w:val="15"/>
                <w:szCs w:val="15"/>
              </w:rPr>
              <w:t>生物质热电联产配套</w:t>
            </w:r>
            <w:r>
              <w:rPr>
                <w:rFonts w:hint="eastAsia" w:ascii="仿宋" w:hAnsi="仿宋" w:eastAsia="仿宋" w:cs="仿宋"/>
                <w:color w:val="000000"/>
                <w:sz w:val="15"/>
                <w:szCs w:val="15"/>
              </w:rPr>
              <w:t>（供水管线、厂区改造）</w:t>
            </w:r>
          </w:p>
        </w:tc>
        <w:tc>
          <w:tcPr>
            <w:tcW w:w="2997" w:type="dxa"/>
            <w:vAlign w:val="center"/>
          </w:tcPr>
          <w:p w14:paraId="6D095B9C">
            <w:pPr>
              <w:pStyle w:val="16"/>
              <w:keepNext w:val="0"/>
              <w:keepLines w:val="0"/>
              <w:widowControl/>
              <w:suppressLineNumbers w:val="0"/>
              <w:kinsoku/>
              <w:wordWrap/>
              <w:overflowPunct/>
              <w:snapToGrid w:val="0"/>
              <w:spacing w:line="240" w:lineRule="auto"/>
              <w:ind w:left="0" w:leftChars="0" w:right="0" w:rightChars="0" w:firstLine="0" w:firstLineChars="0"/>
              <w:jc w:val="left"/>
              <w:rPr>
                <w:rFonts w:hint="eastAsia" w:ascii="仿宋" w:hAnsi="仿宋" w:eastAsia="仿宋" w:cs="仿宋"/>
                <w:sz w:val="15"/>
                <w:szCs w:val="15"/>
                <w:vertAlign w:val="baseline"/>
                <w:lang w:val="en-US" w:eastAsia="zh-CN"/>
              </w:rPr>
            </w:pPr>
            <w:r>
              <w:rPr>
                <w:rFonts w:hint="eastAsia" w:ascii="仿宋" w:hAnsi="仿宋" w:eastAsia="仿宋" w:cs="仿宋"/>
                <w:color w:val="000000"/>
                <w:sz w:val="15"/>
                <w:szCs w:val="15"/>
              </w:rPr>
              <w:t>生物质热电联产路面改造工程（1330万元）</w:t>
            </w:r>
          </w:p>
        </w:tc>
      </w:tr>
      <w:tr w14:paraId="45C1C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37" w:type="dxa"/>
            <w:vMerge w:val="restart"/>
            <w:vAlign w:val="center"/>
          </w:tcPr>
          <w:p w14:paraId="218C1A6A">
            <w:pPr>
              <w:pStyle w:val="16"/>
              <w:keepNext w:val="0"/>
              <w:keepLines w:val="0"/>
              <w:widowControl/>
              <w:suppressLineNumbers w:val="0"/>
              <w:kinsoku/>
              <w:wordWrap/>
              <w:overflowPunct/>
              <w:snapToGrid w:val="0"/>
              <w:spacing w:line="240" w:lineRule="auto"/>
              <w:ind w:left="0" w:leftChars="0" w:right="0" w:rightChars="0" w:firstLine="0" w:firstLineChars="0"/>
              <w:jc w:val="center"/>
              <w:rPr>
                <w:rFonts w:hint="eastAsia" w:ascii="仿宋" w:hAnsi="仿宋" w:eastAsia="仿宋" w:cs="仿宋"/>
                <w:b/>
                <w:bCs/>
                <w:sz w:val="15"/>
                <w:szCs w:val="15"/>
                <w:vertAlign w:val="baseline"/>
                <w:lang w:val="en-US" w:eastAsia="zh-CN"/>
              </w:rPr>
            </w:pPr>
            <w:r>
              <w:rPr>
                <w:rFonts w:hint="eastAsia" w:ascii="仿宋" w:hAnsi="仿宋" w:eastAsia="仿宋" w:cs="仿宋"/>
                <w:b/>
                <w:bCs/>
                <w:color w:val="000000"/>
                <w:sz w:val="15"/>
                <w:szCs w:val="15"/>
              </w:rPr>
              <w:t>智能农机</w:t>
            </w:r>
          </w:p>
        </w:tc>
        <w:tc>
          <w:tcPr>
            <w:tcW w:w="963" w:type="dxa"/>
            <w:vAlign w:val="center"/>
          </w:tcPr>
          <w:p w14:paraId="219CB1F3">
            <w:pPr>
              <w:pStyle w:val="16"/>
              <w:keepNext w:val="0"/>
              <w:keepLines w:val="0"/>
              <w:widowControl/>
              <w:suppressLineNumbers w:val="0"/>
              <w:kinsoku/>
              <w:wordWrap/>
              <w:overflowPunct/>
              <w:snapToGrid w:val="0"/>
              <w:spacing w:line="240" w:lineRule="auto"/>
              <w:ind w:left="0" w:leftChars="0" w:right="0" w:rightChars="0" w:firstLine="0" w:firstLineChars="0"/>
              <w:jc w:val="left"/>
              <w:rPr>
                <w:rFonts w:hint="eastAsia" w:ascii="仿宋" w:hAnsi="仿宋" w:eastAsia="仿宋" w:cs="仿宋"/>
                <w:sz w:val="15"/>
                <w:szCs w:val="15"/>
                <w:vertAlign w:val="baseline"/>
                <w:lang w:val="en-US" w:eastAsia="zh-CN"/>
              </w:rPr>
            </w:pPr>
            <w:r>
              <w:rPr>
                <w:rFonts w:hint="eastAsia" w:ascii="仿宋" w:hAnsi="仿宋" w:eastAsia="仿宋" w:cs="仿宋"/>
                <w:color w:val="000000"/>
                <w:sz w:val="15"/>
                <w:szCs w:val="15"/>
              </w:rPr>
              <w:t>农机报废更新补贴</w:t>
            </w:r>
          </w:p>
        </w:tc>
        <w:tc>
          <w:tcPr>
            <w:tcW w:w="1325" w:type="dxa"/>
            <w:vAlign w:val="center"/>
          </w:tcPr>
          <w:p w14:paraId="5F716B23">
            <w:pPr>
              <w:pStyle w:val="16"/>
              <w:keepNext w:val="0"/>
              <w:keepLines w:val="0"/>
              <w:widowControl/>
              <w:suppressLineNumbers w:val="0"/>
              <w:kinsoku/>
              <w:wordWrap/>
              <w:overflowPunct/>
              <w:snapToGrid w:val="0"/>
              <w:spacing w:line="240" w:lineRule="auto"/>
              <w:ind w:left="0" w:leftChars="0" w:right="0" w:rightChars="0" w:firstLine="0" w:firstLineChars="0"/>
              <w:jc w:val="center"/>
              <w:rPr>
                <w:rFonts w:hint="eastAsia" w:ascii="仿宋" w:hAnsi="仿宋" w:eastAsia="仿宋" w:cs="仿宋"/>
                <w:sz w:val="15"/>
                <w:szCs w:val="15"/>
                <w:vertAlign w:val="baseline"/>
                <w:lang w:val="en-US" w:eastAsia="zh-CN"/>
              </w:rPr>
            </w:pPr>
            <w:r>
              <w:rPr>
                <w:rFonts w:hint="eastAsia" w:ascii="仿宋" w:hAnsi="仿宋" w:eastAsia="仿宋" w:cs="仿宋"/>
                <w:color w:val="000000"/>
                <w:sz w:val="15"/>
                <w:szCs w:val="15"/>
                <w:lang w:eastAsia="zh-CN"/>
              </w:rPr>
              <w:t>100万—700万</w:t>
            </w:r>
          </w:p>
        </w:tc>
        <w:tc>
          <w:tcPr>
            <w:tcW w:w="2400" w:type="dxa"/>
            <w:vAlign w:val="center"/>
          </w:tcPr>
          <w:p w14:paraId="1ECBA8CA">
            <w:pPr>
              <w:pStyle w:val="16"/>
              <w:keepNext w:val="0"/>
              <w:keepLines w:val="0"/>
              <w:widowControl/>
              <w:suppressLineNumbers w:val="0"/>
              <w:kinsoku/>
              <w:wordWrap/>
              <w:overflowPunct/>
              <w:snapToGrid w:val="0"/>
              <w:spacing w:line="240" w:lineRule="auto"/>
              <w:ind w:left="0" w:leftChars="0" w:right="0" w:rightChars="0" w:firstLine="0" w:firstLineChars="0"/>
              <w:jc w:val="left"/>
              <w:rPr>
                <w:rFonts w:hint="eastAsia" w:ascii="仿宋" w:hAnsi="仿宋" w:eastAsia="仿宋" w:cs="仿宋"/>
                <w:sz w:val="15"/>
                <w:szCs w:val="15"/>
                <w:vertAlign w:val="baseline"/>
                <w:lang w:val="en-US" w:eastAsia="zh-CN"/>
              </w:rPr>
            </w:pPr>
            <w:r>
              <w:rPr>
                <w:rFonts w:hint="eastAsia" w:ascii="仿宋" w:hAnsi="仿宋" w:eastAsia="仿宋" w:cs="仿宋"/>
                <w:color w:val="000000"/>
                <w:sz w:val="15"/>
                <w:szCs w:val="15"/>
              </w:rPr>
              <w:t>大马力拖拉机、智能播种机、田间作业终端</w:t>
            </w:r>
          </w:p>
        </w:tc>
        <w:tc>
          <w:tcPr>
            <w:tcW w:w="2997" w:type="dxa"/>
            <w:vAlign w:val="center"/>
          </w:tcPr>
          <w:p w14:paraId="45FE0E83">
            <w:pPr>
              <w:pStyle w:val="16"/>
              <w:keepNext w:val="0"/>
              <w:keepLines w:val="0"/>
              <w:widowControl/>
              <w:suppressLineNumbers w:val="0"/>
              <w:kinsoku/>
              <w:wordWrap/>
              <w:overflowPunct/>
              <w:snapToGrid w:val="0"/>
              <w:spacing w:line="240" w:lineRule="auto"/>
              <w:ind w:left="0" w:leftChars="0" w:right="0" w:rightChars="0" w:firstLine="0" w:firstLineChars="0"/>
              <w:jc w:val="left"/>
              <w:rPr>
                <w:rFonts w:hint="eastAsia" w:ascii="仿宋" w:hAnsi="仿宋" w:eastAsia="仿宋" w:cs="仿宋"/>
                <w:sz w:val="15"/>
                <w:szCs w:val="15"/>
                <w:vertAlign w:val="baseline"/>
                <w:lang w:val="en-US" w:eastAsia="zh-CN"/>
              </w:rPr>
            </w:pPr>
            <w:r>
              <w:rPr>
                <w:rFonts w:hint="eastAsia" w:ascii="仿宋" w:hAnsi="仿宋" w:eastAsia="仿宋" w:cs="仿宋"/>
                <w:color w:val="000000"/>
                <w:sz w:val="15"/>
                <w:szCs w:val="15"/>
              </w:rPr>
              <w:t>宏胜镇隆胜村农机采购（698万元），2025年新增水稻插秧机补贴</w:t>
            </w:r>
          </w:p>
        </w:tc>
      </w:tr>
      <w:tr w14:paraId="16CB7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37" w:type="dxa"/>
            <w:vMerge w:val="continue"/>
            <w:vAlign w:val="center"/>
          </w:tcPr>
          <w:p w14:paraId="0E04C1FB">
            <w:pPr>
              <w:snapToGrid w:val="0"/>
              <w:spacing w:line="240" w:lineRule="auto"/>
              <w:ind w:left="0" w:leftChars="0" w:right="0" w:rightChars="0" w:firstLine="0" w:firstLineChars="0"/>
              <w:jc w:val="center"/>
              <w:rPr>
                <w:rFonts w:hint="eastAsia" w:ascii="仿宋" w:hAnsi="仿宋" w:eastAsia="仿宋" w:cs="仿宋"/>
                <w:b/>
                <w:bCs/>
                <w:sz w:val="15"/>
                <w:szCs w:val="15"/>
                <w:vertAlign w:val="baseline"/>
                <w:lang w:val="en-US" w:eastAsia="zh-CN"/>
              </w:rPr>
            </w:pPr>
          </w:p>
        </w:tc>
        <w:tc>
          <w:tcPr>
            <w:tcW w:w="963" w:type="dxa"/>
            <w:vAlign w:val="center"/>
          </w:tcPr>
          <w:p w14:paraId="0335D31A">
            <w:pPr>
              <w:pStyle w:val="16"/>
              <w:keepNext w:val="0"/>
              <w:keepLines w:val="0"/>
              <w:widowControl/>
              <w:suppressLineNumbers w:val="0"/>
              <w:kinsoku/>
              <w:wordWrap/>
              <w:overflowPunct/>
              <w:snapToGrid w:val="0"/>
              <w:spacing w:line="240" w:lineRule="auto"/>
              <w:ind w:left="0" w:leftChars="0" w:right="0" w:rightChars="0" w:firstLine="0" w:firstLineChars="0"/>
              <w:jc w:val="left"/>
              <w:rPr>
                <w:rFonts w:hint="eastAsia" w:ascii="仿宋" w:hAnsi="仿宋" w:eastAsia="仿宋" w:cs="仿宋"/>
                <w:sz w:val="15"/>
                <w:szCs w:val="15"/>
                <w:vertAlign w:val="baseline"/>
                <w:lang w:val="en-US" w:eastAsia="zh-CN"/>
              </w:rPr>
            </w:pPr>
            <w:r>
              <w:rPr>
                <w:rFonts w:hint="eastAsia" w:ascii="仿宋" w:hAnsi="仿宋" w:eastAsia="仿宋" w:cs="仿宋"/>
                <w:color w:val="000000"/>
                <w:sz w:val="15"/>
                <w:szCs w:val="15"/>
              </w:rPr>
              <w:t>技术改造再贷款</w:t>
            </w:r>
          </w:p>
        </w:tc>
        <w:tc>
          <w:tcPr>
            <w:tcW w:w="1325" w:type="dxa"/>
            <w:vAlign w:val="center"/>
          </w:tcPr>
          <w:p w14:paraId="01545AD7">
            <w:pPr>
              <w:pStyle w:val="16"/>
              <w:keepNext w:val="0"/>
              <w:keepLines w:val="0"/>
              <w:widowControl/>
              <w:suppressLineNumbers w:val="0"/>
              <w:kinsoku/>
              <w:wordWrap/>
              <w:overflowPunct/>
              <w:snapToGrid w:val="0"/>
              <w:spacing w:line="240" w:lineRule="auto"/>
              <w:ind w:left="0" w:leftChars="0" w:right="0" w:rightChars="0" w:firstLine="0" w:firstLineChars="0"/>
              <w:jc w:val="center"/>
              <w:rPr>
                <w:rFonts w:hint="eastAsia" w:ascii="仿宋" w:hAnsi="仿宋" w:eastAsia="仿宋" w:cs="仿宋"/>
                <w:sz w:val="15"/>
                <w:szCs w:val="15"/>
                <w:vertAlign w:val="baseline"/>
                <w:lang w:val="en-US" w:eastAsia="zh-CN"/>
              </w:rPr>
            </w:pPr>
            <w:r>
              <w:rPr>
                <w:rFonts w:hint="eastAsia" w:ascii="仿宋" w:hAnsi="仿宋" w:eastAsia="仿宋" w:cs="仿宋"/>
                <w:color w:val="000000"/>
                <w:sz w:val="15"/>
                <w:szCs w:val="15"/>
                <w:lang w:eastAsia="zh-CN"/>
              </w:rPr>
              <w:t>2000万—5000万</w:t>
            </w:r>
          </w:p>
        </w:tc>
        <w:tc>
          <w:tcPr>
            <w:tcW w:w="2400" w:type="dxa"/>
            <w:vAlign w:val="center"/>
          </w:tcPr>
          <w:p w14:paraId="53FB7FFC">
            <w:pPr>
              <w:pStyle w:val="16"/>
              <w:keepNext w:val="0"/>
              <w:keepLines w:val="0"/>
              <w:widowControl/>
              <w:suppressLineNumbers w:val="0"/>
              <w:kinsoku/>
              <w:wordWrap/>
              <w:overflowPunct/>
              <w:snapToGrid w:val="0"/>
              <w:spacing w:line="240" w:lineRule="auto"/>
              <w:ind w:left="0" w:leftChars="0" w:right="0" w:rightChars="0" w:firstLine="0" w:firstLineChars="0"/>
              <w:jc w:val="left"/>
              <w:rPr>
                <w:rFonts w:hint="eastAsia" w:ascii="仿宋" w:hAnsi="仿宋" w:eastAsia="仿宋" w:cs="仿宋"/>
                <w:sz w:val="15"/>
                <w:szCs w:val="15"/>
                <w:vertAlign w:val="baseline"/>
                <w:lang w:val="en-US" w:eastAsia="zh-CN"/>
              </w:rPr>
            </w:pPr>
            <w:r>
              <w:rPr>
                <w:rFonts w:hint="eastAsia" w:ascii="仿宋" w:hAnsi="仿宋" w:eastAsia="仿宋" w:cs="仿宋"/>
                <w:color w:val="000000"/>
                <w:sz w:val="15"/>
                <w:szCs w:val="15"/>
              </w:rPr>
              <w:t>精准喷雾系统、北斗导航农机场控设备</w:t>
            </w:r>
          </w:p>
        </w:tc>
        <w:tc>
          <w:tcPr>
            <w:tcW w:w="2997" w:type="dxa"/>
            <w:vAlign w:val="center"/>
          </w:tcPr>
          <w:p w14:paraId="6337C273">
            <w:pPr>
              <w:pStyle w:val="16"/>
              <w:keepNext w:val="0"/>
              <w:keepLines w:val="0"/>
              <w:widowControl/>
              <w:suppressLineNumbers w:val="0"/>
              <w:kinsoku/>
              <w:wordWrap/>
              <w:overflowPunct/>
              <w:snapToGrid w:val="0"/>
              <w:spacing w:line="240" w:lineRule="auto"/>
              <w:ind w:left="0" w:leftChars="0" w:right="0" w:rightChars="0" w:firstLine="0" w:firstLineChars="0"/>
              <w:jc w:val="left"/>
              <w:rPr>
                <w:rFonts w:hint="eastAsia" w:ascii="仿宋" w:hAnsi="仿宋" w:eastAsia="仿宋" w:cs="仿宋"/>
                <w:sz w:val="15"/>
                <w:szCs w:val="15"/>
                <w:vertAlign w:val="baseline"/>
                <w:lang w:val="en-US" w:eastAsia="zh-CN"/>
              </w:rPr>
            </w:pPr>
            <w:r>
              <w:rPr>
                <w:rFonts w:hint="eastAsia" w:ascii="仿宋" w:hAnsi="仿宋" w:eastAsia="仿宋" w:cs="仿宋"/>
                <w:color w:val="000000"/>
                <w:sz w:val="15"/>
                <w:szCs w:val="15"/>
              </w:rPr>
              <w:t>立兴植保变量喷雾技术（提升农药效率40%）</w:t>
            </w:r>
          </w:p>
        </w:tc>
      </w:tr>
      <w:tr w14:paraId="3B7FD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37" w:type="dxa"/>
            <w:vMerge w:val="continue"/>
            <w:vAlign w:val="center"/>
          </w:tcPr>
          <w:p w14:paraId="38D00820">
            <w:pPr>
              <w:snapToGrid w:val="0"/>
              <w:spacing w:line="240" w:lineRule="auto"/>
              <w:ind w:left="0" w:leftChars="0" w:right="0" w:rightChars="0" w:firstLine="0" w:firstLineChars="0"/>
              <w:jc w:val="center"/>
              <w:rPr>
                <w:rFonts w:hint="eastAsia" w:ascii="仿宋" w:hAnsi="仿宋" w:eastAsia="仿宋" w:cs="仿宋"/>
                <w:b/>
                <w:bCs/>
                <w:sz w:val="15"/>
                <w:szCs w:val="15"/>
                <w:vertAlign w:val="baseline"/>
                <w:lang w:val="en-US" w:eastAsia="zh-CN"/>
              </w:rPr>
            </w:pPr>
          </w:p>
        </w:tc>
        <w:tc>
          <w:tcPr>
            <w:tcW w:w="963" w:type="dxa"/>
            <w:vAlign w:val="center"/>
          </w:tcPr>
          <w:p w14:paraId="51BB8851">
            <w:pPr>
              <w:pStyle w:val="16"/>
              <w:keepNext w:val="0"/>
              <w:keepLines w:val="0"/>
              <w:widowControl/>
              <w:suppressLineNumbers w:val="0"/>
              <w:kinsoku/>
              <w:wordWrap/>
              <w:overflowPunct/>
              <w:snapToGrid w:val="0"/>
              <w:spacing w:line="360" w:lineRule="auto"/>
              <w:ind w:left="0" w:leftChars="0" w:right="0" w:rightChars="0" w:firstLine="0" w:firstLineChars="0"/>
              <w:jc w:val="left"/>
              <w:rPr>
                <w:rFonts w:hint="eastAsia" w:ascii="仿宋" w:hAnsi="仿宋" w:eastAsia="仿宋" w:cs="仿宋"/>
                <w:sz w:val="15"/>
                <w:szCs w:val="15"/>
                <w:vertAlign w:val="baseline"/>
                <w:lang w:val="en-US" w:eastAsia="zh-CN"/>
              </w:rPr>
            </w:pPr>
            <w:r>
              <w:rPr>
                <w:rFonts w:hint="eastAsia" w:ascii="仿宋" w:hAnsi="仿宋" w:eastAsia="仿宋" w:cs="仿宋"/>
                <w:color w:val="000000"/>
                <w:sz w:val="15"/>
                <w:szCs w:val="15"/>
              </w:rPr>
              <w:t>专项债券</w:t>
            </w:r>
          </w:p>
        </w:tc>
        <w:tc>
          <w:tcPr>
            <w:tcW w:w="1325" w:type="dxa"/>
            <w:vAlign w:val="center"/>
          </w:tcPr>
          <w:p w14:paraId="6DEACD88">
            <w:pPr>
              <w:pStyle w:val="16"/>
              <w:keepNext w:val="0"/>
              <w:keepLines w:val="0"/>
              <w:widowControl/>
              <w:suppressLineNumbers w:val="0"/>
              <w:kinsoku/>
              <w:wordWrap/>
              <w:overflowPunct/>
              <w:snapToGrid w:val="0"/>
              <w:spacing w:line="240" w:lineRule="auto"/>
              <w:ind w:left="0" w:leftChars="0" w:right="0" w:rightChars="0" w:firstLine="0" w:firstLineChars="0"/>
              <w:jc w:val="center"/>
              <w:rPr>
                <w:rFonts w:hint="eastAsia" w:ascii="仿宋" w:hAnsi="仿宋" w:eastAsia="仿宋" w:cs="仿宋"/>
                <w:sz w:val="15"/>
                <w:szCs w:val="15"/>
                <w:vertAlign w:val="baseline"/>
                <w:lang w:val="en-US" w:eastAsia="zh-CN"/>
              </w:rPr>
            </w:pPr>
            <w:r>
              <w:rPr>
                <w:rFonts w:hint="eastAsia" w:ascii="仿宋" w:hAnsi="仿宋" w:eastAsia="仿宋" w:cs="仿宋"/>
                <w:color w:val="000000"/>
                <w:sz w:val="15"/>
                <w:szCs w:val="15"/>
                <w:lang w:eastAsia="zh-CN"/>
              </w:rPr>
              <w:t>2000万—5000万</w:t>
            </w:r>
          </w:p>
        </w:tc>
        <w:tc>
          <w:tcPr>
            <w:tcW w:w="2400" w:type="dxa"/>
            <w:vAlign w:val="center"/>
          </w:tcPr>
          <w:p w14:paraId="50415DEB">
            <w:pPr>
              <w:pStyle w:val="16"/>
              <w:keepNext w:val="0"/>
              <w:keepLines w:val="0"/>
              <w:widowControl/>
              <w:suppressLineNumbers w:val="0"/>
              <w:kinsoku/>
              <w:wordWrap/>
              <w:overflowPunct/>
              <w:snapToGrid w:val="0"/>
              <w:spacing w:line="240" w:lineRule="auto"/>
              <w:ind w:left="0" w:leftChars="0" w:right="0" w:rightChars="0" w:firstLine="0" w:firstLineChars="0"/>
              <w:jc w:val="left"/>
              <w:rPr>
                <w:rFonts w:hint="eastAsia" w:ascii="仿宋" w:hAnsi="仿宋" w:eastAsia="仿宋" w:cs="仿宋"/>
                <w:sz w:val="15"/>
                <w:szCs w:val="15"/>
                <w:vertAlign w:val="baseline"/>
                <w:lang w:val="en-US" w:eastAsia="zh-CN"/>
              </w:rPr>
            </w:pPr>
            <w:r>
              <w:rPr>
                <w:rFonts w:hint="eastAsia" w:ascii="仿宋" w:hAnsi="仿宋" w:eastAsia="仿宋" w:cs="仿宋"/>
                <w:b/>
                <w:bCs/>
                <w:color w:val="000000"/>
                <w:sz w:val="15"/>
                <w:szCs w:val="15"/>
              </w:rPr>
              <w:t>农机共享服务中心、智慧农业数据平台</w:t>
            </w:r>
          </w:p>
        </w:tc>
        <w:tc>
          <w:tcPr>
            <w:tcW w:w="2997" w:type="dxa"/>
            <w:vAlign w:val="center"/>
          </w:tcPr>
          <w:p w14:paraId="5E603798">
            <w:pPr>
              <w:pStyle w:val="16"/>
              <w:keepNext w:val="0"/>
              <w:keepLines w:val="0"/>
              <w:widowControl/>
              <w:suppressLineNumbers w:val="0"/>
              <w:kinsoku/>
              <w:wordWrap/>
              <w:overflowPunct/>
              <w:snapToGrid w:val="0"/>
              <w:spacing w:line="240" w:lineRule="auto"/>
              <w:ind w:left="0" w:leftChars="0" w:right="0" w:rightChars="0" w:firstLine="0" w:firstLineChars="0"/>
              <w:jc w:val="left"/>
              <w:rPr>
                <w:rFonts w:hint="eastAsia" w:ascii="仿宋" w:hAnsi="仿宋" w:eastAsia="仿宋" w:cs="仿宋"/>
                <w:sz w:val="15"/>
                <w:szCs w:val="15"/>
                <w:vertAlign w:val="baseline"/>
                <w:lang w:val="en-US" w:eastAsia="zh-CN"/>
              </w:rPr>
            </w:pPr>
            <w:r>
              <w:rPr>
                <w:rFonts w:hint="eastAsia" w:ascii="仿宋" w:hAnsi="仿宋" w:eastAsia="仿宋" w:cs="仿宋"/>
                <w:color w:val="000000"/>
                <w:sz w:val="15"/>
                <w:szCs w:val="15"/>
              </w:rPr>
              <w:t>象屿金谷农业全产业链数字化管理</w:t>
            </w:r>
          </w:p>
        </w:tc>
      </w:tr>
      <w:tr w14:paraId="752A6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37" w:type="dxa"/>
            <w:vMerge w:val="restart"/>
            <w:vAlign w:val="center"/>
          </w:tcPr>
          <w:p w14:paraId="142CCD24">
            <w:pPr>
              <w:pStyle w:val="16"/>
              <w:keepNext w:val="0"/>
              <w:keepLines w:val="0"/>
              <w:widowControl/>
              <w:suppressLineNumbers w:val="0"/>
              <w:kinsoku/>
              <w:wordWrap/>
              <w:overflowPunct/>
              <w:snapToGrid w:val="0"/>
              <w:spacing w:line="240" w:lineRule="auto"/>
              <w:ind w:left="0" w:leftChars="0" w:right="0" w:rightChars="0" w:firstLine="0" w:firstLineChars="0"/>
              <w:jc w:val="center"/>
              <w:rPr>
                <w:rFonts w:hint="eastAsia" w:ascii="仿宋" w:hAnsi="仿宋" w:eastAsia="仿宋" w:cs="仿宋"/>
                <w:b/>
                <w:bCs/>
                <w:sz w:val="15"/>
                <w:szCs w:val="15"/>
                <w:vertAlign w:val="baseline"/>
                <w:lang w:val="en-US" w:eastAsia="zh-CN"/>
              </w:rPr>
            </w:pPr>
            <w:r>
              <w:rPr>
                <w:rFonts w:hint="eastAsia" w:ascii="仿宋" w:hAnsi="仿宋" w:eastAsia="仿宋" w:cs="仿宋"/>
                <w:b/>
                <w:bCs/>
                <w:color w:val="000000"/>
                <w:sz w:val="15"/>
                <w:szCs w:val="15"/>
              </w:rPr>
              <w:t>绿色食品</w:t>
            </w:r>
          </w:p>
        </w:tc>
        <w:tc>
          <w:tcPr>
            <w:tcW w:w="963" w:type="dxa"/>
            <w:vAlign w:val="center"/>
          </w:tcPr>
          <w:p w14:paraId="4507D556">
            <w:pPr>
              <w:pStyle w:val="16"/>
              <w:keepNext w:val="0"/>
              <w:keepLines w:val="0"/>
              <w:widowControl/>
              <w:suppressLineNumbers w:val="0"/>
              <w:kinsoku/>
              <w:wordWrap/>
              <w:overflowPunct/>
              <w:snapToGrid w:val="0"/>
              <w:spacing w:line="240" w:lineRule="auto"/>
              <w:ind w:left="0" w:leftChars="0" w:right="0" w:rightChars="0" w:firstLine="0" w:firstLineChars="0"/>
              <w:jc w:val="left"/>
              <w:rPr>
                <w:rFonts w:hint="eastAsia" w:ascii="仿宋" w:hAnsi="仿宋" w:eastAsia="仿宋" w:cs="仿宋"/>
                <w:sz w:val="15"/>
                <w:szCs w:val="15"/>
                <w:vertAlign w:val="baseline"/>
                <w:lang w:val="en-US" w:eastAsia="zh-CN"/>
              </w:rPr>
            </w:pPr>
            <w:r>
              <w:rPr>
                <w:rFonts w:hint="eastAsia" w:ascii="仿宋" w:hAnsi="仿宋" w:eastAsia="仿宋" w:cs="仿宋"/>
                <w:color w:val="000000"/>
                <w:sz w:val="15"/>
                <w:szCs w:val="15"/>
              </w:rPr>
              <w:t>中央衔接资金</w:t>
            </w:r>
          </w:p>
        </w:tc>
        <w:tc>
          <w:tcPr>
            <w:tcW w:w="1325" w:type="dxa"/>
            <w:vAlign w:val="center"/>
          </w:tcPr>
          <w:p w14:paraId="0067F6D1">
            <w:pPr>
              <w:pStyle w:val="16"/>
              <w:keepNext w:val="0"/>
              <w:keepLines w:val="0"/>
              <w:widowControl/>
              <w:suppressLineNumbers w:val="0"/>
              <w:kinsoku/>
              <w:wordWrap/>
              <w:overflowPunct/>
              <w:snapToGrid w:val="0"/>
              <w:spacing w:line="240" w:lineRule="auto"/>
              <w:ind w:left="0" w:leftChars="0" w:right="0" w:rightChars="0" w:firstLine="0" w:firstLineChars="0"/>
              <w:jc w:val="center"/>
              <w:rPr>
                <w:rFonts w:hint="eastAsia" w:ascii="仿宋" w:hAnsi="仿宋" w:eastAsia="仿宋" w:cs="仿宋"/>
                <w:sz w:val="15"/>
                <w:szCs w:val="15"/>
                <w:vertAlign w:val="baseline"/>
                <w:lang w:val="en-US" w:eastAsia="zh-CN"/>
              </w:rPr>
            </w:pPr>
            <w:r>
              <w:rPr>
                <w:rFonts w:hint="eastAsia" w:ascii="仿宋" w:hAnsi="仿宋" w:eastAsia="仿宋" w:cs="仿宋"/>
                <w:color w:val="000000"/>
                <w:sz w:val="15"/>
                <w:szCs w:val="15"/>
                <w:lang w:eastAsia="zh-CN"/>
              </w:rPr>
              <w:t>100万—500万</w:t>
            </w:r>
          </w:p>
        </w:tc>
        <w:tc>
          <w:tcPr>
            <w:tcW w:w="2400" w:type="dxa"/>
            <w:vAlign w:val="center"/>
          </w:tcPr>
          <w:p w14:paraId="037FBE67">
            <w:pPr>
              <w:pStyle w:val="16"/>
              <w:keepNext w:val="0"/>
              <w:keepLines w:val="0"/>
              <w:widowControl/>
              <w:suppressLineNumbers w:val="0"/>
              <w:kinsoku/>
              <w:wordWrap/>
              <w:overflowPunct/>
              <w:snapToGrid w:val="0"/>
              <w:spacing w:line="240" w:lineRule="auto"/>
              <w:ind w:left="0" w:leftChars="0" w:right="0" w:rightChars="0" w:firstLine="0" w:firstLineChars="0"/>
              <w:jc w:val="left"/>
              <w:rPr>
                <w:rFonts w:hint="eastAsia" w:ascii="仿宋" w:hAnsi="仿宋" w:eastAsia="仿宋" w:cs="仿宋"/>
                <w:sz w:val="15"/>
                <w:szCs w:val="15"/>
                <w:vertAlign w:val="baseline"/>
                <w:lang w:val="en-US" w:eastAsia="zh-CN"/>
              </w:rPr>
            </w:pPr>
            <w:r>
              <w:rPr>
                <w:rFonts w:hint="eastAsia" w:ascii="仿宋" w:hAnsi="仿宋" w:eastAsia="仿宋" w:cs="仿宋"/>
                <w:color w:val="000000"/>
                <w:sz w:val="15"/>
                <w:szCs w:val="15"/>
              </w:rPr>
              <w:t>特色食品加工（豆油、狮头鹅深加工）、溯源体系建设</w:t>
            </w:r>
          </w:p>
        </w:tc>
        <w:tc>
          <w:tcPr>
            <w:tcW w:w="2997" w:type="dxa"/>
            <w:vAlign w:val="center"/>
          </w:tcPr>
          <w:p w14:paraId="4BE9F6D1">
            <w:pPr>
              <w:pStyle w:val="16"/>
              <w:keepNext w:val="0"/>
              <w:keepLines w:val="0"/>
              <w:widowControl/>
              <w:suppressLineNumbers w:val="0"/>
              <w:kinsoku/>
              <w:wordWrap/>
              <w:overflowPunct/>
              <w:snapToGrid w:val="0"/>
              <w:spacing w:line="240" w:lineRule="auto"/>
              <w:ind w:left="0" w:leftChars="0" w:right="0" w:rightChars="0" w:firstLine="0" w:firstLineChars="0"/>
              <w:jc w:val="left"/>
              <w:rPr>
                <w:rFonts w:hint="eastAsia" w:ascii="仿宋" w:hAnsi="仿宋" w:eastAsia="仿宋" w:cs="仿宋"/>
                <w:sz w:val="15"/>
                <w:szCs w:val="15"/>
                <w:vertAlign w:val="baseline"/>
                <w:lang w:val="en-US" w:eastAsia="zh-CN"/>
              </w:rPr>
            </w:pPr>
            <w:r>
              <w:rPr>
                <w:rFonts w:hint="eastAsia" w:ascii="仿宋" w:hAnsi="仿宋" w:eastAsia="仿宋" w:cs="仿宋"/>
                <w:color w:val="000000"/>
                <w:sz w:val="15"/>
                <w:szCs w:val="15"/>
              </w:rPr>
              <w:t>锦山镇洪洲村笨榨豆油厂（100万元）</w:t>
            </w:r>
          </w:p>
        </w:tc>
      </w:tr>
      <w:tr w14:paraId="0D0A8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37" w:type="dxa"/>
            <w:vMerge w:val="continue"/>
            <w:vAlign w:val="center"/>
          </w:tcPr>
          <w:p w14:paraId="13F699A4">
            <w:pPr>
              <w:snapToGrid w:val="0"/>
              <w:spacing w:line="240" w:lineRule="auto"/>
              <w:ind w:left="0" w:leftChars="0" w:right="0" w:rightChars="0" w:firstLine="0" w:firstLineChars="0"/>
              <w:jc w:val="center"/>
              <w:rPr>
                <w:rFonts w:hint="eastAsia" w:ascii="仿宋" w:hAnsi="仿宋" w:eastAsia="仿宋" w:cs="仿宋"/>
                <w:b/>
                <w:bCs/>
                <w:sz w:val="15"/>
                <w:szCs w:val="15"/>
                <w:vertAlign w:val="baseline"/>
                <w:lang w:val="en-US" w:eastAsia="zh-CN"/>
              </w:rPr>
            </w:pPr>
          </w:p>
        </w:tc>
        <w:tc>
          <w:tcPr>
            <w:tcW w:w="963" w:type="dxa"/>
            <w:vAlign w:val="center"/>
          </w:tcPr>
          <w:p w14:paraId="431E6019">
            <w:pPr>
              <w:pStyle w:val="16"/>
              <w:keepNext w:val="0"/>
              <w:keepLines w:val="0"/>
              <w:widowControl/>
              <w:suppressLineNumbers w:val="0"/>
              <w:kinsoku/>
              <w:wordWrap/>
              <w:overflowPunct/>
              <w:snapToGrid w:val="0"/>
              <w:spacing w:line="240" w:lineRule="auto"/>
              <w:ind w:left="0" w:leftChars="0" w:right="0" w:rightChars="0" w:firstLine="0" w:firstLineChars="0"/>
              <w:jc w:val="left"/>
              <w:rPr>
                <w:rFonts w:hint="eastAsia" w:ascii="仿宋" w:hAnsi="仿宋" w:eastAsia="仿宋" w:cs="仿宋"/>
                <w:sz w:val="15"/>
                <w:szCs w:val="15"/>
                <w:vertAlign w:val="baseline"/>
                <w:lang w:val="en-US" w:eastAsia="zh-CN"/>
              </w:rPr>
            </w:pPr>
            <w:r>
              <w:rPr>
                <w:rFonts w:hint="eastAsia" w:ascii="仿宋" w:hAnsi="仿宋" w:eastAsia="仿宋" w:cs="仿宋"/>
                <w:color w:val="000000"/>
                <w:sz w:val="15"/>
                <w:szCs w:val="15"/>
              </w:rPr>
              <w:t>超长期特别国债</w:t>
            </w:r>
          </w:p>
        </w:tc>
        <w:tc>
          <w:tcPr>
            <w:tcW w:w="1325" w:type="dxa"/>
            <w:vAlign w:val="center"/>
          </w:tcPr>
          <w:p w14:paraId="777BAAED">
            <w:pPr>
              <w:pStyle w:val="16"/>
              <w:keepNext w:val="0"/>
              <w:keepLines w:val="0"/>
              <w:widowControl/>
              <w:suppressLineNumbers w:val="0"/>
              <w:kinsoku/>
              <w:wordWrap/>
              <w:overflowPunct/>
              <w:snapToGrid w:val="0"/>
              <w:spacing w:line="240" w:lineRule="auto"/>
              <w:ind w:left="0" w:leftChars="0" w:right="0" w:rightChars="0" w:firstLine="0" w:firstLineChars="0"/>
              <w:jc w:val="center"/>
              <w:rPr>
                <w:rFonts w:hint="eastAsia" w:ascii="仿宋" w:hAnsi="仿宋" w:eastAsia="仿宋" w:cs="仿宋"/>
                <w:sz w:val="15"/>
                <w:szCs w:val="15"/>
                <w:vertAlign w:val="baseline"/>
                <w:lang w:val="en-US" w:eastAsia="zh-CN"/>
              </w:rPr>
            </w:pPr>
            <w:r>
              <w:rPr>
                <w:rFonts w:hint="eastAsia" w:ascii="仿宋" w:hAnsi="仿宋" w:eastAsia="仿宋" w:cs="仿宋"/>
                <w:color w:val="000000"/>
                <w:sz w:val="15"/>
                <w:szCs w:val="15"/>
              </w:rPr>
              <w:t>≥1亿</w:t>
            </w:r>
          </w:p>
        </w:tc>
        <w:tc>
          <w:tcPr>
            <w:tcW w:w="2400" w:type="dxa"/>
            <w:vAlign w:val="center"/>
          </w:tcPr>
          <w:p w14:paraId="4D2F8825">
            <w:pPr>
              <w:pStyle w:val="16"/>
              <w:keepNext w:val="0"/>
              <w:keepLines w:val="0"/>
              <w:widowControl/>
              <w:suppressLineNumbers w:val="0"/>
              <w:kinsoku/>
              <w:wordWrap/>
              <w:overflowPunct/>
              <w:snapToGrid w:val="0"/>
              <w:spacing w:line="240" w:lineRule="auto"/>
              <w:ind w:left="0" w:leftChars="0" w:right="0" w:rightChars="0" w:firstLine="0" w:firstLineChars="0"/>
              <w:jc w:val="left"/>
              <w:rPr>
                <w:rFonts w:hint="eastAsia" w:ascii="仿宋" w:hAnsi="仿宋" w:eastAsia="仿宋" w:cs="仿宋"/>
                <w:sz w:val="15"/>
                <w:szCs w:val="15"/>
                <w:vertAlign w:val="baseline"/>
                <w:lang w:val="en-US" w:eastAsia="zh-CN"/>
              </w:rPr>
            </w:pPr>
            <w:r>
              <w:rPr>
                <w:rFonts w:hint="eastAsia" w:ascii="仿宋" w:hAnsi="仿宋" w:eastAsia="仿宋" w:cs="仿宋"/>
                <w:color w:val="000000"/>
                <w:sz w:val="15"/>
                <w:szCs w:val="15"/>
              </w:rPr>
              <w:t>NFC果汁加工线、中央厨房、欧盟标准溯源体系</w:t>
            </w:r>
          </w:p>
        </w:tc>
        <w:tc>
          <w:tcPr>
            <w:tcW w:w="2997" w:type="dxa"/>
            <w:vAlign w:val="center"/>
          </w:tcPr>
          <w:p w14:paraId="64AEA22F">
            <w:pPr>
              <w:pStyle w:val="16"/>
              <w:keepNext w:val="0"/>
              <w:keepLines w:val="0"/>
              <w:widowControl/>
              <w:suppressLineNumbers w:val="0"/>
              <w:kinsoku/>
              <w:wordWrap/>
              <w:overflowPunct/>
              <w:snapToGrid w:val="0"/>
              <w:spacing w:line="240" w:lineRule="auto"/>
              <w:ind w:left="0" w:leftChars="0" w:right="0" w:rightChars="0" w:firstLine="0" w:firstLineChars="0"/>
              <w:jc w:val="left"/>
              <w:rPr>
                <w:rFonts w:hint="eastAsia" w:ascii="仿宋" w:hAnsi="仿宋" w:eastAsia="仿宋" w:cs="仿宋"/>
                <w:sz w:val="15"/>
                <w:szCs w:val="15"/>
                <w:vertAlign w:val="baseline"/>
                <w:lang w:val="en-US" w:eastAsia="zh-CN"/>
              </w:rPr>
            </w:pPr>
            <w:r>
              <w:rPr>
                <w:rFonts w:hint="eastAsia" w:ascii="仿宋" w:hAnsi="仿宋" w:eastAsia="仿宋" w:cs="仿宋"/>
                <w:color w:val="000000"/>
                <w:sz w:val="15"/>
                <w:szCs w:val="15"/>
              </w:rPr>
              <w:t>金玛农业通过SGS欧盟认证416项指标4；2025年设施农业扩围</w:t>
            </w:r>
          </w:p>
        </w:tc>
      </w:tr>
      <w:tr w14:paraId="5B449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37" w:type="dxa"/>
            <w:vMerge w:val="restart"/>
            <w:vAlign w:val="center"/>
          </w:tcPr>
          <w:p w14:paraId="54F3326B">
            <w:pPr>
              <w:pStyle w:val="16"/>
              <w:keepNext w:val="0"/>
              <w:keepLines w:val="0"/>
              <w:widowControl/>
              <w:suppressLineNumbers w:val="0"/>
              <w:kinsoku/>
              <w:wordWrap/>
              <w:overflowPunct/>
              <w:snapToGrid w:val="0"/>
              <w:spacing w:line="240" w:lineRule="auto"/>
              <w:ind w:left="0" w:leftChars="0" w:right="0" w:rightChars="0" w:firstLine="0" w:firstLineChars="0"/>
              <w:jc w:val="center"/>
              <w:rPr>
                <w:rFonts w:hint="eastAsia" w:ascii="仿宋" w:hAnsi="仿宋" w:eastAsia="仿宋" w:cs="仿宋"/>
                <w:b/>
                <w:bCs/>
                <w:sz w:val="15"/>
                <w:szCs w:val="15"/>
                <w:vertAlign w:val="baseline"/>
                <w:lang w:val="en-US" w:eastAsia="zh-CN"/>
              </w:rPr>
            </w:pPr>
            <w:r>
              <w:rPr>
                <w:rFonts w:hint="eastAsia" w:ascii="仿宋" w:hAnsi="仿宋" w:eastAsia="仿宋" w:cs="仿宋"/>
                <w:b/>
                <w:bCs/>
                <w:color w:val="000000"/>
                <w:sz w:val="15"/>
                <w:szCs w:val="15"/>
              </w:rPr>
              <w:t>乡村振兴</w:t>
            </w:r>
          </w:p>
        </w:tc>
        <w:tc>
          <w:tcPr>
            <w:tcW w:w="963" w:type="dxa"/>
            <w:vAlign w:val="center"/>
          </w:tcPr>
          <w:p w14:paraId="1F2C9C8D">
            <w:pPr>
              <w:pStyle w:val="16"/>
              <w:keepNext w:val="0"/>
              <w:keepLines w:val="0"/>
              <w:widowControl/>
              <w:suppressLineNumbers w:val="0"/>
              <w:kinsoku/>
              <w:wordWrap/>
              <w:overflowPunct/>
              <w:snapToGrid w:val="0"/>
              <w:spacing w:line="240" w:lineRule="auto"/>
              <w:ind w:left="0" w:leftChars="0" w:right="0" w:rightChars="0" w:firstLine="0" w:firstLineChars="0"/>
              <w:jc w:val="left"/>
              <w:rPr>
                <w:rFonts w:hint="eastAsia" w:ascii="仿宋" w:hAnsi="仿宋" w:eastAsia="仿宋" w:cs="仿宋"/>
                <w:sz w:val="15"/>
                <w:szCs w:val="15"/>
                <w:vertAlign w:val="baseline"/>
                <w:lang w:val="en-US" w:eastAsia="zh-CN"/>
              </w:rPr>
            </w:pPr>
            <w:r>
              <w:rPr>
                <w:rFonts w:hint="eastAsia" w:ascii="仿宋" w:hAnsi="仿宋" w:eastAsia="仿宋" w:cs="仿宋"/>
                <w:color w:val="000000"/>
                <w:sz w:val="15"/>
                <w:szCs w:val="15"/>
              </w:rPr>
              <w:t>中央衔接资金</w:t>
            </w:r>
          </w:p>
        </w:tc>
        <w:tc>
          <w:tcPr>
            <w:tcW w:w="1325" w:type="dxa"/>
            <w:vAlign w:val="center"/>
          </w:tcPr>
          <w:p w14:paraId="6CDE2022">
            <w:pPr>
              <w:pStyle w:val="16"/>
              <w:keepNext w:val="0"/>
              <w:keepLines w:val="0"/>
              <w:widowControl/>
              <w:suppressLineNumbers w:val="0"/>
              <w:kinsoku/>
              <w:wordWrap/>
              <w:overflowPunct/>
              <w:snapToGrid w:val="0"/>
              <w:spacing w:line="240" w:lineRule="auto"/>
              <w:ind w:left="0" w:leftChars="0" w:right="0" w:rightChars="0" w:firstLine="0" w:firstLineChars="0"/>
              <w:jc w:val="center"/>
              <w:rPr>
                <w:rFonts w:hint="eastAsia" w:ascii="仿宋" w:hAnsi="仿宋" w:eastAsia="仿宋" w:cs="仿宋"/>
                <w:sz w:val="15"/>
                <w:szCs w:val="15"/>
                <w:vertAlign w:val="baseline"/>
                <w:lang w:val="en-US" w:eastAsia="zh-CN"/>
              </w:rPr>
            </w:pPr>
            <w:r>
              <w:rPr>
                <w:rFonts w:hint="eastAsia" w:ascii="仿宋" w:hAnsi="仿宋" w:eastAsia="仿宋" w:cs="仿宋"/>
                <w:color w:val="000000"/>
                <w:sz w:val="15"/>
                <w:szCs w:val="15"/>
                <w:lang w:eastAsia="zh-CN"/>
              </w:rPr>
              <w:t>150万—300万</w:t>
            </w:r>
          </w:p>
        </w:tc>
        <w:tc>
          <w:tcPr>
            <w:tcW w:w="2400" w:type="dxa"/>
            <w:vAlign w:val="center"/>
          </w:tcPr>
          <w:p w14:paraId="2C153F8B">
            <w:pPr>
              <w:pStyle w:val="16"/>
              <w:keepNext w:val="0"/>
              <w:keepLines w:val="0"/>
              <w:widowControl/>
              <w:suppressLineNumbers w:val="0"/>
              <w:kinsoku/>
              <w:wordWrap/>
              <w:overflowPunct/>
              <w:snapToGrid w:val="0"/>
              <w:spacing w:line="240" w:lineRule="auto"/>
              <w:ind w:left="0" w:leftChars="0" w:right="0" w:rightChars="0" w:firstLine="0" w:firstLineChars="0"/>
              <w:jc w:val="left"/>
              <w:rPr>
                <w:rFonts w:hint="eastAsia" w:ascii="仿宋" w:hAnsi="仿宋" w:eastAsia="仿宋" w:cs="仿宋"/>
                <w:sz w:val="15"/>
                <w:szCs w:val="15"/>
                <w:vertAlign w:val="baseline"/>
                <w:lang w:val="en-US" w:eastAsia="zh-CN"/>
              </w:rPr>
            </w:pPr>
            <w:r>
              <w:rPr>
                <w:rFonts w:hint="eastAsia" w:ascii="仿宋" w:hAnsi="仿宋" w:eastAsia="仿宋" w:cs="仿宋"/>
                <w:color w:val="000000"/>
                <w:sz w:val="15"/>
                <w:szCs w:val="15"/>
              </w:rPr>
              <w:t>村内道路硬化、路边沟工程、数字乡村服务站</w:t>
            </w:r>
          </w:p>
        </w:tc>
        <w:tc>
          <w:tcPr>
            <w:tcW w:w="2997" w:type="dxa"/>
            <w:vAlign w:val="center"/>
          </w:tcPr>
          <w:p w14:paraId="3BB92D39">
            <w:pPr>
              <w:pStyle w:val="16"/>
              <w:keepNext w:val="0"/>
              <w:keepLines w:val="0"/>
              <w:widowControl/>
              <w:suppressLineNumbers w:val="0"/>
              <w:kinsoku/>
              <w:wordWrap/>
              <w:overflowPunct/>
              <w:snapToGrid w:val="0"/>
              <w:spacing w:line="240" w:lineRule="auto"/>
              <w:ind w:left="0" w:leftChars="0" w:right="0" w:rightChars="0" w:firstLine="0" w:firstLineChars="0"/>
              <w:jc w:val="left"/>
              <w:rPr>
                <w:rFonts w:hint="eastAsia" w:ascii="仿宋" w:hAnsi="仿宋" w:eastAsia="仿宋" w:cs="仿宋"/>
                <w:sz w:val="15"/>
                <w:szCs w:val="15"/>
                <w:vertAlign w:val="baseline"/>
                <w:lang w:val="en-US" w:eastAsia="zh-CN"/>
              </w:rPr>
            </w:pPr>
            <w:r>
              <w:rPr>
                <w:rFonts w:hint="eastAsia" w:ascii="仿宋" w:hAnsi="仿宋" w:eastAsia="仿宋" w:cs="仿宋"/>
                <w:color w:val="000000"/>
                <w:sz w:val="15"/>
                <w:szCs w:val="15"/>
              </w:rPr>
              <w:t>大榆树镇健康村道路建设（300万元）</w:t>
            </w:r>
          </w:p>
        </w:tc>
      </w:tr>
      <w:tr w14:paraId="51867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37" w:type="dxa"/>
            <w:vMerge w:val="continue"/>
            <w:vAlign w:val="center"/>
          </w:tcPr>
          <w:p w14:paraId="251E5D64">
            <w:pPr>
              <w:snapToGrid w:val="0"/>
              <w:spacing w:line="240" w:lineRule="auto"/>
              <w:ind w:left="0" w:leftChars="0" w:right="0" w:rightChars="0" w:firstLine="0" w:firstLineChars="0"/>
              <w:jc w:val="center"/>
              <w:rPr>
                <w:rFonts w:hint="eastAsia" w:ascii="仿宋" w:hAnsi="仿宋" w:eastAsia="仿宋" w:cs="仿宋"/>
                <w:b/>
                <w:bCs/>
                <w:sz w:val="15"/>
                <w:szCs w:val="15"/>
                <w:vertAlign w:val="baseline"/>
                <w:lang w:val="en-US" w:eastAsia="zh-CN"/>
              </w:rPr>
            </w:pPr>
          </w:p>
        </w:tc>
        <w:tc>
          <w:tcPr>
            <w:tcW w:w="963" w:type="dxa"/>
            <w:vAlign w:val="center"/>
          </w:tcPr>
          <w:p w14:paraId="62FBB19B">
            <w:pPr>
              <w:pStyle w:val="16"/>
              <w:keepNext w:val="0"/>
              <w:keepLines w:val="0"/>
              <w:widowControl/>
              <w:suppressLineNumbers w:val="0"/>
              <w:kinsoku/>
              <w:wordWrap/>
              <w:overflowPunct/>
              <w:snapToGrid w:val="0"/>
              <w:spacing w:line="240" w:lineRule="auto"/>
              <w:ind w:left="0" w:leftChars="0" w:right="0" w:rightChars="0" w:firstLine="0" w:firstLineChars="0"/>
              <w:jc w:val="left"/>
              <w:rPr>
                <w:rFonts w:hint="eastAsia" w:ascii="仿宋" w:hAnsi="仿宋" w:eastAsia="仿宋" w:cs="仿宋"/>
                <w:sz w:val="15"/>
                <w:szCs w:val="15"/>
                <w:vertAlign w:val="baseline"/>
                <w:lang w:val="en-US" w:eastAsia="zh-CN"/>
              </w:rPr>
            </w:pPr>
            <w:r>
              <w:rPr>
                <w:rFonts w:hint="eastAsia" w:ascii="仿宋" w:hAnsi="仿宋" w:eastAsia="仿宋" w:cs="仿宋"/>
                <w:color w:val="000000"/>
                <w:sz w:val="15"/>
                <w:szCs w:val="15"/>
              </w:rPr>
              <w:t>专项债券</w:t>
            </w:r>
          </w:p>
        </w:tc>
        <w:tc>
          <w:tcPr>
            <w:tcW w:w="1325" w:type="dxa"/>
            <w:vAlign w:val="center"/>
          </w:tcPr>
          <w:p w14:paraId="66D97FD9">
            <w:pPr>
              <w:pStyle w:val="16"/>
              <w:keepNext w:val="0"/>
              <w:keepLines w:val="0"/>
              <w:widowControl/>
              <w:suppressLineNumbers w:val="0"/>
              <w:kinsoku/>
              <w:wordWrap/>
              <w:overflowPunct/>
              <w:snapToGrid w:val="0"/>
              <w:spacing w:line="240" w:lineRule="auto"/>
              <w:ind w:left="0" w:leftChars="0" w:right="0" w:rightChars="0" w:firstLine="0" w:firstLineChars="0"/>
              <w:jc w:val="center"/>
              <w:rPr>
                <w:rFonts w:hint="eastAsia" w:ascii="仿宋" w:hAnsi="仿宋" w:eastAsia="仿宋" w:cs="仿宋"/>
                <w:sz w:val="15"/>
                <w:szCs w:val="15"/>
                <w:vertAlign w:val="baseline"/>
                <w:lang w:val="en-US" w:eastAsia="zh-CN"/>
              </w:rPr>
            </w:pPr>
            <w:r>
              <w:rPr>
                <w:rFonts w:hint="eastAsia" w:ascii="仿宋" w:hAnsi="仿宋" w:eastAsia="仿宋" w:cs="仿宋"/>
                <w:color w:val="000000"/>
                <w:sz w:val="15"/>
                <w:szCs w:val="15"/>
                <w:lang w:eastAsia="zh-CN"/>
              </w:rPr>
              <w:t>1000万—3000万</w:t>
            </w:r>
          </w:p>
        </w:tc>
        <w:tc>
          <w:tcPr>
            <w:tcW w:w="2400" w:type="dxa"/>
            <w:vAlign w:val="center"/>
          </w:tcPr>
          <w:p w14:paraId="506D67E0">
            <w:pPr>
              <w:pStyle w:val="16"/>
              <w:keepNext w:val="0"/>
              <w:keepLines w:val="0"/>
              <w:widowControl/>
              <w:suppressLineNumbers w:val="0"/>
              <w:kinsoku/>
              <w:wordWrap/>
              <w:overflowPunct/>
              <w:snapToGrid w:val="0"/>
              <w:spacing w:line="240" w:lineRule="auto"/>
              <w:ind w:left="0" w:leftChars="0" w:right="0" w:rightChars="0" w:firstLine="0" w:firstLineChars="0"/>
              <w:jc w:val="left"/>
              <w:rPr>
                <w:rFonts w:hint="eastAsia" w:ascii="仿宋" w:hAnsi="仿宋" w:eastAsia="仿宋" w:cs="仿宋"/>
                <w:sz w:val="15"/>
                <w:szCs w:val="15"/>
                <w:vertAlign w:val="baseline"/>
                <w:lang w:val="en-US" w:eastAsia="zh-CN"/>
              </w:rPr>
            </w:pPr>
            <w:r>
              <w:rPr>
                <w:rFonts w:hint="eastAsia" w:ascii="仿宋" w:hAnsi="仿宋" w:eastAsia="仿宋" w:cs="仿宋"/>
                <w:color w:val="000000"/>
                <w:sz w:val="15"/>
                <w:szCs w:val="15"/>
              </w:rPr>
              <w:t>乡村文旅综合体（稻田画观光）、分布式光伏</w:t>
            </w:r>
          </w:p>
        </w:tc>
        <w:tc>
          <w:tcPr>
            <w:tcW w:w="2997" w:type="dxa"/>
            <w:vAlign w:val="center"/>
          </w:tcPr>
          <w:p w14:paraId="5300766E">
            <w:pPr>
              <w:pStyle w:val="16"/>
              <w:keepNext w:val="0"/>
              <w:keepLines w:val="0"/>
              <w:widowControl/>
              <w:suppressLineNumbers w:val="0"/>
              <w:kinsoku/>
              <w:wordWrap/>
              <w:overflowPunct/>
              <w:snapToGrid w:val="0"/>
              <w:spacing w:line="240" w:lineRule="auto"/>
              <w:ind w:left="0" w:leftChars="0" w:right="0" w:rightChars="0" w:firstLine="0" w:firstLineChars="0"/>
              <w:jc w:val="left"/>
              <w:rPr>
                <w:rFonts w:hint="eastAsia" w:ascii="仿宋" w:hAnsi="仿宋" w:eastAsia="仿宋" w:cs="仿宋"/>
                <w:sz w:val="15"/>
                <w:szCs w:val="15"/>
                <w:vertAlign w:val="baseline"/>
                <w:lang w:val="en-US" w:eastAsia="zh-CN"/>
              </w:rPr>
            </w:pPr>
            <w:r>
              <w:rPr>
                <w:rFonts w:hint="eastAsia" w:ascii="仿宋" w:hAnsi="仿宋" w:eastAsia="仿宋" w:cs="仿宋"/>
                <w:color w:val="000000"/>
                <w:sz w:val="15"/>
                <w:szCs w:val="15"/>
              </w:rPr>
              <w:t>万亩水稻科技示范园文旅功能</w:t>
            </w:r>
          </w:p>
        </w:tc>
      </w:tr>
      <w:tr w14:paraId="79903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37" w:type="dxa"/>
            <w:vMerge w:val="restart"/>
            <w:vAlign w:val="center"/>
          </w:tcPr>
          <w:p w14:paraId="40589DF2">
            <w:pPr>
              <w:pStyle w:val="16"/>
              <w:keepNext w:val="0"/>
              <w:keepLines w:val="0"/>
              <w:widowControl/>
              <w:suppressLineNumbers w:val="0"/>
              <w:kinsoku/>
              <w:wordWrap/>
              <w:overflowPunct/>
              <w:snapToGrid w:val="0"/>
              <w:spacing w:line="240" w:lineRule="auto"/>
              <w:ind w:left="0" w:leftChars="0" w:right="0" w:rightChars="0" w:firstLine="0" w:firstLineChars="0"/>
              <w:jc w:val="center"/>
              <w:rPr>
                <w:rFonts w:hint="eastAsia" w:ascii="仿宋" w:hAnsi="仿宋" w:eastAsia="仿宋" w:cs="仿宋"/>
                <w:b/>
                <w:bCs/>
                <w:sz w:val="15"/>
                <w:szCs w:val="15"/>
                <w:vertAlign w:val="baseline"/>
                <w:lang w:val="en-US" w:eastAsia="zh-CN"/>
              </w:rPr>
            </w:pPr>
            <w:r>
              <w:rPr>
                <w:rFonts w:hint="eastAsia" w:ascii="仿宋" w:hAnsi="仿宋" w:eastAsia="仿宋" w:cs="仿宋"/>
                <w:b/>
                <w:bCs/>
                <w:color w:val="000000"/>
                <w:sz w:val="15"/>
                <w:szCs w:val="15"/>
              </w:rPr>
              <w:t>绿色低碳</w:t>
            </w:r>
          </w:p>
        </w:tc>
        <w:tc>
          <w:tcPr>
            <w:tcW w:w="963" w:type="dxa"/>
            <w:vAlign w:val="center"/>
          </w:tcPr>
          <w:p w14:paraId="6FA6EB9D">
            <w:pPr>
              <w:pStyle w:val="16"/>
              <w:keepNext w:val="0"/>
              <w:keepLines w:val="0"/>
              <w:widowControl/>
              <w:suppressLineNumbers w:val="0"/>
              <w:kinsoku/>
              <w:wordWrap/>
              <w:overflowPunct/>
              <w:snapToGrid w:val="0"/>
              <w:spacing w:line="240" w:lineRule="auto"/>
              <w:ind w:left="0" w:leftChars="0" w:right="0" w:rightChars="0" w:firstLine="0" w:firstLineChars="0"/>
              <w:jc w:val="left"/>
              <w:rPr>
                <w:rFonts w:hint="eastAsia" w:ascii="仿宋" w:hAnsi="仿宋" w:eastAsia="仿宋" w:cs="仿宋"/>
                <w:sz w:val="15"/>
                <w:szCs w:val="15"/>
                <w:vertAlign w:val="baseline"/>
                <w:lang w:val="en-US" w:eastAsia="zh-CN"/>
              </w:rPr>
            </w:pPr>
            <w:r>
              <w:rPr>
                <w:rFonts w:hint="eastAsia" w:ascii="仿宋" w:hAnsi="仿宋" w:eastAsia="仿宋" w:cs="仿宋"/>
                <w:color w:val="000000"/>
                <w:sz w:val="15"/>
                <w:szCs w:val="15"/>
              </w:rPr>
              <w:t>专项债券</w:t>
            </w:r>
          </w:p>
        </w:tc>
        <w:tc>
          <w:tcPr>
            <w:tcW w:w="1325" w:type="dxa"/>
            <w:vAlign w:val="center"/>
          </w:tcPr>
          <w:p w14:paraId="0ADC852D">
            <w:pPr>
              <w:pStyle w:val="16"/>
              <w:keepNext w:val="0"/>
              <w:keepLines w:val="0"/>
              <w:widowControl/>
              <w:suppressLineNumbers w:val="0"/>
              <w:kinsoku/>
              <w:wordWrap/>
              <w:overflowPunct/>
              <w:snapToGrid w:val="0"/>
              <w:spacing w:line="240" w:lineRule="auto"/>
              <w:ind w:left="0" w:leftChars="0" w:right="0" w:rightChars="0" w:firstLine="0" w:firstLineChars="0"/>
              <w:jc w:val="center"/>
              <w:rPr>
                <w:rFonts w:hint="eastAsia" w:ascii="仿宋" w:hAnsi="仿宋" w:eastAsia="仿宋" w:cs="仿宋"/>
                <w:sz w:val="15"/>
                <w:szCs w:val="15"/>
                <w:vertAlign w:val="baseline"/>
                <w:lang w:val="en-US" w:eastAsia="zh-CN"/>
              </w:rPr>
            </w:pPr>
            <w:r>
              <w:rPr>
                <w:rFonts w:hint="eastAsia" w:ascii="仿宋" w:hAnsi="仿宋" w:eastAsia="仿宋" w:cs="仿宋"/>
                <w:color w:val="000000"/>
                <w:sz w:val="15"/>
                <w:szCs w:val="15"/>
                <w:lang w:eastAsia="zh-CN"/>
              </w:rPr>
              <w:t>5000万—2亿</w:t>
            </w:r>
            <w:r>
              <w:rPr>
                <w:rFonts w:hint="eastAsia" w:ascii="仿宋" w:hAnsi="仿宋" w:eastAsia="仿宋" w:cs="仿宋"/>
                <w:color w:val="000000"/>
                <w:sz w:val="15"/>
                <w:szCs w:val="15"/>
              </w:rPr>
              <w:t>元</w:t>
            </w:r>
          </w:p>
        </w:tc>
        <w:tc>
          <w:tcPr>
            <w:tcW w:w="2400" w:type="dxa"/>
            <w:vAlign w:val="center"/>
          </w:tcPr>
          <w:p w14:paraId="280C5497">
            <w:pPr>
              <w:pStyle w:val="16"/>
              <w:keepNext w:val="0"/>
              <w:keepLines w:val="0"/>
              <w:widowControl/>
              <w:suppressLineNumbers w:val="0"/>
              <w:kinsoku/>
              <w:wordWrap/>
              <w:overflowPunct/>
              <w:snapToGrid w:val="0"/>
              <w:spacing w:line="240" w:lineRule="auto"/>
              <w:ind w:left="0" w:leftChars="0" w:right="0" w:rightChars="0" w:firstLine="0" w:firstLineChars="0"/>
              <w:jc w:val="left"/>
              <w:rPr>
                <w:rFonts w:hint="eastAsia" w:ascii="仿宋" w:hAnsi="仿宋" w:eastAsia="仿宋" w:cs="仿宋"/>
                <w:sz w:val="15"/>
                <w:szCs w:val="15"/>
                <w:vertAlign w:val="baseline"/>
                <w:lang w:val="en-US" w:eastAsia="zh-CN"/>
              </w:rPr>
            </w:pPr>
            <w:r>
              <w:rPr>
                <w:rFonts w:hint="eastAsia" w:ascii="仿宋" w:hAnsi="仿宋" w:eastAsia="仿宋" w:cs="仿宋"/>
                <w:color w:val="000000"/>
                <w:sz w:val="15"/>
                <w:szCs w:val="15"/>
              </w:rPr>
              <w:t>生物质热电联产、化工园区污水处理厂</w:t>
            </w:r>
          </w:p>
        </w:tc>
        <w:tc>
          <w:tcPr>
            <w:tcW w:w="2997" w:type="dxa"/>
            <w:vAlign w:val="center"/>
          </w:tcPr>
          <w:p w14:paraId="61DAC148">
            <w:pPr>
              <w:pStyle w:val="16"/>
              <w:keepNext w:val="0"/>
              <w:keepLines w:val="0"/>
              <w:widowControl/>
              <w:suppressLineNumbers w:val="0"/>
              <w:kinsoku/>
              <w:wordWrap/>
              <w:overflowPunct/>
              <w:snapToGrid w:val="0"/>
              <w:spacing w:line="240" w:lineRule="auto"/>
              <w:ind w:left="0" w:leftChars="0" w:right="0" w:rightChars="0" w:firstLine="0" w:firstLineChars="0"/>
              <w:jc w:val="left"/>
              <w:rPr>
                <w:rFonts w:hint="eastAsia" w:ascii="仿宋" w:hAnsi="仿宋" w:eastAsia="仿宋" w:cs="仿宋"/>
                <w:sz w:val="15"/>
                <w:szCs w:val="15"/>
                <w:vertAlign w:val="baseline"/>
                <w:lang w:val="en-US" w:eastAsia="zh-CN"/>
              </w:rPr>
            </w:pPr>
            <w:r>
              <w:rPr>
                <w:rFonts w:hint="eastAsia" w:ascii="仿宋" w:hAnsi="仿宋" w:eastAsia="仿宋" w:cs="仿宋"/>
                <w:color w:val="000000"/>
                <w:sz w:val="15"/>
                <w:szCs w:val="15"/>
              </w:rPr>
              <w:t>生物质热电联产项目（外网供水管线）</w:t>
            </w:r>
          </w:p>
        </w:tc>
      </w:tr>
      <w:tr w14:paraId="4AA2F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37" w:type="dxa"/>
            <w:vMerge w:val="continue"/>
            <w:vAlign w:val="center"/>
          </w:tcPr>
          <w:p w14:paraId="2A2CDA35">
            <w:pPr>
              <w:snapToGrid w:val="0"/>
              <w:spacing w:line="240" w:lineRule="auto"/>
              <w:ind w:left="0" w:leftChars="0" w:right="0" w:rightChars="0" w:firstLine="0" w:firstLineChars="0"/>
              <w:jc w:val="center"/>
              <w:rPr>
                <w:rFonts w:hint="eastAsia" w:ascii="仿宋" w:hAnsi="仿宋" w:eastAsia="仿宋" w:cs="仿宋"/>
                <w:sz w:val="15"/>
                <w:szCs w:val="15"/>
                <w:vertAlign w:val="baseline"/>
                <w:lang w:val="en-US" w:eastAsia="zh-CN"/>
              </w:rPr>
            </w:pPr>
          </w:p>
        </w:tc>
        <w:tc>
          <w:tcPr>
            <w:tcW w:w="963" w:type="dxa"/>
            <w:vAlign w:val="center"/>
          </w:tcPr>
          <w:p w14:paraId="0CD7C94E">
            <w:pPr>
              <w:pStyle w:val="16"/>
              <w:keepNext w:val="0"/>
              <w:keepLines w:val="0"/>
              <w:widowControl/>
              <w:suppressLineNumbers w:val="0"/>
              <w:kinsoku/>
              <w:wordWrap/>
              <w:overflowPunct/>
              <w:snapToGrid w:val="0"/>
              <w:spacing w:line="240" w:lineRule="auto"/>
              <w:ind w:left="0" w:leftChars="0" w:right="0" w:rightChars="0" w:firstLine="0" w:firstLineChars="0"/>
              <w:jc w:val="left"/>
              <w:rPr>
                <w:rFonts w:hint="eastAsia" w:ascii="仿宋" w:hAnsi="仿宋" w:eastAsia="仿宋" w:cs="仿宋"/>
                <w:sz w:val="15"/>
                <w:szCs w:val="15"/>
                <w:vertAlign w:val="baseline"/>
                <w:lang w:val="en-US" w:eastAsia="zh-CN"/>
              </w:rPr>
            </w:pPr>
            <w:r>
              <w:rPr>
                <w:rFonts w:hint="eastAsia" w:ascii="仿宋" w:hAnsi="仿宋" w:eastAsia="仿宋" w:cs="仿宋"/>
                <w:color w:val="000000"/>
                <w:sz w:val="15"/>
                <w:szCs w:val="15"/>
              </w:rPr>
              <w:t>政策性金融贷款</w:t>
            </w:r>
          </w:p>
        </w:tc>
        <w:tc>
          <w:tcPr>
            <w:tcW w:w="1325" w:type="dxa"/>
            <w:vAlign w:val="center"/>
          </w:tcPr>
          <w:p w14:paraId="1755FC7C">
            <w:pPr>
              <w:pStyle w:val="16"/>
              <w:keepNext w:val="0"/>
              <w:keepLines w:val="0"/>
              <w:widowControl/>
              <w:suppressLineNumbers w:val="0"/>
              <w:kinsoku/>
              <w:wordWrap/>
              <w:overflowPunct/>
              <w:snapToGrid w:val="0"/>
              <w:spacing w:line="240" w:lineRule="auto"/>
              <w:ind w:left="0" w:leftChars="0" w:right="0" w:rightChars="0" w:firstLine="0" w:firstLineChars="0"/>
              <w:jc w:val="center"/>
              <w:rPr>
                <w:rFonts w:hint="eastAsia" w:ascii="仿宋" w:hAnsi="仿宋" w:eastAsia="仿宋" w:cs="仿宋"/>
                <w:sz w:val="15"/>
                <w:szCs w:val="15"/>
                <w:vertAlign w:val="baseline"/>
                <w:lang w:val="en-US" w:eastAsia="zh-CN"/>
              </w:rPr>
            </w:pPr>
            <w:r>
              <w:rPr>
                <w:rFonts w:hint="eastAsia" w:ascii="仿宋" w:hAnsi="仿宋" w:eastAsia="仿宋" w:cs="仿宋"/>
                <w:color w:val="000000"/>
                <w:sz w:val="15"/>
                <w:szCs w:val="15"/>
              </w:rPr>
              <w:t>≥1亿</w:t>
            </w:r>
          </w:p>
        </w:tc>
        <w:tc>
          <w:tcPr>
            <w:tcW w:w="2400" w:type="dxa"/>
            <w:vAlign w:val="center"/>
          </w:tcPr>
          <w:p w14:paraId="16A47411">
            <w:pPr>
              <w:pStyle w:val="16"/>
              <w:keepNext w:val="0"/>
              <w:keepLines w:val="0"/>
              <w:widowControl/>
              <w:suppressLineNumbers w:val="0"/>
              <w:kinsoku/>
              <w:wordWrap/>
              <w:overflowPunct/>
              <w:snapToGrid w:val="0"/>
              <w:spacing w:line="240" w:lineRule="auto"/>
              <w:ind w:left="0" w:leftChars="0" w:right="0" w:rightChars="0" w:firstLine="0" w:firstLineChars="0"/>
              <w:jc w:val="left"/>
              <w:rPr>
                <w:rFonts w:hint="eastAsia" w:ascii="仿宋" w:hAnsi="仿宋" w:eastAsia="仿宋" w:cs="仿宋"/>
                <w:sz w:val="15"/>
                <w:szCs w:val="15"/>
                <w:vertAlign w:val="baseline"/>
                <w:lang w:val="en-US" w:eastAsia="zh-CN"/>
              </w:rPr>
            </w:pPr>
            <w:r>
              <w:rPr>
                <w:rFonts w:hint="eastAsia" w:ascii="仿宋" w:hAnsi="仿宋" w:eastAsia="仿宋" w:cs="仿宋"/>
                <w:b/>
                <w:bCs/>
                <w:color w:val="000000"/>
                <w:sz w:val="15"/>
                <w:szCs w:val="15"/>
              </w:rPr>
              <w:t>园区循环化改造</w:t>
            </w:r>
            <w:r>
              <w:rPr>
                <w:rFonts w:hint="eastAsia" w:ascii="仿宋" w:hAnsi="仿宋" w:eastAsia="仿宋" w:cs="仿宋"/>
                <w:color w:val="000000"/>
                <w:sz w:val="15"/>
                <w:szCs w:val="15"/>
              </w:rPr>
              <w:t>（能源梯级利用、智能管廊）</w:t>
            </w:r>
          </w:p>
        </w:tc>
        <w:tc>
          <w:tcPr>
            <w:tcW w:w="2997" w:type="dxa"/>
            <w:vAlign w:val="center"/>
          </w:tcPr>
          <w:p w14:paraId="5CC3D099">
            <w:pPr>
              <w:pStyle w:val="16"/>
              <w:keepNext w:val="0"/>
              <w:keepLines w:val="0"/>
              <w:widowControl/>
              <w:suppressLineNumbers w:val="0"/>
              <w:kinsoku/>
              <w:wordWrap/>
              <w:overflowPunct/>
              <w:snapToGrid w:val="0"/>
              <w:spacing w:line="240" w:lineRule="auto"/>
              <w:ind w:left="0" w:leftChars="0" w:right="0" w:rightChars="0" w:firstLine="0" w:firstLineChars="0"/>
              <w:jc w:val="left"/>
              <w:rPr>
                <w:rFonts w:hint="eastAsia" w:ascii="仿宋" w:hAnsi="仿宋" w:eastAsia="仿宋" w:cs="仿宋"/>
                <w:sz w:val="15"/>
                <w:szCs w:val="15"/>
                <w:vertAlign w:val="baseline"/>
                <w:lang w:val="en-US" w:eastAsia="zh-CN"/>
              </w:rPr>
            </w:pPr>
            <w:r>
              <w:rPr>
                <w:rFonts w:hint="eastAsia" w:ascii="仿宋" w:hAnsi="仿宋" w:eastAsia="仿宋" w:cs="仿宋"/>
                <w:color w:val="000000"/>
                <w:sz w:val="15"/>
                <w:szCs w:val="15"/>
              </w:rPr>
              <w:t>化工园区智能管廊（4.08公里）</w:t>
            </w:r>
          </w:p>
        </w:tc>
      </w:tr>
    </w:tbl>
    <w:p w14:paraId="2B7F96AB">
      <w:pPr>
        <w:pStyle w:val="3"/>
        <w:keepNext w:val="0"/>
        <w:keepLines w:val="0"/>
        <w:widowControl/>
        <w:spacing w:line="240" w:lineRule="auto"/>
        <w:ind w:left="0" w:leftChars="0" w:firstLine="0" w:firstLineChars="0"/>
        <w:jc w:val="center"/>
        <w:rPr>
          <w:rFonts w:hint="default" w:ascii="Times New Roman" w:hAnsi="Times New Roman" w:eastAsia="楷体_GB2312" w:cs="楷体_GB2312"/>
          <w:lang w:val="en-US" w:eastAsia="zh-CN"/>
        </w:rPr>
      </w:pPr>
      <w:bookmarkStart w:id="104" w:name="_Toc12971"/>
      <w:r>
        <w:rPr>
          <w:rFonts w:hint="eastAsia" w:ascii="Times New Roman" w:hAnsi="Times New Roman" w:eastAsia="楷体_GB2312" w:cs="楷体_GB2312"/>
          <w:lang w:val="en-US" w:eastAsia="zh-CN"/>
        </w:rPr>
        <w:t>第五节  以数字治理穿透执行堵点</w:t>
      </w:r>
      <w:bookmarkEnd w:id="104"/>
    </w:p>
    <w:p w14:paraId="47C20D70">
      <w:pPr>
        <w:bidi w:val="0"/>
        <w:rPr>
          <w:rFonts w:hint="eastAsia" w:ascii="仿宋_GB2312" w:hAnsi="仿宋_GB2312" w:eastAsia="仿宋_GB2312" w:cs="仿宋_GB2312"/>
          <w:lang w:val="en-US" w:eastAsia="zh-CN"/>
        </w:rPr>
      </w:pPr>
      <w:r>
        <w:rPr>
          <w:rFonts w:hint="eastAsia" w:ascii="仿宋_GB2312" w:hAnsi="仿宋_GB2312" w:cs="仿宋_GB2312"/>
          <w:b/>
          <w:bCs/>
          <w:lang w:val="en-US" w:eastAsia="zh-CN"/>
        </w:rPr>
        <w:t>推动治理转型</w:t>
      </w:r>
      <w:r>
        <w:rPr>
          <w:rFonts w:hint="eastAsia" w:ascii="仿宋_GB2312" w:hAnsi="仿宋_GB2312" w:eastAsia="仿宋_GB2312" w:cs="仿宋_GB2312"/>
          <w:b/>
          <w:bCs/>
          <w:lang w:val="en-US" w:eastAsia="zh-CN"/>
        </w:rPr>
        <w:t>。</w:t>
      </w:r>
      <w:r>
        <w:rPr>
          <w:rFonts w:hint="eastAsia" w:ascii="仿宋_GB2312" w:hAnsi="仿宋_GB2312" w:eastAsia="仿宋_GB2312" w:cs="仿宋_GB2312"/>
          <w:lang w:val="en-US" w:eastAsia="zh-CN"/>
        </w:rPr>
        <w:t>以数据流整合业务流、监督流，推动行政效能从“被动响应”向“主动治理”转型，构建“诉求秒达、执行无阻、监督闭环”的数字治理新生态</w:t>
      </w:r>
      <w:r>
        <w:rPr>
          <w:rFonts w:hint="eastAsia" w:ascii="仿宋_GB2312" w:hAnsi="仿宋_GB2312" w:cs="仿宋_GB2312"/>
          <w:lang w:val="en-US" w:eastAsia="zh-CN"/>
        </w:rPr>
        <w:t>。</w:t>
      </w:r>
      <w:r>
        <w:rPr>
          <w:rFonts w:hint="eastAsia" w:ascii="仿宋_GB2312" w:hAnsi="仿宋_GB2312" w:eastAsia="仿宋_GB2312" w:cs="仿宋_GB2312"/>
          <w:lang w:val="en-US" w:eastAsia="zh-CN"/>
        </w:rPr>
        <w:t>构建跨部门协作机制，统筹国土空间规划、专项规划与发展规划的协调统一，坚持底图叠合、指标统合、政策整合，构建“党委领导—政府协同—公众监督”的共治闭环。</w:t>
      </w:r>
    </w:p>
    <w:p w14:paraId="58A274C9">
      <w:pPr>
        <w:bidi w:val="0"/>
        <w:rPr>
          <w:rFonts w:hint="eastAsia" w:ascii="仿宋_GB2312" w:hAnsi="仿宋_GB2312" w:eastAsia="仿宋_GB2312" w:cs="仿宋_GB2312"/>
          <w:lang w:val="en-US" w:eastAsia="zh-CN"/>
        </w:rPr>
      </w:pPr>
      <w:r>
        <w:rPr>
          <w:rFonts w:hint="eastAsia" w:ascii="仿宋_GB2312" w:hAnsi="仿宋_GB2312" w:eastAsia="仿宋_GB2312" w:cs="仿宋_GB2312"/>
          <w:b/>
          <w:bCs/>
          <w:lang w:val="en-US" w:eastAsia="zh-CN"/>
        </w:rPr>
        <w:t>完善监督机制。</w:t>
      </w:r>
      <w:r>
        <w:rPr>
          <w:rFonts w:hint="eastAsia" w:ascii="仿宋_GB2312" w:hAnsi="仿宋_GB2312" w:eastAsia="仿宋_GB2312" w:cs="仿宋_GB2312"/>
          <w:lang w:val="en-US" w:eastAsia="zh-CN"/>
        </w:rPr>
        <w:t>健全政策协调和工作协同机制，完善规划实施监测评估和绩效考评机制，“十五五”规划确定的约束性指标及重大工程项目、重大政策和重大改革举措，要明确责任主体和进度要求，加强监管，及时开展监测评估，确保市党委、市政府确定的各项部署落到实处</w:t>
      </w:r>
      <w:r>
        <w:rPr>
          <w:rFonts w:hint="eastAsia" w:ascii="仿宋_GB2312" w:hAnsi="仿宋_GB2312" w:cs="仿宋_GB2312"/>
          <w:lang w:val="en-US" w:eastAsia="zh-CN"/>
        </w:rPr>
        <w:t>；</w:t>
      </w:r>
      <w:r>
        <w:rPr>
          <w:rFonts w:hint="eastAsia" w:ascii="仿宋_GB2312" w:hAnsi="仿宋_GB2312" w:eastAsia="仿宋_GB2312" w:cs="仿宋_GB2312"/>
          <w:lang w:val="en-US" w:eastAsia="zh-CN"/>
        </w:rPr>
        <w:t>从社区、村屯选聘观察员，通过“掌上富锦”APP直报项目落地问题，部门响应时效≤24小时。每季度发布“规划实施民情指数”，将群众满意度（如就业岗位增量、公交分担率）纳入相关部门绩效考核。</w:t>
      </w:r>
    </w:p>
    <w:p w14:paraId="7AD8483B">
      <w:pPr>
        <w:bidi w:val="0"/>
        <w:rPr>
          <w:rFonts w:hint="eastAsia" w:ascii="仿宋_GB2312" w:hAnsi="仿宋_GB2312" w:eastAsia="仿宋_GB2312" w:cs="仿宋_GB2312"/>
          <w:lang w:val="en-US" w:eastAsia="zh-CN"/>
        </w:rPr>
      </w:pPr>
      <w:r>
        <w:rPr>
          <w:rFonts w:hint="eastAsia" w:ascii="仿宋_GB2312" w:hAnsi="仿宋_GB2312" w:eastAsia="仿宋_GB2312" w:cs="仿宋_GB2312"/>
          <w:b/>
          <w:bCs/>
          <w:lang w:val="en-US" w:eastAsia="zh-CN"/>
        </w:rPr>
        <w:t>强化规划评估。</w:t>
      </w:r>
      <w:r>
        <w:rPr>
          <w:rFonts w:hint="eastAsia" w:ascii="仿宋_GB2312" w:hAnsi="仿宋_GB2312" w:eastAsia="仿宋_GB2312" w:cs="仿宋_GB2312"/>
          <w:lang w:val="en-US" w:eastAsia="zh-CN"/>
        </w:rPr>
        <w:t>开展规划实施情况年度监测、中期评估，中期评估报告按程序提请市党委常委会会议审议，把监测评估结果作为改进政府工作和绩效考核的重要依据，并依法向市人民代表大会常务委员会报告规划实施情况，自觉接受人大监督。引入专业机构对规划实施情况进行第三方评估，整合专业机构技术能力与社会公众诉求，形成“政府</w:t>
      </w:r>
      <w:r>
        <w:rPr>
          <w:rFonts w:hint="eastAsia" w:ascii="仿宋_GB2312" w:hAnsi="仿宋_GB2312" w:cs="仿宋_GB2312"/>
          <w:lang w:val="en-US" w:eastAsia="zh-CN"/>
        </w:rPr>
        <w:t>－</w:t>
      </w:r>
      <w:r>
        <w:rPr>
          <w:rFonts w:hint="eastAsia" w:ascii="仿宋_GB2312" w:hAnsi="仿宋_GB2312" w:eastAsia="仿宋_GB2312" w:cs="仿宋_GB2312"/>
          <w:lang w:val="en-US" w:eastAsia="zh-CN"/>
        </w:rPr>
        <w:t>专家</w:t>
      </w:r>
      <w:r>
        <w:rPr>
          <w:rFonts w:hint="eastAsia" w:ascii="仿宋_GB2312" w:hAnsi="仿宋_GB2312" w:cs="仿宋_GB2312"/>
          <w:lang w:val="en-US" w:eastAsia="zh-CN"/>
        </w:rPr>
        <w:t>－</w:t>
      </w:r>
      <w:r>
        <w:rPr>
          <w:rFonts w:hint="eastAsia" w:ascii="仿宋_GB2312" w:hAnsi="仿宋_GB2312" w:eastAsia="仿宋_GB2312" w:cs="仿宋_GB2312"/>
          <w:lang w:val="en-US" w:eastAsia="zh-CN"/>
        </w:rPr>
        <w:t>公众”共治闭环；强化年度计划与本规划的衔接，将本规划确定的主要指标分解纳入年度计划指标体系，设置年度目标并做好年度间综合平衡，合理确定年度工作重点。</w:t>
      </w:r>
    </w:p>
    <w:p w14:paraId="5C8BDC0E">
      <w:pPr>
        <w:pStyle w:val="3"/>
        <w:keepNext w:val="0"/>
        <w:keepLines w:val="0"/>
        <w:widowControl/>
        <w:spacing w:line="240" w:lineRule="auto"/>
        <w:ind w:left="0" w:leftChars="0" w:firstLine="0" w:firstLineChars="0"/>
        <w:jc w:val="center"/>
        <w:rPr>
          <w:rFonts w:hint="default" w:ascii="Times New Roman" w:hAnsi="Times New Roman" w:eastAsia="楷体_GB2312" w:cs="楷体_GB2312"/>
          <w:lang w:val="en-US" w:eastAsia="zh-CN"/>
        </w:rPr>
      </w:pPr>
      <w:bookmarkStart w:id="105" w:name="_Toc1469"/>
      <w:r>
        <w:rPr>
          <w:rFonts w:hint="eastAsia" w:ascii="Times New Roman" w:hAnsi="Times New Roman" w:eastAsia="楷体_GB2312" w:cs="楷体_GB2312"/>
          <w:lang w:val="en-US" w:eastAsia="zh-CN"/>
        </w:rPr>
        <w:t xml:space="preserve">第六节  </w:t>
      </w:r>
      <w:r>
        <w:rPr>
          <w:rFonts w:hint="eastAsia" w:ascii="Times New Roman" w:hAnsi="Times New Roman" w:cs="楷体_GB2312"/>
          <w:lang w:val="en-US" w:eastAsia="zh-CN"/>
        </w:rPr>
        <w:t>健全</w:t>
      </w:r>
      <w:r>
        <w:rPr>
          <w:rFonts w:hint="eastAsia" w:ascii="Times New Roman" w:hAnsi="Times New Roman" w:eastAsia="楷体_GB2312" w:cs="楷体_GB2312"/>
          <w:lang w:val="en-US" w:eastAsia="zh-CN"/>
        </w:rPr>
        <w:t>公众参与</w:t>
      </w:r>
      <w:r>
        <w:rPr>
          <w:rFonts w:hint="eastAsia" w:ascii="Times New Roman" w:hAnsi="Times New Roman" w:cs="楷体_GB2312"/>
          <w:lang w:val="en-US" w:eastAsia="zh-CN"/>
        </w:rPr>
        <w:t>和</w:t>
      </w:r>
      <w:r>
        <w:rPr>
          <w:rFonts w:hint="eastAsia" w:ascii="Times New Roman" w:hAnsi="Times New Roman" w:eastAsia="楷体_GB2312" w:cs="楷体_GB2312"/>
          <w:lang w:val="en-US" w:eastAsia="zh-CN"/>
        </w:rPr>
        <w:t>社会监督</w:t>
      </w:r>
      <w:r>
        <w:rPr>
          <w:rFonts w:hint="eastAsia" w:ascii="Times New Roman" w:hAnsi="Times New Roman" w:cs="楷体_GB2312"/>
          <w:lang w:val="en-US" w:eastAsia="zh-CN"/>
        </w:rPr>
        <w:t>机制</w:t>
      </w:r>
      <w:bookmarkEnd w:id="105"/>
    </w:p>
    <w:p w14:paraId="27651EB2">
      <w:pPr>
        <w:bidi w:val="0"/>
        <w:rPr>
          <w:rFonts w:hint="eastAsia" w:ascii="仿宋_GB2312" w:hAnsi="仿宋_GB2312" w:eastAsia="仿宋_GB2312" w:cs="仿宋_GB2312"/>
          <w:lang w:val="en-US" w:eastAsia="zh-CN"/>
        </w:rPr>
      </w:pPr>
      <w:r>
        <w:rPr>
          <w:rFonts w:hint="eastAsia" w:ascii="仿宋_GB2312" w:hAnsi="仿宋_GB2312" w:eastAsia="仿宋_GB2312" w:cs="仿宋_GB2312"/>
          <w:b/>
          <w:bCs/>
          <w:lang w:val="en-US" w:eastAsia="zh-CN"/>
        </w:rPr>
        <w:t>多元参与渠道。</w:t>
      </w:r>
      <w:r>
        <w:rPr>
          <w:rFonts w:hint="eastAsia" w:ascii="仿宋_GB2312" w:hAnsi="仿宋_GB2312" w:eastAsia="仿宋_GB2312" w:cs="仿宋_GB2312"/>
          <w:lang w:val="en-US" w:eastAsia="zh-CN"/>
        </w:rPr>
        <w:t xml:space="preserve">加强规划宣传，推进规划信息公开，发挥电视、报纸、微信、微博等各类媒介的作用，畅通宣传渠道，对规划发展目标、主要任务、重大举措等内容进行展示，增强公众对规划的认知、认可和认同。依托“中心+所+站+实践点”四级文明实践网络，开展政策宣讲和文化活动，推动基层治理共商共建。  </w:t>
      </w:r>
    </w:p>
    <w:p w14:paraId="499F2248">
      <w:pPr>
        <w:bidi w:val="0"/>
        <w:rPr>
          <w:rFonts w:hint="eastAsia" w:ascii="仿宋_GB2312" w:hAnsi="仿宋_GB2312" w:eastAsia="仿宋_GB2312" w:cs="仿宋_GB2312"/>
          <w:lang w:val="en-US" w:eastAsia="zh-CN"/>
        </w:rPr>
      </w:pPr>
      <w:r>
        <w:rPr>
          <w:rFonts w:hint="eastAsia" w:ascii="仿宋_GB2312" w:hAnsi="仿宋_GB2312" w:eastAsia="仿宋_GB2312" w:cs="仿宋_GB2312"/>
          <w:b/>
          <w:bCs/>
          <w:lang w:val="en-US" w:eastAsia="zh-CN"/>
        </w:rPr>
        <w:t>强化监督机制。</w:t>
      </w:r>
      <w:r>
        <w:rPr>
          <w:rFonts w:hint="eastAsia" w:ascii="仿宋_GB2312" w:hAnsi="仿宋_GB2312" w:eastAsia="仿宋_GB2312" w:cs="仿宋_GB2312"/>
          <w:lang w:val="en-US" w:eastAsia="zh-CN"/>
        </w:rPr>
        <w:t>完善规划的民主监督机制，发挥社会各界、群众社团的监督作用，积极开展公众评价，促进规划的有效实施。以“阵地下沉、数据赋能、闭环响应”三位一体模式，推动公众从“旁观者”转为“参与者”，形成全社会协同监督的治理新生态，为高质量发展注入民主动能。</w:t>
      </w:r>
    </w:p>
    <w:p w14:paraId="51F11CA1">
      <w:pPr>
        <w:bidi w:val="0"/>
        <w:rPr>
          <w:rFonts w:hint="default" w:ascii="仿宋_GB2312" w:hAnsi="仿宋_GB2312" w:eastAsia="仿宋_GB2312" w:cs="仿宋_GB2312"/>
          <w:lang w:val="en-US" w:eastAsia="zh-CN"/>
        </w:rPr>
      </w:pPr>
      <w:r>
        <w:rPr>
          <w:rFonts w:hint="eastAsia" w:ascii="仿宋_GB2312" w:hAnsi="仿宋_GB2312" w:eastAsia="仿宋_GB2312" w:cs="仿宋_GB2312"/>
          <w:b/>
          <w:bCs/>
          <w:lang w:val="en-US" w:eastAsia="zh-CN"/>
        </w:rPr>
        <w:t>民生诉求响应。</w:t>
      </w:r>
      <w:r>
        <w:rPr>
          <w:rFonts w:hint="eastAsia" w:ascii="仿宋_GB2312" w:hAnsi="仿宋_GB2312" w:eastAsia="仿宋_GB2312" w:cs="仿宋_GB2312"/>
          <w:lang w:val="en-US" w:eastAsia="zh-CN"/>
        </w:rPr>
        <w:t>健全政府、企业、市民的信息沟通和反馈机制，提高民主化程度和透明度，营造全社会共同参与的良好氛围。通过开设《民生实事进行时》专栏，全程跟踪民生工程进展，建立“群众点单</w:t>
      </w:r>
      <w:r>
        <w:rPr>
          <w:rFonts w:hint="eastAsia" w:ascii="仿宋_GB2312" w:hAnsi="仿宋_GB2312" w:cs="仿宋_GB2312"/>
          <w:lang w:val="en-US" w:eastAsia="zh-CN"/>
        </w:rPr>
        <w:t>－</w:t>
      </w:r>
      <w:r>
        <w:rPr>
          <w:rFonts w:hint="eastAsia" w:ascii="仿宋_GB2312" w:hAnsi="仿宋_GB2312" w:eastAsia="仿宋_GB2312" w:cs="仿宋_GB2312"/>
          <w:lang w:val="en-US" w:eastAsia="zh-CN"/>
        </w:rPr>
        <w:t>平台派单</w:t>
      </w:r>
      <w:r>
        <w:rPr>
          <w:rFonts w:hint="eastAsia" w:ascii="仿宋_GB2312" w:hAnsi="仿宋_GB2312" w:cs="仿宋_GB2312"/>
          <w:lang w:val="en-US" w:eastAsia="zh-CN"/>
        </w:rPr>
        <w:t>－</w:t>
      </w:r>
      <w:r>
        <w:rPr>
          <w:rFonts w:hint="eastAsia" w:ascii="仿宋_GB2312" w:hAnsi="仿宋_GB2312" w:eastAsia="仿宋_GB2312" w:cs="仿宋_GB2312"/>
          <w:lang w:val="en-US" w:eastAsia="zh-CN"/>
        </w:rPr>
        <w:t>部门接单</w:t>
      </w:r>
      <w:r>
        <w:rPr>
          <w:rFonts w:hint="eastAsia" w:ascii="仿宋_GB2312" w:hAnsi="仿宋_GB2312" w:cs="仿宋_GB2312"/>
          <w:lang w:val="en-US" w:eastAsia="zh-CN"/>
        </w:rPr>
        <w:t>－</w:t>
      </w:r>
      <w:r>
        <w:rPr>
          <w:rFonts w:hint="eastAsia" w:ascii="仿宋_GB2312" w:hAnsi="仿宋_GB2312" w:eastAsia="仿宋_GB2312" w:cs="仿宋_GB2312"/>
          <w:lang w:val="en-US" w:eastAsia="zh-CN"/>
        </w:rPr>
        <w:t>社会评单”网格治理流程，接受公众监督评议</w:t>
      </w:r>
      <w:r>
        <w:rPr>
          <w:rFonts w:hint="eastAsia" w:ascii="仿宋_GB2312" w:hAnsi="仿宋_GB2312" w:cs="仿宋_GB2312"/>
          <w:lang w:val="en-US" w:eastAsia="zh-CN"/>
        </w:rPr>
        <w:t>，让每一项民生工程都落到实处，让每一位市民的诉求都有回响，共同缔造看得见、摸得着、可感可及的幸福富锦。</w:t>
      </w:r>
    </w:p>
    <w:p w14:paraId="56AE076C">
      <w:pPr>
        <w:pStyle w:val="8"/>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 xml:space="preserve"> </w:t>
      </w:r>
    </w:p>
    <w:sectPr>
      <w:footerReference r:id="rId9" w:type="first"/>
      <w:footerReference r:id="rId8"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titlePg/>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B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68CAE54A-55E5-416C-B7C0-9DB5C5493DEF}"/>
  </w:font>
  <w:font w:name="Arial">
    <w:panose1 w:val="020B0604020202020204"/>
    <w:charset w:val="01"/>
    <w:family w:val="swiss"/>
    <w:pitch w:val="default"/>
    <w:sig w:usb0="E0002AFF" w:usb1="C0007843" w:usb2="00000009" w:usb3="00000000" w:csb0="400001FF" w:csb1="FFFF0000"/>
    <w:embedRegular r:id="rId2" w:fontKey="{B65CF931-7078-4595-B624-A0F726EA16A5}"/>
  </w:font>
  <w:font w:name="黑体">
    <w:panose1 w:val="02010609060101010101"/>
    <w:charset w:val="86"/>
    <w:family w:val="auto"/>
    <w:pitch w:val="default"/>
    <w:sig w:usb0="800002BF" w:usb1="38CF7CFA" w:usb2="00000016" w:usb3="00000000" w:csb0="00040001" w:csb1="00000000"/>
    <w:embedRegular r:id="rId3" w:fontKey="{FFEF18AF-9DF3-403E-9E25-BF651FD99D7B}"/>
  </w:font>
  <w:font w:name="Courier New">
    <w:panose1 w:val="02070309020205020404"/>
    <w:charset w:val="01"/>
    <w:family w:val="modern"/>
    <w:pitch w:val="default"/>
    <w:sig w:usb0="E0002AFF" w:usb1="C0007843" w:usb2="00000009" w:usb3="00000000" w:csb0="400001FF" w:csb1="FFFF0000"/>
    <w:embedRegular r:id="rId4" w:fontKey="{BB6D6B67-DDD8-4390-A230-7CFD713D13E4}"/>
  </w:font>
  <w:font w:name="Symbol">
    <w:panose1 w:val="05050102010706020507"/>
    <w:charset w:val="02"/>
    <w:family w:val="roman"/>
    <w:pitch w:val="default"/>
    <w:sig w:usb0="00000000" w:usb1="00000000" w:usb2="00000000" w:usb3="00000000" w:csb0="80000000" w:csb1="00000000"/>
    <w:embedRegular r:id="rId5" w:fontKey="{322A1B85-DCDA-4649-AC05-85D9E2A76C3A}"/>
  </w:font>
  <w:font w:name="Calibri">
    <w:panose1 w:val="020F0502020204030204"/>
    <w:charset w:val="00"/>
    <w:family w:val="swiss"/>
    <w:pitch w:val="default"/>
    <w:sig w:usb0="E00002FF" w:usb1="4000ACFF" w:usb2="00000001" w:usb3="00000000" w:csb0="2000019F" w:csb1="00000000"/>
    <w:embedRegular r:id="rId6" w:fontKey="{9877FFAB-ECFD-480C-BC3D-93E49CA3EBFA}"/>
  </w:font>
  <w:font w:name="仿宋_GB2312">
    <w:panose1 w:val="02010609030101010101"/>
    <w:charset w:val="86"/>
    <w:family w:val="modern"/>
    <w:pitch w:val="default"/>
    <w:sig w:usb0="00000001" w:usb1="080E0000" w:usb2="00000000" w:usb3="00000000" w:csb0="00040000" w:csb1="00000000"/>
    <w:embedRegular r:id="rId7" w:fontKey="{720F97B3-075A-497E-8359-806D1DED95CA}"/>
  </w:font>
  <w:font w:name="Calibri Light">
    <w:panose1 w:val="020F0302020204030204"/>
    <w:charset w:val="00"/>
    <w:family w:val="swiss"/>
    <w:pitch w:val="default"/>
    <w:sig w:usb0="A00002EF" w:usb1="4000207B" w:usb2="00000000" w:usb3="00000000" w:csb0="2000019F" w:csb1="00000000"/>
    <w:embedRegular r:id="rId8" w:fontKey="{A911929F-73BA-4AC0-BCAA-33F617B357B3}"/>
  </w:font>
  <w:font w:name="楷体_GB2312">
    <w:panose1 w:val="02010609030101010101"/>
    <w:charset w:val="86"/>
    <w:family w:val="modern"/>
    <w:pitch w:val="default"/>
    <w:sig w:usb0="00000001" w:usb1="080E0000" w:usb2="00000000" w:usb3="00000000" w:csb0="00040000" w:csb1="00000000"/>
    <w:embedRegular r:id="rId9" w:fontKey="{E988E631-3B59-4EE9-A9AA-6FF36ECCD367}"/>
  </w:font>
  <w:font w:name="Cambria">
    <w:panose1 w:val="02040503050406030204"/>
    <w:charset w:val="00"/>
    <w:family w:val="roman"/>
    <w:pitch w:val="default"/>
    <w:sig w:usb0="E00002FF" w:usb1="400004FF" w:usb2="00000000" w:usb3="00000000" w:csb0="2000019F" w:csb1="00000000"/>
    <w:embedRegular r:id="rId10" w:fontKey="{16E6E741-18F0-4B62-82B0-333652188BF0}"/>
  </w:font>
  <w:font w:name="华文中宋">
    <w:panose1 w:val="02010600040101010101"/>
    <w:charset w:val="86"/>
    <w:family w:val="auto"/>
    <w:pitch w:val="default"/>
    <w:sig w:usb0="00000287" w:usb1="080F0000" w:usb2="00000000" w:usb3="00000000" w:csb0="0004009F" w:csb1="DFD70000"/>
    <w:embedRegular r:id="rId11" w:fontKey="{93AA1A96-1B6A-4D71-9720-50A39C4E9203}"/>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embedRegular r:id="rId12" w:fontKey="{D4D7B915-D863-4FE4-8A1E-00E0745C3EDE}"/>
  </w:font>
  <w:font w:name="楷体">
    <w:panose1 w:val="02010609060101010101"/>
    <w:charset w:val="86"/>
    <w:family w:val="auto"/>
    <w:pitch w:val="default"/>
    <w:sig w:usb0="800002BF" w:usb1="38CF7CFA" w:usb2="00000016" w:usb3="00000000" w:csb0="00040001" w:csb1="00000000"/>
    <w:embedRegular r:id="rId13" w:fontKey="{A25291D1-A266-4015-AD6E-31465A9D7AD1}"/>
  </w:font>
  <w:font w:name="WPSEMBED1">
    <w:panose1 w:val="02010600040101010101"/>
    <w:charset w:val="86"/>
    <w:family w:val="auto"/>
    <w:pitch w:val="default"/>
    <w:sig w:usb0="00000287" w:usb1="080F0000" w:usb2="00000000" w:usb3="00000000" w:csb0="0004009F" w:csb1="DFD70000"/>
  </w:font>
  <w:font w:name="Gulim">
    <w:panose1 w:val="020B0600000101010101"/>
    <w:charset w:val="81"/>
    <w:family w:val="auto"/>
    <w:pitch w:val="default"/>
    <w:sig w:usb0="B00002AF" w:usb1="69D77CFB" w:usb2="00000030" w:usb3="00000000" w:csb0="4008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D3193E">
    <w:pPr>
      <w:pStyle w:val="10"/>
      <w:jc w:val="center"/>
      <w:rPr>
        <w:rFonts w:ascii="Times New Roman" w:hAnsi="Times New Roman" w:cs="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B9A313">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843293">
    <w:pPr>
      <w:pStyle w:val="10"/>
      <w:jc w:val="center"/>
      <w:rPr>
        <w:rFonts w:ascii="Times New Roman" w:hAnsi="Times New Roman" w:cs="Times New Roma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E5A018">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BE5A018">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275CA1">
    <w:pPr>
      <w:pStyle w:val="10"/>
      <w:jc w:val="center"/>
      <w:rPr>
        <w:rFonts w:ascii="Times New Roman" w:hAnsi="Times New Roman" w:cs="Times New Roman"/>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093419">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1C093419">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617282">
    <w:pPr>
      <w:pStyle w:val="10"/>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623601">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A623601">
                    <w:pPr>
                      <w:pStyle w:val="10"/>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lang w:eastAsia="zh-CN"/>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D4036"/>
    <w:rsid w:val="00150EAD"/>
    <w:rsid w:val="00252FD3"/>
    <w:rsid w:val="002B06D1"/>
    <w:rsid w:val="003C726B"/>
    <w:rsid w:val="0078143C"/>
    <w:rsid w:val="007E0499"/>
    <w:rsid w:val="00952B96"/>
    <w:rsid w:val="009C5196"/>
    <w:rsid w:val="00B53E20"/>
    <w:rsid w:val="00B71C1B"/>
    <w:rsid w:val="00D348C5"/>
    <w:rsid w:val="00D36D27"/>
    <w:rsid w:val="00DF3269"/>
    <w:rsid w:val="00E3393D"/>
    <w:rsid w:val="010827C0"/>
    <w:rsid w:val="012F416B"/>
    <w:rsid w:val="018A1D78"/>
    <w:rsid w:val="01B84944"/>
    <w:rsid w:val="01C4783E"/>
    <w:rsid w:val="01CC7C92"/>
    <w:rsid w:val="01DB6F3E"/>
    <w:rsid w:val="01F86CD9"/>
    <w:rsid w:val="01FD42EF"/>
    <w:rsid w:val="020C68B4"/>
    <w:rsid w:val="021D04ED"/>
    <w:rsid w:val="02290C40"/>
    <w:rsid w:val="02303136"/>
    <w:rsid w:val="02322596"/>
    <w:rsid w:val="025263E9"/>
    <w:rsid w:val="02557C87"/>
    <w:rsid w:val="02A87250"/>
    <w:rsid w:val="02AC3801"/>
    <w:rsid w:val="02B52978"/>
    <w:rsid w:val="02CF1F19"/>
    <w:rsid w:val="02D076EC"/>
    <w:rsid w:val="02D768EE"/>
    <w:rsid w:val="02E352E1"/>
    <w:rsid w:val="02E66FBD"/>
    <w:rsid w:val="0322134F"/>
    <w:rsid w:val="03554BB7"/>
    <w:rsid w:val="036C65CC"/>
    <w:rsid w:val="037D56E7"/>
    <w:rsid w:val="0387316A"/>
    <w:rsid w:val="03AC07D6"/>
    <w:rsid w:val="03B71DE0"/>
    <w:rsid w:val="03D70B20"/>
    <w:rsid w:val="03DD7F34"/>
    <w:rsid w:val="03E71919"/>
    <w:rsid w:val="03E94B2B"/>
    <w:rsid w:val="03F1578E"/>
    <w:rsid w:val="041B0CB9"/>
    <w:rsid w:val="04223B99"/>
    <w:rsid w:val="044C27AC"/>
    <w:rsid w:val="04957FA0"/>
    <w:rsid w:val="04B0389B"/>
    <w:rsid w:val="04D45BD7"/>
    <w:rsid w:val="04E67290"/>
    <w:rsid w:val="04EF0AA1"/>
    <w:rsid w:val="04F1299F"/>
    <w:rsid w:val="050478FB"/>
    <w:rsid w:val="053E2980"/>
    <w:rsid w:val="053F2333"/>
    <w:rsid w:val="056A6ABC"/>
    <w:rsid w:val="05736389"/>
    <w:rsid w:val="057C52FB"/>
    <w:rsid w:val="05802301"/>
    <w:rsid w:val="059D2279"/>
    <w:rsid w:val="05B37078"/>
    <w:rsid w:val="05BB2D34"/>
    <w:rsid w:val="05BC0C75"/>
    <w:rsid w:val="05DD4E34"/>
    <w:rsid w:val="05DE1D42"/>
    <w:rsid w:val="05E96551"/>
    <w:rsid w:val="05FB28F4"/>
    <w:rsid w:val="06226A06"/>
    <w:rsid w:val="06494D3A"/>
    <w:rsid w:val="06776434"/>
    <w:rsid w:val="067930FF"/>
    <w:rsid w:val="06834B2E"/>
    <w:rsid w:val="0687687D"/>
    <w:rsid w:val="069563AB"/>
    <w:rsid w:val="06971099"/>
    <w:rsid w:val="06B238FA"/>
    <w:rsid w:val="06C51235"/>
    <w:rsid w:val="06DA3702"/>
    <w:rsid w:val="06FE3E08"/>
    <w:rsid w:val="07007808"/>
    <w:rsid w:val="07106873"/>
    <w:rsid w:val="07135A6A"/>
    <w:rsid w:val="073B02BF"/>
    <w:rsid w:val="073B2FDF"/>
    <w:rsid w:val="07807554"/>
    <w:rsid w:val="07900E2C"/>
    <w:rsid w:val="07BD7919"/>
    <w:rsid w:val="07BE50E9"/>
    <w:rsid w:val="07BF5970"/>
    <w:rsid w:val="07D948ED"/>
    <w:rsid w:val="07DD5EBB"/>
    <w:rsid w:val="07DE53F0"/>
    <w:rsid w:val="07FB3286"/>
    <w:rsid w:val="0812219F"/>
    <w:rsid w:val="08123701"/>
    <w:rsid w:val="086F75C9"/>
    <w:rsid w:val="08985F96"/>
    <w:rsid w:val="08A112E2"/>
    <w:rsid w:val="08A85DF7"/>
    <w:rsid w:val="08AA0601"/>
    <w:rsid w:val="08C2594B"/>
    <w:rsid w:val="08D91B6E"/>
    <w:rsid w:val="08DC1CF7"/>
    <w:rsid w:val="08EC29C7"/>
    <w:rsid w:val="090019C4"/>
    <w:rsid w:val="09011663"/>
    <w:rsid w:val="091168F9"/>
    <w:rsid w:val="09267C87"/>
    <w:rsid w:val="092B7994"/>
    <w:rsid w:val="0945452A"/>
    <w:rsid w:val="09651D94"/>
    <w:rsid w:val="09695AF8"/>
    <w:rsid w:val="099E65A1"/>
    <w:rsid w:val="09A43E33"/>
    <w:rsid w:val="09A76708"/>
    <w:rsid w:val="09EA6F07"/>
    <w:rsid w:val="09FE6E56"/>
    <w:rsid w:val="0A0F6A4E"/>
    <w:rsid w:val="0A115B97"/>
    <w:rsid w:val="0A3E36F7"/>
    <w:rsid w:val="0A3E451F"/>
    <w:rsid w:val="0A421E88"/>
    <w:rsid w:val="0A4800D1"/>
    <w:rsid w:val="0A511564"/>
    <w:rsid w:val="0A53701E"/>
    <w:rsid w:val="0A5C39BE"/>
    <w:rsid w:val="0A702AA5"/>
    <w:rsid w:val="0A7D17C8"/>
    <w:rsid w:val="0A84735B"/>
    <w:rsid w:val="0A9677D9"/>
    <w:rsid w:val="0A9F4195"/>
    <w:rsid w:val="0AC0160E"/>
    <w:rsid w:val="0AC44F40"/>
    <w:rsid w:val="0AED026D"/>
    <w:rsid w:val="0AF52007"/>
    <w:rsid w:val="0B0264D2"/>
    <w:rsid w:val="0B194CD4"/>
    <w:rsid w:val="0B214899"/>
    <w:rsid w:val="0B354AFA"/>
    <w:rsid w:val="0B3B2848"/>
    <w:rsid w:val="0B3F3C9B"/>
    <w:rsid w:val="0B500417"/>
    <w:rsid w:val="0B567ABE"/>
    <w:rsid w:val="0B6253AB"/>
    <w:rsid w:val="0B6E1DBA"/>
    <w:rsid w:val="0BA17A99"/>
    <w:rsid w:val="0BA20737"/>
    <w:rsid w:val="0BAA358F"/>
    <w:rsid w:val="0BB974D9"/>
    <w:rsid w:val="0BDC0CB8"/>
    <w:rsid w:val="0BE5425A"/>
    <w:rsid w:val="0BEE6CA0"/>
    <w:rsid w:val="0C043D49"/>
    <w:rsid w:val="0C0553E9"/>
    <w:rsid w:val="0C2A3F33"/>
    <w:rsid w:val="0C3A7269"/>
    <w:rsid w:val="0C43571A"/>
    <w:rsid w:val="0C4A6358"/>
    <w:rsid w:val="0C78244B"/>
    <w:rsid w:val="0C7A65C2"/>
    <w:rsid w:val="0C8135B7"/>
    <w:rsid w:val="0C8E2713"/>
    <w:rsid w:val="0CD12600"/>
    <w:rsid w:val="0CD1797E"/>
    <w:rsid w:val="0CD52D5C"/>
    <w:rsid w:val="0CDB683C"/>
    <w:rsid w:val="0CE139DB"/>
    <w:rsid w:val="0CFC34B2"/>
    <w:rsid w:val="0D000509"/>
    <w:rsid w:val="0D026433"/>
    <w:rsid w:val="0D3A3B77"/>
    <w:rsid w:val="0D4508F8"/>
    <w:rsid w:val="0D5A2878"/>
    <w:rsid w:val="0D676AC1"/>
    <w:rsid w:val="0D7511DD"/>
    <w:rsid w:val="0D75742F"/>
    <w:rsid w:val="0D9755F8"/>
    <w:rsid w:val="0DD36AEA"/>
    <w:rsid w:val="0DED2A1B"/>
    <w:rsid w:val="0E0F3334"/>
    <w:rsid w:val="0E2D7D0A"/>
    <w:rsid w:val="0E2F3A82"/>
    <w:rsid w:val="0E56100F"/>
    <w:rsid w:val="0E855450"/>
    <w:rsid w:val="0E883917"/>
    <w:rsid w:val="0E8D69FB"/>
    <w:rsid w:val="0E9B226A"/>
    <w:rsid w:val="0EBC4BEA"/>
    <w:rsid w:val="0ECF2BA9"/>
    <w:rsid w:val="0EDF7256"/>
    <w:rsid w:val="0EE40E63"/>
    <w:rsid w:val="0EED1247"/>
    <w:rsid w:val="0EFE3455"/>
    <w:rsid w:val="0F0E7B3C"/>
    <w:rsid w:val="0F1D38DB"/>
    <w:rsid w:val="0F2A4EF7"/>
    <w:rsid w:val="0F7B5AFA"/>
    <w:rsid w:val="0F7E34C8"/>
    <w:rsid w:val="0F8E1E98"/>
    <w:rsid w:val="0F9242C9"/>
    <w:rsid w:val="0FA859E8"/>
    <w:rsid w:val="0FE50BC7"/>
    <w:rsid w:val="0FE96F23"/>
    <w:rsid w:val="104430E9"/>
    <w:rsid w:val="10745038"/>
    <w:rsid w:val="107F2A45"/>
    <w:rsid w:val="108552A4"/>
    <w:rsid w:val="10857989"/>
    <w:rsid w:val="1097773A"/>
    <w:rsid w:val="10AC760C"/>
    <w:rsid w:val="10CD7582"/>
    <w:rsid w:val="10CF1FAC"/>
    <w:rsid w:val="10F62635"/>
    <w:rsid w:val="10FF3282"/>
    <w:rsid w:val="110F3211"/>
    <w:rsid w:val="111C6951"/>
    <w:rsid w:val="115E4DF9"/>
    <w:rsid w:val="11803DCC"/>
    <w:rsid w:val="11BD3153"/>
    <w:rsid w:val="12077B33"/>
    <w:rsid w:val="12153570"/>
    <w:rsid w:val="121F796A"/>
    <w:rsid w:val="1232769D"/>
    <w:rsid w:val="124D311E"/>
    <w:rsid w:val="125339E9"/>
    <w:rsid w:val="12614426"/>
    <w:rsid w:val="12B02CB8"/>
    <w:rsid w:val="12B03B08"/>
    <w:rsid w:val="12B76CD1"/>
    <w:rsid w:val="12BE1B6A"/>
    <w:rsid w:val="12D91F46"/>
    <w:rsid w:val="12EE3134"/>
    <w:rsid w:val="12EF558E"/>
    <w:rsid w:val="130C4392"/>
    <w:rsid w:val="13180522"/>
    <w:rsid w:val="13225800"/>
    <w:rsid w:val="13497394"/>
    <w:rsid w:val="13606D51"/>
    <w:rsid w:val="13632F6B"/>
    <w:rsid w:val="13683E5F"/>
    <w:rsid w:val="13750189"/>
    <w:rsid w:val="137667E7"/>
    <w:rsid w:val="13927B4C"/>
    <w:rsid w:val="13961EAE"/>
    <w:rsid w:val="13BF65A8"/>
    <w:rsid w:val="13CB2111"/>
    <w:rsid w:val="13D053C0"/>
    <w:rsid w:val="13D71548"/>
    <w:rsid w:val="13D86AD5"/>
    <w:rsid w:val="13F90C6C"/>
    <w:rsid w:val="141D0023"/>
    <w:rsid w:val="14310BBE"/>
    <w:rsid w:val="143D6D02"/>
    <w:rsid w:val="146A3D7B"/>
    <w:rsid w:val="146C450C"/>
    <w:rsid w:val="14765F59"/>
    <w:rsid w:val="14BA6F85"/>
    <w:rsid w:val="14C5099F"/>
    <w:rsid w:val="14F951FE"/>
    <w:rsid w:val="150E6DF6"/>
    <w:rsid w:val="151B6346"/>
    <w:rsid w:val="152F3580"/>
    <w:rsid w:val="15363948"/>
    <w:rsid w:val="1552579F"/>
    <w:rsid w:val="159254CD"/>
    <w:rsid w:val="1594066F"/>
    <w:rsid w:val="15FD6915"/>
    <w:rsid w:val="160550C9"/>
    <w:rsid w:val="16074C78"/>
    <w:rsid w:val="16187B45"/>
    <w:rsid w:val="16393CF2"/>
    <w:rsid w:val="163E081A"/>
    <w:rsid w:val="163F05DA"/>
    <w:rsid w:val="163F4A7E"/>
    <w:rsid w:val="164125A5"/>
    <w:rsid w:val="16852F85"/>
    <w:rsid w:val="168B3820"/>
    <w:rsid w:val="168B7CC4"/>
    <w:rsid w:val="169442FD"/>
    <w:rsid w:val="16D51DC9"/>
    <w:rsid w:val="16E453C0"/>
    <w:rsid w:val="16FF7D6A"/>
    <w:rsid w:val="170646EB"/>
    <w:rsid w:val="17232873"/>
    <w:rsid w:val="173A6D8C"/>
    <w:rsid w:val="17683B61"/>
    <w:rsid w:val="1773789C"/>
    <w:rsid w:val="17860FE1"/>
    <w:rsid w:val="17884E38"/>
    <w:rsid w:val="178D6F0F"/>
    <w:rsid w:val="179B7A92"/>
    <w:rsid w:val="17A31FEF"/>
    <w:rsid w:val="17A74798"/>
    <w:rsid w:val="17A840CE"/>
    <w:rsid w:val="17AA4179"/>
    <w:rsid w:val="17C36FE9"/>
    <w:rsid w:val="17DD00AB"/>
    <w:rsid w:val="17F66895"/>
    <w:rsid w:val="180C12A4"/>
    <w:rsid w:val="1811200A"/>
    <w:rsid w:val="1811244B"/>
    <w:rsid w:val="18140516"/>
    <w:rsid w:val="18147845"/>
    <w:rsid w:val="18187ED5"/>
    <w:rsid w:val="181D2B9D"/>
    <w:rsid w:val="18210701"/>
    <w:rsid w:val="18275BA5"/>
    <w:rsid w:val="182F59FA"/>
    <w:rsid w:val="18527910"/>
    <w:rsid w:val="185A596B"/>
    <w:rsid w:val="186A09ED"/>
    <w:rsid w:val="1881312C"/>
    <w:rsid w:val="189F35B2"/>
    <w:rsid w:val="18BC3A5F"/>
    <w:rsid w:val="18BE612E"/>
    <w:rsid w:val="18E27F84"/>
    <w:rsid w:val="18ED6A14"/>
    <w:rsid w:val="18F83112"/>
    <w:rsid w:val="19006747"/>
    <w:rsid w:val="192B41FB"/>
    <w:rsid w:val="193E2126"/>
    <w:rsid w:val="19404D95"/>
    <w:rsid w:val="194556FE"/>
    <w:rsid w:val="195A3E35"/>
    <w:rsid w:val="19620A2B"/>
    <w:rsid w:val="19703790"/>
    <w:rsid w:val="197E3640"/>
    <w:rsid w:val="19AC4584"/>
    <w:rsid w:val="19B818FC"/>
    <w:rsid w:val="19C05ED6"/>
    <w:rsid w:val="19D461B5"/>
    <w:rsid w:val="19D92AF4"/>
    <w:rsid w:val="19E54BBF"/>
    <w:rsid w:val="19F7733F"/>
    <w:rsid w:val="1A020585"/>
    <w:rsid w:val="1A02674A"/>
    <w:rsid w:val="1A1509DE"/>
    <w:rsid w:val="1A2E0D57"/>
    <w:rsid w:val="1A380307"/>
    <w:rsid w:val="1A491A28"/>
    <w:rsid w:val="1A5403CD"/>
    <w:rsid w:val="1A5B7072"/>
    <w:rsid w:val="1A8C4235"/>
    <w:rsid w:val="1A907657"/>
    <w:rsid w:val="1AC82BE6"/>
    <w:rsid w:val="1AE33872"/>
    <w:rsid w:val="1AF87311"/>
    <w:rsid w:val="1B0032DD"/>
    <w:rsid w:val="1B2820F9"/>
    <w:rsid w:val="1B4845FE"/>
    <w:rsid w:val="1B4E4DE8"/>
    <w:rsid w:val="1B511C70"/>
    <w:rsid w:val="1B623D5C"/>
    <w:rsid w:val="1B6754ED"/>
    <w:rsid w:val="1B991F60"/>
    <w:rsid w:val="1BA16335"/>
    <w:rsid w:val="1BA40B0F"/>
    <w:rsid w:val="1BFA6268"/>
    <w:rsid w:val="1C2F10F1"/>
    <w:rsid w:val="1C3F7586"/>
    <w:rsid w:val="1C4E1189"/>
    <w:rsid w:val="1C550B58"/>
    <w:rsid w:val="1C9F500B"/>
    <w:rsid w:val="1CAC44F0"/>
    <w:rsid w:val="1CC7132A"/>
    <w:rsid w:val="1CDF1B18"/>
    <w:rsid w:val="1CEA3142"/>
    <w:rsid w:val="1D032244"/>
    <w:rsid w:val="1D077978"/>
    <w:rsid w:val="1D0E51AB"/>
    <w:rsid w:val="1D1D719C"/>
    <w:rsid w:val="1D602654"/>
    <w:rsid w:val="1DBA103F"/>
    <w:rsid w:val="1DDD69CD"/>
    <w:rsid w:val="1E036392"/>
    <w:rsid w:val="1E35131B"/>
    <w:rsid w:val="1E65704C"/>
    <w:rsid w:val="1E6B5F51"/>
    <w:rsid w:val="1E6B6F46"/>
    <w:rsid w:val="1E6F6D28"/>
    <w:rsid w:val="1E733517"/>
    <w:rsid w:val="1E7B2E8B"/>
    <w:rsid w:val="1E870438"/>
    <w:rsid w:val="1E8A6AB3"/>
    <w:rsid w:val="1E924952"/>
    <w:rsid w:val="1E9D0594"/>
    <w:rsid w:val="1EDF0BAD"/>
    <w:rsid w:val="1EEE0DF0"/>
    <w:rsid w:val="1EF52D7E"/>
    <w:rsid w:val="1F0B18B8"/>
    <w:rsid w:val="1F1D7927"/>
    <w:rsid w:val="1F1F369F"/>
    <w:rsid w:val="1F7F413E"/>
    <w:rsid w:val="1F866073"/>
    <w:rsid w:val="1F9E56D6"/>
    <w:rsid w:val="1FD955FC"/>
    <w:rsid w:val="200170D0"/>
    <w:rsid w:val="201644E8"/>
    <w:rsid w:val="20234AC9"/>
    <w:rsid w:val="204A425C"/>
    <w:rsid w:val="20542ED4"/>
    <w:rsid w:val="20592BE1"/>
    <w:rsid w:val="20697942"/>
    <w:rsid w:val="20717F2A"/>
    <w:rsid w:val="20755BA8"/>
    <w:rsid w:val="20787B19"/>
    <w:rsid w:val="208A0FCF"/>
    <w:rsid w:val="20AB1478"/>
    <w:rsid w:val="20C37E9F"/>
    <w:rsid w:val="20C45B93"/>
    <w:rsid w:val="20CD4C3D"/>
    <w:rsid w:val="20DA0A53"/>
    <w:rsid w:val="20FB0142"/>
    <w:rsid w:val="20FF6522"/>
    <w:rsid w:val="21090163"/>
    <w:rsid w:val="210D77CF"/>
    <w:rsid w:val="210F0E3F"/>
    <w:rsid w:val="21441B82"/>
    <w:rsid w:val="21676C37"/>
    <w:rsid w:val="218617B3"/>
    <w:rsid w:val="21A164F9"/>
    <w:rsid w:val="21BF5402"/>
    <w:rsid w:val="21CC55AA"/>
    <w:rsid w:val="21D4060F"/>
    <w:rsid w:val="220A24D6"/>
    <w:rsid w:val="22601F31"/>
    <w:rsid w:val="22712EC6"/>
    <w:rsid w:val="22965A4A"/>
    <w:rsid w:val="22965E5F"/>
    <w:rsid w:val="229E3F1D"/>
    <w:rsid w:val="22A02E24"/>
    <w:rsid w:val="22AA3280"/>
    <w:rsid w:val="22C87208"/>
    <w:rsid w:val="22CF3258"/>
    <w:rsid w:val="22D327D6"/>
    <w:rsid w:val="230961F8"/>
    <w:rsid w:val="23175558"/>
    <w:rsid w:val="234000B4"/>
    <w:rsid w:val="234B31C9"/>
    <w:rsid w:val="234C6703"/>
    <w:rsid w:val="23690A2D"/>
    <w:rsid w:val="23780486"/>
    <w:rsid w:val="23957951"/>
    <w:rsid w:val="23983656"/>
    <w:rsid w:val="239F090A"/>
    <w:rsid w:val="23E55184"/>
    <w:rsid w:val="23FB65B4"/>
    <w:rsid w:val="2401522B"/>
    <w:rsid w:val="240C0A38"/>
    <w:rsid w:val="241E2177"/>
    <w:rsid w:val="24284DA4"/>
    <w:rsid w:val="24335123"/>
    <w:rsid w:val="24406252"/>
    <w:rsid w:val="244D325D"/>
    <w:rsid w:val="24523436"/>
    <w:rsid w:val="24922F33"/>
    <w:rsid w:val="24A52A74"/>
    <w:rsid w:val="24EA02AB"/>
    <w:rsid w:val="2508080A"/>
    <w:rsid w:val="252B154C"/>
    <w:rsid w:val="256109F6"/>
    <w:rsid w:val="2563157F"/>
    <w:rsid w:val="256A406C"/>
    <w:rsid w:val="2590386C"/>
    <w:rsid w:val="25950217"/>
    <w:rsid w:val="25B06D01"/>
    <w:rsid w:val="25B21CB9"/>
    <w:rsid w:val="25BE3D47"/>
    <w:rsid w:val="25C97EC1"/>
    <w:rsid w:val="25D0016E"/>
    <w:rsid w:val="25E62821"/>
    <w:rsid w:val="260427B1"/>
    <w:rsid w:val="26176E7E"/>
    <w:rsid w:val="263047F0"/>
    <w:rsid w:val="263E440B"/>
    <w:rsid w:val="265C69B1"/>
    <w:rsid w:val="267D783B"/>
    <w:rsid w:val="26945367"/>
    <w:rsid w:val="26AC0F75"/>
    <w:rsid w:val="27107444"/>
    <w:rsid w:val="27130E57"/>
    <w:rsid w:val="2725381D"/>
    <w:rsid w:val="274D39CA"/>
    <w:rsid w:val="27A00DA8"/>
    <w:rsid w:val="27A97FAA"/>
    <w:rsid w:val="27C0561D"/>
    <w:rsid w:val="27E8740F"/>
    <w:rsid w:val="27F5039F"/>
    <w:rsid w:val="28341444"/>
    <w:rsid w:val="28354E06"/>
    <w:rsid w:val="283D5FEB"/>
    <w:rsid w:val="284E5784"/>
    <w:rsid w:val="2885221B"/>
    <w:rsid w:val="289B1FE8"/>
    <w:rsid w:val="289E5268"/>
    <w:rsid w:val="28C07D4E"/>
    <w:rsid w:val="28C332ED"/>
    <w:rsid w:val="28F039B6"/>
    <w:rsid w:val="28F77016"/>
    <w:rsid w:val="28F84E34"/>
    <w:rsid w:val="28FC05AD"/>
    <w:rsid w:val="290C5A58"/>
    <w:rsid w:val="291B4ED7"/>
    <w:rsid w:val="29253660"/>
    <w:rsid w:val="295959FF"/>
    <w:rsid w:val="295F5795"/>
    <w:rsid w:val="297840D8"/>
    <w:rsid w:val="299103BE"/>
    <w:rsid w:val="29C810B2"/>
    <w:rsid w:val="29D45A58"/>
    <w:rsid w:val="29D71ECB"/>
    <w:rsid w:val="29E3538A"/>
    <w:rsid w:val="2A026652"/>
    <w:rsid w:val="2A0C3BA7"/>
    <w:rsid w:val="2A110088"/>
    <w:rsid w:val="2A3F4BF5"/>
    <w:rsid w:val="2A5655F3"/>
    <w:rsid w:val="2A570EDE"/>
    <w:rsid w:val="2A5D6C4B"/>
    <w:rsid w:val="2A704DAF"/>
    <w:rsid w:val="2A9767DF"/>
    <w:rsid w:val="2A9F0CB4"/>
    <w:rsid w:val="2A9F5DA0"/>
    <w:rsid w:val="2AA3746C"/>
    <w:rsid w:val="2ACB46DB"/>
    <w:rsid w:val="2AE00186"/>
    <w:rsid w:val="2AE32757"/>
    <w:rsid w:val="2AF27B62"/>
    <w:rsid w:val="2AFC3239"/>
    <w:rsid w:val="2B044801"/>
    <w:rsid w:val="2B1716CE"/>
    <w:rsid w:val="2B464ADA"/>
    <w:rsid w:val="2B4A4176"/>
    <w:rsid w:val="2B7803F0"/>
    <w:rsid w:val="2B7810E0"/>
    <w:rsid w:val="2B7B3C10"/>
    <w:rsid w:val="2B9F4264"/>
    <w:rsid w:val="2BA11777"/>
    <w:rsid w:val="2BA5689C"/>
    <w:rsid w:val="2BAC76B6"/>
    <w:rsid w:val="2BC52ED8"/>
    <w:rsid w:val="2BE32F3B"/>
    <w:rsid w:val="2BFB6CED"/>
    <w:rsid w:val="2C011258"/>
    <w:rsid w:val="2C090EEE"/>
    <w:rsid w:val="2C0E487F"/>
    <w:rsid w:val="2C2C2F57"/>
    <w:rsid w:val="2C344290"/>
    <w:rsid w:val="2C3B2B8B"/>
    <w:rsid w:val="2C6B3A80"/>
    <w:rsid w:val="2C6F0CB7"/>
    <w:rsid w:val="2C8F5AC1"/>
    <w:rsid w:val="2C912733"/>
    <w:rsid w:val="2C951FE5"/>
    <w:rsid w:val="2CA174A1"/>
    <w:rsid w:val="2CAF1FDD"/>
    <w:rsid w:val="2CB52F4D"/>
    <w:rsid w:val="2CE13D42"/>
    <w:rsid w:val="2CE5349D"/>
    <w:rsid w:val="2D0423E5"/>
    <w:rsid w:val="2D0E7D49"/>
    <w:rsid w:val="2D1035D8"/>
    <w:rsid w:val="2D1C7470"/>
    <w:rsid w:val="2D646159"/>
    <w:rsid w:val="2D7059A5"/>
    <w:rsid w:val="2D7921CC"/>
    <w:rsid w:val="2D8213DD"/>
    <w:rsid w:val="2D877ABB"/>
    <w:rsid w:val="2D8E6645"/>
    <w:rsid w:val="2DA55839"/>
    <w:rsid w:val="2DA62906"/>
    <w:rsid w:val="2DB72CF5"/>
    <w:rsid w:val="2DC84F02"/>
    <w:rsid w:val="2DE520E0"/>
    <w:rsid w:val="2DFA155F"/>
    <w:rsid w:val="2E125EA0"/>
    <w:rsid w:val="2E3359BB"/>
    <w:rsid w:val="2E3A5DFF"/>
    <w:rsid w:val="2E4B04E2"/>
    <w:rsid w:val="2E5B45B5"/>
    <w:rsid w:val="2E6115DE"/>
    <w:rsid w:val="2E620EB2"/>
    <w:rsid w:val="2E651142"/>
    <w:rsid w:val="2E6E3CFB"/>
    <w:rsid w:val="2E7D3F3E"/>
    <w:rsid w:val="2E8044E5"/>
    <w:rsid w:val="2E8A5223"/>
    <w:rsid w:val="2E92458D"/>
    <w:rsid w:val="2EE26446"/>
    <w:rsid w:val="2EE4163B"/>
    <w:rsid w:val="2EEA54DF"/>
    <w:rsid w:val="2EFB1289"/>
    <w:rsid w:val="2F3945C8"/>
    <w:rsid w:val="2F454A5C"/>
    <w:rsid w:val="2F4E03CF"/>
    <w:rsid w:val="2FD9510C"/>
    <w:rsid w:val="2FDF6B4E"/>
    <w:rsid w:val="2FEC3129"/>
    <w:rsid w:val="2FF41FDE"/>
    <w:rsid w:val="300C002E"/>
    <w:rsid w:val="30136908"/>
    <w:rsid w:val="30313232"/>
    <w:rsid w:val="305D5DD5"/>
    <w:rsid w:val="30656A38"/>
    <w:rsid w:val="306929CC"/>
    <w:rsid w:val="30A9726C"/>
    <w:rsid w:val="30B26121"/>
    <w:rsid w:val="30B35AEF"/>
    <w:rsid w:val="31057464"/>
    <w:rsid w:val="31160397"/>
    <w:rsid w:val="313658E9"/>
    <w:rsid w:val="314676E4"/>
    <w:rsid w:val="315E3BB3"/>
    <w:rsid w:val="31865F11"/>
    <w:rsid w:val="31885BE6"/>
    <w:rsid w:val="31926A3D"/>
    <w:rsid w:val="31AD0696"/>
    <w:rsid w:val="31B85640"/>
    <w:rsid w:val="31E15E78"/>
    <w:rsid w:val="320336CD"/>
    <w:rsid w:val="32180206"/>
    <w:rsid w:val="32241B56"/>
    <w:rsid w:val="327708BF"/>
    <w:rsid w:val="329A50BF"/>
    <w:rsid w:val="32A76E8D"/>
    <w:rsid w:val="32B95610"/>
    <w:rsid w:val="32BC3287"/>
    <w:rsid w:val="32CD0D2E"/>
    <w:rsid w:val="32CE73F9"/>
    <w:rsid w:val="32D32C17"/>
    <w:rsid w:val="32EC51EE"/>
    <w:rsid w:val="332724B0"/>
    <w:rsid w:val="33276264"/>
    <w:rsid w:val="333E3877"/>
    <w:rsid w:val="334D3EDF"/>
    <w:rsid w:val="337E13A0"/>
    <w:rsid w:val="33A139F6"/>
    <w:rsid w:val="33A5167E"/>
    <w:rsid w:val="33A61C86"/>
    <w:rsid w:val="33B222E9"/>
    <w:rsid w:val="33B53D52"/>
    <w:rsid w:val="33C1667B"/>
    <w:rsid w:val="33EA03A6"/>
    <w:rsid w:val="34086670"/>
    <w:rsid w:val="344436F4"/>
    <w:rsid w:val="344A1A80"/>
    <w:rsid w:val="344A2B14"/>
    <w:rsid w:val="34716E48"/>
    <w:rsid w:val="347F60F0"/>
    <w:rsid w:val="34B92A52"/>
    <w:rsid w:val="34C93A39"/>
    <w:rsid w:val="34DF3CD8"/>
    <w:rsid w:val="34E268A9"/>
    <w:rsid w:val="34F71295"/>
    <w:rsid w:val="35165311"/>
    <w:rsid w:val="353D61D5"/>
    <w:rsid w:val="354C01EF"/>
    <w:rsid w:val="354D71E1"/>
    <w:rsid w:val="354E458E"/>
    <w:rsid w:val="355941C7"/>
    <w:rsid w:val="35856426"/>
    <w:rsid w:val="35887450"/>
    <w:rsid w:val="35E363CE"/>
    <w:rsid w:val="35E46651"/>
    <w:rsid w:val="35FA0E74"/>
    <w:rsid w:val="36044549"/>
    <w:rsid w:val="3606524F"/>
    <w:rsid w:val="362353CB"/>
    <w:rsid w:val="36266C69"/>
    <w:rsid w:val="36374201"/>
    <w:rsid w:val="364439A0"/>
    <w:rsid w:val="36507572"/>
    <w:rsid w:val="36610116"/>
    <w:rsid w:val="366D5E31"/>
    <w:rsid w:val="36872601"/>
    <w:rsid w:val="36AE42DD"/>
    <w:rsid w:val="36C949C0"/>
    <w:rsid w:val="36FC292C"/>
    <w:rsid w:val="373A06A6"/>
    <w:rsid w:val="3743386A"/>
    <w:rsid w:val="374750E9"/>
    <w:rsid w:val="3748158D"/>
    <w:rsid w:val="37503F3D"/>
    <w:rsid w:val="376022F5"/>
    <w:rsid w:val="377564F0"/>
    <w:rsid w:val="37927809"/>
    <w:rsid w:val="37961BBF"/>
    <w:rsid w:val="37983B97"/>
    <w:rsid w:val="37AE149B"/>
    <w:rsid w:val="37B24C58"/>
    <w:rsid w:val="37BB7471"/>
    <w:rsid w:val="37E312B6"/>
    <w:rsid w:val="37F7654B"/>
    <w:rsid w:val="380F3E59"/>
    <w:rsid w:val="3810372D"/>
    <w:rsid w:val="38156F95"/>
    <w:rsid w:val="384A2F78"/>
    <w:rsid w:val="38767A34"/>
    <w:rsid w:val="3882287D"/>
    <w:rsid w:val="388A1666"/>
    <w:rsid w:val="38B36EDA"/>
    <w:rsid w:val="38DD7AB3"/>
    <w:rsid w:val="38E5105E"/>
    <w:rsid w:val="38E86D76"/>
    <w:rsid w:val="38FA0A10"/>
    <w:rsid w:val="39241B86"/>
    <w:rsid w:val="392E47B3"/>
    <w:rsid w:val="397877DC"/>
    <w:rsid w:val="397A15B2"/>
    <w:rsid w:val="399A2596"/>
    <w:rsid w:val="39C11C04"/>
    <w:rsid w:val="39C2500F"/>
    <w:rsid w:val="39D0475B"/>
    <w:rsid w:val="39D96A4E"/>
    <w:rsid w:val="39F74BA5"/>
    <w:rsid w:val="3A00450C"/>
    <w:rsid w:val="3A2A31CC"/>
    <w:rsid w:val="3A3E7700"/>
    <w:rsid w:val="3A451544"/>
    <w:rsid w:val="3A4E08BC"/>
    <w:rsid w:val="3A744A0A"/>
    <w:rsid w:val="3A7A7527"/>
    <w:rsid w:val="3A7F56E9"/>
    <w:rsid w:val="3A8328DC"/>
    <w:rsid w:val="3A8F51C7"/>
    <w:rsid w:val="3AA82343"/>
    <w:rsid w:val="3AAE73DB"/>
    <w:rsid w:val="3AC44F59"/>
    <w:rsid w:val="3AD94D17"/>
    <w:rsid w:val="3AEF7F72"/>
    <w:rsid w:val="3AFF6407"/>
    <w:rsid w:val="3B06585C"/>
    <w:rsid w:val="3B4F27BE"/>
    <w:rsid w:val="3B6221AB"/>
    <w:rsid w:val="3B817175"/>
    <w:rsid w:val="3B862684"/>
    <w:rsid w:val="3BAE1BDB"/>
    <w:rsid w:val="3BB16768"/>
    <w:rsid w:val="3BB36137"/>
    <w:rsid w:val="3BB371F1"/>
    <w:rsid w:val="3BB658A4"/>
    <w:rsid w:val="3BC132E4"/>
    <w:rsid w:val="3BDA6C92"/>
    <w:rsid w:val="3BE545B8"/>
    <w:rsid w:val="3BEE5E9D"/>
    <w:rsid w:val="3C3B5307"/>
    <w:rsid w:val="3C435B99"/>
    <w:rsid w:val="3C445EFD"/>
    <w:rsid w:val="3C552056"/>
    <w:rsid w:val="3C5F0D24"/>
    <w:rsid w:val="3C6251F0"/>
    <w:rsid w:val="3C8E486A"/>
    <w:rsid w:val="3CA11B80"/>
    <w:rsid w:val="3CF03B2D"/>
    <w:rsid w:val="3D0F2205"/>
    <w:rsid w:val="3D5B0057"/>
    <w:rsid w:val="3D6A2E32"/>
    <w:rsid w:val="3D9170BE"/>
    <w:rsid w:val="3D9B1CEB"/>
    <w:rsid w:val="3DAC5CA6"/>
    <w:rsid w:val="3DB853C7"/>
    <w:rsid w:val="3DC56070"/>
    <w:rsid w:val="3DCF53BA"/>
    <w:rsid w:val="3E09759C"/>
    <w:rsid w:val="3E265C94"/>
    <w:rsid w:val="3E3C1720"/>
    <w:rsid w:val="3E435633"/>
    <w:rsid w:val="3E75078E"/>
    <w:rsid w:val="3E8B7FB1"/>
    <w:rsid w:val="3EA856C8"/>
    <w:rsid w:val="3EC71472"/>
    <w:rsid w:val="3ECA2888"/>
    <w:rsid w:val="3F2D1069"/>
    <w:rsid w:val="3F3C12AC"/>
    <w:rsid w:val="3F792699"/>
    <w:rsid w:val="3F850B1A"/>
    <w:rsid w:val="3F88629F"/>
    <w:rsid w:val="3FAA64AD"/>
    <w:rsid w:val="3FAF265D"/>
    <w:rsid w:val="3FB03A84"/>
    <w:rsid w:val="3FB20560"/>
    <w:rsid w:val="3FE33704"/>
    <w:rsid w:val="3FF97B90"/>
    <w:rsid w:val="4012428F"/>
    <w:rsid w:val="40274FA2"/>
    <w:rsid w:val="40295CD4"/>
    <w:rsid w:val="4037378A"/>
    <w:rsid w:val="403950B0"/>
    <w:rsid w:val="404B79F8"/>
    <w:rsid w:val="40593BC0"/>
    <w:rsid w:val="407F76A2"/>
    <w:rsid w:val="408178BE"/>
    <w:rsid w:val="4090290B"/>
    <w:rsid w:val="409E4CF0"/>
    <w:rsid w:val="40A82311"/>
    <w:rsid w:val="40C26053"/>
    <w:rsid w:val="40C90C6F"/>
    <w:rsid w:val="40F462E2"/>
    <w:rsid w:val="411A2C84"/>
    <w:rsid w:val="413A31A8"/>
    <w:rsid w:val="414F54D9"/>
    <w:rsid w:val="41503DA4"/>
    <w:rsid w:val="415648A7"/>
    <w:rsid w:val="415D647D"/>
    <w:rsid w:val="415F0730"/>
    <w:rsid w:val="41614FF9"/>
    <w:rsid w:val="41743D5C"/>
    <w:rsid w:val="4177481D"/>
    <w:rsid w:val="417C6E58"/>
    <w:rsid w:val="4184429B"/>
    <w:rsid w:val="41A76EB0"/>
    <w:rsid w:val="41B026CE"/>
    <w:rsid w:val="41C3105C"/>
    <w:rsid w:val="41C31810"/>
    <w:rsid w:val="41D91034"/>
    <w:rsid w:val="41E33700"/>
    <w:rsid w:val="41F80925"/>
    <w:rsid w:val="4209405F"/>
    <w:rsid w:val="428611BC"/>
    <w:rsid w:val="429201D0"/>
    <w:rsid w:val="4297604D"/>
    <w:rsid w:val="42A653BA"/>
    <w:rsid w:val="42B851C3"/>
    <w:rsid w:val="42F73E67"/>
    <w:rsid w:val="42FC3B56"/>
    <w:rsid w:val="430F11B1"/>
    <w:rsid w:val="431D75E5"/>
    <w:rsid w:val="432B2D3F"/>
    <w:rsid w:val="432D3726"/>
    <w:rsid w:val="4333670C"/>
    <w:rsid w:val="437065F6"/>
    <w:rsid w:val="43741014"/>
    <w:rsid w:val="439A05B2"/>
    <w:rsid w:val="43A45496"/>
    <w:rsid w:val="43AF4742"/>
    <w:rsid w:val="43CC0E50"/>
    <w:rsid w:val="44006D4C"/>
    <w:rsid w:val="44544A76"/>
    <w:rsid w:val="4475773A"/>
    <w:rsid w:val="44A92F3F"/>
    <w:rsid w:val="44AC5468"/>
    <w:rsid w:val="44B97B2F"/>
    <w:rsid w:val="44E871D5"/>
    <w:rsid w:val="45087A47"/>
    <w:rsid w:val="451321D7"/>
    <w:rsid w:val="451C4FCB"/>
    <w:rsid w:val="45312919"/>
    <w:rsid w:val="45314C90"/>
    <w:rsid w:val="45384464"/>
    <w:rsid w:val="454669E0"/>
    <w:rsid w:val="454673B9"/>
    <w:rsid w:val="45607699"/>
    <w:rsid w:val="457E43CC"/>
    <w:rsid w:val="458E0AE2"/>
    <w:rsid w:val="45AF277D"/>
    <w:rsid w:val="45EE77A4"/>
    <w:rsid w:val="46113F58"/>
    <w:rsid w:val="46284903"/>
    <w:rsid w:val="463F0D5A"/>
    <w:rsid w:val="465B59FA"/>
    <w:rsid w:val="466030D7"/>
    <w:rsid w:val="467557CF"/>
    <w:rsid w:val="46963997"/>
    <w:rsid w:val="46BD73E2"/>
    <w:rsid w:val="46DC24DD"/>
    <w:rsid w:val="46E42955"/>
    <w:rsid w:val="46EF4832"/>
    <w:rsid w:val="47043D09"/>
    <w:rsid w:val="4704703D"/>
    <w:rsid w:val="473B77BF"/>
    <w:rsid w:val="476A04CD"/>
    <w:rsid w:val="477008B9"/>
    <w:rsid w:val="47743CD8"/>
    <w:rsid w:val="47784E5D"/>
    <w:rsid w:val="47C6240A"/>
    <w:rsid w:val="47C97F2C"/>
    <w:rsid w:val="47D2657C"/>
    <w:rsid w:val="47EC192A"/>
    <w:rsid w:val="47FF213B"/>
    <w:rsid w:val="48221986"/>
    <w:rsid w:val="48654A8E"/>
    <w:rsid w:val="487422DF"/>
    <w:rsid w:val="487E25E2"/>
    <w:rsid w:val="489B6F65"/>
    <w:rsid w:val="48D16F09"/>
    <w:rsid w:val="48EC4CF5"/>
    <w:rsid w:val="49107A31"/>
    <w:rsid w:val="49200704"/>
    <w:rsid w:val="495042D1"/>
    <w:rsid w:val="495A09AA"/>
    <w:rsid w:val="49617EF7"/>
    <w:rsid w:val="497A134E"/>
    <w:rsid w:val="498F4DFA"/>
    <w:rsid w:val="49946668"/>
    <w:rsid w:val="49B32E4B"/>
    <w:rsid w:val="49B54134"/>
    <w:rsid w:val="49C52FD2"/>
    <w:rsid w:val="49C81672"/>
    <w:rsid w:val="4A0B01F8"/>
    <w:rsid w:val="4A111487"/>
    <w:rsid w:val="4A396B13"/>
    <w:rsid w:val="4A3C5376"/>
    <w:rsid w:val="4A3C605A"/>
    <w:rsid w:val="4A52640E"/>
    <w:rsid w:val="4AA057C3"/>
    <w:rsid w:val="4AAF7B28"/>
    <w:rsid w:val="4AB16E75"/>
    <w:rsid w:val="4AEF0B29"/>
    <w:rsid w:val="4AF70C82"/>
    <w:rsid w:val="4B192D8F"/>
    <w:rsid w:val="4B2772B4"/>
    <w:rsid w:val="4B2C0426"/>
    <w:rsid w:val="4B4E62B4"/>
    <w:rsid w:val="4B605469"/>
    <w:rsid w:val="4BA55099"/>
    <w:rsid w:val="4BAA5A33"/>
    <w:rsid w:val="4BC70AFE"/>
    <w:rsid w:val="4C0F2222"/>
    <w:rsid w:val="4C107D48"/>
    <w:rsid w:val="4C126731"/>
    <w:rsid w:val="4C601ABF"/>
    <w:rsid w:val="4C665FF2"/>
    <w:rsid w:val="4C9E4590"/>
    <w:rsid w:val="4CD520E8"/>
    <w:rsid w:val="4CDF47B5"/>
    <w:rsid w:val="4CE11439"/>
    <w:rsid w:val="4CEA0599"/>
    <w:rsid w:val="4D035BA6"/>
    <w:rsid w:val="4D047465"/>
    <w:rsid w:val="4D0674FE"/>
    <w:rsid w:val="4D1C360D"/>
    <w:rsid w:val="4D253BFF"/>
    <w:rsid w:val="4D3129FD"/>
    <w:rsid w:val="4D5752D8"/>
    <w:rsid w:val="4D6B20E8"/>
    <w:rsid w:val="4D7940AF"/>
    <w:rsid w:val="4D93478D"/>
    <w:rsid w:val="4DB36BDD"/>
    <w:rsid w:val="4DBA440F"/>
    <w:rsid w:val="4DBE1F63"/>
    <w:rsid w:val="4DD07034"/>
    <w:rsid w:val="4DD23507"/>
    <w:rsid w:val="4DDE07CE"/>
    <w:rsid w:val="4DF4569F"/>
    <w:rsid w:val="4DF949E5"/>
    <w:rsid w:val="4E1717FD"/>
    <w:rsid w:val="4E201ADC"/>
    <w:rsid w:val="4E252C55"/>
    <w:rsid w:val="4E555EE6"/>
    <w:rsid w:val="4E5F7536"/>
    <w:rsid w:val="4E734D4A"/>
    <w:rsid w:val="4E7919E9"/>
    <w:rsid w:val="4EC750A7"/>
    <w:rsid w:val="4ED50F4A"/>
    <w:rsid w:val="4EDB1439"/>
    <w:rsid w:val="4EE505DE"/>
    <w:rsid w:val="4EEF452A"/>
    <w:rsid w:val="4F0B013B"/>
    <w:rsid w:val="4F234ED1"/>
    <w:rsid w:val="4F2E19FE"/>
    <w:rsid w:val="4F697978"/>
    <w:rsid w:val="4F7735E4"/>
    <w:rsid w:val="4F781E8C"/>
    <w:rsid w:val="4F8B7E11"/>
    <w:rsid w:val="4F8E7901"/>
    <w:rsid w:val="4F905072"/>
    <w:rsid w:val="4FB255C8"/>
    <w:rsid w:val="4FB82A9A"/>
    <w:rsid w:val="4FFA4A1F"/>
    <w:rsid w:val="5025524A"/>
    <w:rsid w:val="50342257"/>
    <w:rsid w:val="503D1E32"/>
    <w:rsid w:val="50810DB1"/>
    <w:rsid w:val="50966A6E"/>
    <w:rsid w:val="509C1BAA"/>
    <w:rsid w:val="50A32D55"/>
    <w:rsid w:val="50B64A4F"/>
    <w:rsid w:val="50CF3C4B"/>
    <w:rsid w:val="50D70E34"/>
    <w:rsid w:val="50F10148"/>
    <w:rsid w:val="50F60A63"/>
    <w:rsid w:val="50FA3FFA"/>
    <w:rsid w:val="50FC01AD"/>
    <w:rsid w:val="50FE1ED7"/>
    <w:rsid w:val="512F7CD0"/>
    <w:rsid w:val="513A5B6A"/>
    <w:rsid w:val="515D436F"/>
    <w:rsid w:val="517B5C63"/>
    <w:rsid w:val="519179F6"/>
    <w:rsid w:val="5195024D"/>
    <w:rsid w:val="5195692C"/>
    <w:rsid w:val="51DF2433"/>
    <w:rsid w:val="51E269A6"/>
    <w:rsid w:val="51FD10FC"/>
    <w:rsid w:val="521024BF"/>
    <w:rsid w:val="521457F8"/>
    <w:rsid w:val="52146734"/>
    <w:rsid w:val="521A547C"/>
    <w:rsid w:val="521D6D1B"/>
    <w:rsid w:val="5253273C"/>
    <w:rsid w:val="52543C84"/>
    <w:rsid w:val="527C7EE5"/>
    <w:rsid w:val="529A036B"/>
    <w:rsid w:val="52B043B3"/>
    <w:rsid w:val="52D93896"/>
    <w:rsid w:val="52DE46FC"/>
    <w:rsid w:val="52EF06B7"/>
    <w:rsid w:val="53013630"/>
    <w:rsid w:val="5304174D"/>
    <w:rsid w:val="533A47E5"/>
    <w:rsid w:val="533F1429"/>
    <w:rsid w:val="537B5892"/>
    <w:rsid w:val="538232D9"/>
    <w:rsid w:val="538F59F6"/>
    <w:rsid w:val="53982AFD"/>
    <w:rsid w:val="539A676E"/>
    <w:rsid w:val="53C214D3"/>
    <w:rsid w:val="53C25DCC"/>
    <w:rsid w:val="54095DDA"/>
    <w:rsid w:val="54346FD8"/>
    <w:rsid w:val="54382594"/>
    <w:rsid w:val="54471FBF"/>
    <w:rsid w:val="545033D7"/>
    <w:rsid w:val="54554906"/>
    <w:rsid w:val="545C7FCE"/>
    <w:rsid w:val="546B0A4A"/>
    <w:rsid w:val="54AA49C4"/>
    <w:rsid w:val="54D27D99"/>
    <w:rsid w:val="54EC14A8"/>
    <w:rsid w:val="54FF66BC"/>
    <w:rsid w:val="550568CB"/>
    <w:rsid w:val="55232EA8"/>
    <w:rsid w:val="552E404A"/>
    <w:rsid w:val="553432CB"/>
    <w:rsid w:val="554B1B8E"/>
    <w:rsid w:val="55627E0A"/>
    <w:rsid w:val="5565737D"/>
    <w:rsid w:val="55794BB0"/>
    <w:rsid w:val="557F3594"/>
    <w:rsid w:val="5598333A"/>
    <w:rsid w:val="559D701D"/>
    <w:rsid w:val="559D7F40"/>
    <w:rsid w:val="55E61D4C"/>
    <w:rsid w:val="55FA0B35"/>
    <w:rsid w:val="560D3BBF"/>
    <w:rsid w:val="56244B1C"/>
    <w:rsid w:val="56270168"/>
    <w:rsid w:val="56365FCB"/>
    <w:rsid w:val="565F1D3E"/>
    <w:rsid w:val="56911FE4"/>
    <w:rsid w:val="56A84EDB"/>
    <w:rsid w:val="56AB7F9B"/>
    <w:rsid w:val="56BD287A"/>
    <w:rsid w:val="56D672C2"/>
    <w:rsid w:val="56F81C19"/>
    <w:rsid w:val="57456974"/>
    <w:rsid w:val="574A2360"/>
    <w:rsid w:val="574E385D"/>
    <w:rsid w:val="575A7A6E"/>
    <w:rsid w:val="57633422"/>
    <w:rsid w:val="57771D36"/>
    <w:rsid w:val="57917F8F"/>
    <w:rsid w:val="579A175B"/>
    <w:rsid w:val="57B86FB7"/>
    <w:rsid w:val="57DA596D"/>
    <w:rsid w:val="58016AE1"/>
    <w:rsid w:val="583045ED"/>
    <w:rsid w:val="58305D13"/>
    <w:rsid w:val="583B7EFB"/>
    <w:rsid w:val="5859176A"/>
    <w:rsid w:val="585F407F"/>
    <w:rsid w:val="58694A68"/>
    <w:rsid w:val="587C194D"/>
    <w:rsid w:val="587D6765"/>
    <w:rsid w:val="5895585D"/>
    <w:rsid w:val="58997A1C"/>
    <w:rsid w:val="589D194E"/>
    <w:rsid w:val="589E146B"/>
    <w:rsid w:val="58AE6E64"/>
    <w:rsid w:val="58B06B3A"/>
    <w:rsid w:val="58B933BD"/>
    <w:rsid w:val="58BA1767"/>
    <w:rsid w:val="58BE1EE9"/>
    <w:rsid w:val="58C46142"/>
    <w:rsid w:val="58E04F5D"/>
    <w:rsid w:val="58F52387"/>
    <w:rsid w:val="58FC71A2"/>
    <w:rsid w:val="590057E1"/>
    <w:rsid w:val="5915699E"/>
    <w:rsid w:val="59294788"/>
    <w:rsid w:val="5966544B"/>
    <w:rsid w:val="59682F71"/>
    <w:rsid w:val="59705057"/>
    <w:rsid w:val="5988342B"/>
    <w:rsid w:val="59A9622A"/>
    <w:rsid w:val="59C541FF"/>
    <w:rsid w:val="5A754476"/>
    <w:rsid w:val="5A7C4700"/>
    <w:rsid w:val="5A81078E"/>
    <w:rsid w:val="5A9A70E3"/>
    <w:rsid w:val="5A9F29C3"/>
    <w:rsid w:val="5AAF10E9"/>
    <w:rsid w:val="5AFD15FC"/>
    <w:rsid w:val="5B041B67"/>
    <w:rsid w:val="5B120427"/>
    <w:rsid w:val="5B215ACE"/>
    <w:rsid w:val="5B386C4E"/>
    <w:rsid w:val="5B4454F2"/>
    <w:rsid w:val="5B6F4A8B"/>
    <w:rsid w:val="5B834092"/>
    <w:rsid w:val="5BB9410E"/>
    <w:rsid w:val="5BBB2CE1"/>
    <w:rsid w:val="5BE54F08"/>
    <w:rsid w:val="5C0056E3"/>
    <w:rsid w:val="5C0A0284"/>
    <w:rsid w:val="5C34538D"/>
    <w:rsid w:val="5C7237E9"/>
    <w:rsid w:val="5C774029"/>
    <w:rsid w:val="5C847CC1"/>
    <w:rsid w:val="5CCD1D6A"/>
    <w:rsid w:val="5CDE3B55"/>
    <w:rsid w:val="5D0206BC"/>
    <w:rsid w:val="5D336873"/>
    <w:rsid w:val="5D504448"/>
    <w:rsid w:val="5D54174E"/>
    <w:rsid w:val="5D584F8E"/>
    <w:rsid w:val="5D5D02C0"/>
    <w:rsid w:val="5D690C87"/>
    <w:rsid w:val="5D777C27"/>
    <w:rsid w:val="5D7A0D02"/>
    <w:rsid w:val="5D8C77F5"/>
    <w:rsid w:val="5DB524FD"/>
    <w:rsid w:val="5DD419D0"/>
    <w:rsid w:val="5DDE7148"/>
    <w:rsid w:val="5DEA186E"/>
    <w:rsid w:val="5DF13ED5"/>
    <w:rsid w:val="5DF7553A"/>
    <w:rsid w:val="5E0250EF"/>
    <w:rsid w:val="5E280EAA"/>
    <w:rsid w:val="5E2B59AB"/>
    <w:rsid w:val="5E3E4995"/>
    <w:rsid w:val="5E675733"/>
    <w:rsid w:val="5E6B2083"/>
    <w:rsid w:val="5EA24E14"/>
    <w:rsid w:val="5ED13367"/>
    <w:rsid w:val="5ED350E3"/>
    <w:rsid w:val="5EF534F9"/>
    <w:rsid w:val="5F1542D4"/>
    <w:rsid w:val="5F174B68"/>
    <w:rsid w:val="5F191046"/>
    <w:rsid w:val="5F245B8C"/>
    <w:rsid w:val="5F923DFE"/>
    <w:rsid w:val="5FA30394"/>
    <w:rsid w:val="5FB22E35"/>
    <w:rsid w:val="5FB54A36"/>
    <w:rsid w:val="5FC15189"/>
    <w:rsid w:val="5FC609F2"/>
    <w:rsid w:val="5FC628D3"/>
    <w:rsid w:val="5FCE24AD"/>
    <w:rsid w:val="5FD3456B"/>
    <w:rsid w:val="5FE762B5"/>
    <w:rsid w:val="60114363"/>
    <w:rsid w:val="604F6C39"/>
    <w:rsid w:val="605A7BDC"/>
    <w:rsid w:val="605B3830"/>
    <w:rsid w:val="605E4DBA"/>
    <w:rsid w:val="606C77EB"/>
    <w:rsid w:val="609A364F"/>
    <w:rsid w:val="60B66CB8"/>
    <w:rsid w:val="60C013AD"/>
    <w:rsid w:val="60E706DA"/>
    <w:rsid w:val="60F22DAB"/>
    <w:rsid w:val="61004BAC"/>
    <w:rsid w:val="61025A59"/>
    <w:rsid w:val="614E0C9F"/>
    <w:rsid w:val="614F601C"/>
    <w:rsid w:val="615640F5"/>
    <w:rsid w:val="6173066E"/>
    <w:rsid w:val="61797B48"/>
    <w:rsid w:val="618D29D0"/>
    <w:rsid w:val="61A74AF3"/>
    <w:rsid w:val="61A905CB"/>
    <w:rsid w:val="61BD5B51"/>
    <w:rsid w:val="61D73DC8"/>
    <w:rsid w:val="61E57855"/>
    <w:rsid w:val="620B2277"/>
    <w:rsid w:val="621448F5"/>
    <w:rsid w:val="621D108A"/>
    <w:rsid w:val="6232236E"/>
    <w:rsid w:val="623E1773"/>
    <w:rsid w:val="624D7A28"/>
    <w:rsid w:val="62536010"/>
    <w:rsid w:val="625937AE"/>
    <w:rsid w:val="62652744"/>
    <w:rsid w:val="627B5AC3"/>
    <w:rsid w:val="62882E90"/>
    <w:rsid w:val="628A6481"/>
    <w:rsid w:val="629A75B3"/>
    <w:rsid w:val="62AA4813"/>
    <w:rsid w:val="62BE4FBC"/>
    <w:rsid w:val="62CF4061"/>
    <w:rsid w:val="62EC4C13"/>
    <w:rsid w:val="62F51D1A"/>
    <w:rsid w:val="630930CF"/>
    <w:rsid w:val="630D7B0C"/>
    <w:rsid w:val="63116428"/>
    <w:rsid w:val="632371B1"/>
    <w:rsid w:val="63252017"/>
    <w:rsid w:val="633F56F8"/>
    <w:rsid w:val="635D5B67"/>
    <w:rsid w:val="63620A31"/>
    <w:rsid w:val="63640C4D"/>
    <w:rsid w:val="638135AD"/>
    <w:rsid w:val="638A3655"/>
    <w:rsid w:val="639D0223"/>
    <w:rsid w:val="63CB5574"/>
    <w:rsid w:val="640F6956"/>
    <w:rsid w:val="641730C1"/>
    <w:rsid w:val="64595EB7"/>
    <w:rsid w:val="646B6AEC"/>
    <w:rsid w:val="647A3968"/>
    <w:rsid w:val="647E6D8F"/>
    <w:rsid w:val="64A077A8"/>
    <w:rsid w:val="64BB0F97"/>
    <w:rsid w:val="64C3094E"/>
    <w:rsid w:val="64C96DD9"/>
    <w:rsid w:val="64D67059"/>
    <w:rsid w:val="64D67929"/>
    <w:rsid w:val="64DF7F67"/>
    <w:rsid w:val="64E32340"/>
    <w:rsid w:val="64EA6724"/>
    <w:rsid w:val="64FF0C2E"/>
    <w:rsid w:val="651D5558"/>
    <w:rsid w:val="65654809"/>
    <w:rsid w:val="657D13E8"/>
    <w:rsid w:val="658B028D"/>
    <w:rsid w:val="65937CBB"/>
    <w:rsid w:val="659C46CE"/>
    <w:rsid w:val="659D4BC2"/>
    <w:rsid w:val="65A0073D"/>
    <w:rsid w:val="65FA31A3"/>
    <w:rsid w:val="663F095A"/>
    <w:rsid w:val="66402D0B"/>
    <w:rsid w:val="667679DE"/>
    <w:rsid w:val="66850C89"/>
    <w:rsid w:val="66B45655"/>
    <w:rsid w:val="66B94F27"/>
    <w:rsid w:val="66C57467"/>
    <w:rsid w:val="66CA526B"/>
    <w:rsid w:val="66DF0E58"/>
    <w:rsid w:val="66ED17C6"/>
    <w:rsid w:val="66F65041"/>
    <w:rsid w:val="6703347D"/>
    <w:rsid w:val="67076C13"/>
    <w:rsid w:val="67087165"/>
    <w:rsid w:val="670B64CC"/>
    <w:rsid w:val="67271D1B"/>
    <w:rsid w:val="672F3320"/>
    <w:rsid w:val="673E5DDC"/>
    <w:rsid w:val="675869AF"/>
    <w:rsid w:val="675B4740"/>
    <w:rsid w:val="677B49D5"/>
    <w:rsid w:val="67A96C2F"/>
    <w:rsid w:val="67D92FD7"/>
    <w:rsid w:val="681811A0"/>
    <w:rsid w:val="68376930"/>
    <w:rsid w:val="683F38DC"/>
    <w:rsid w:val="685F55BE"/>
    <w:rsid w:val="686D6AE2"/>
    <w:rsid w:val="687A5EC8"/>
    <w:rsid w:val="68860952"/>
    <w:rsid w:val="68A636F1"/>
    <w:rsid w:val="68A71C4D"/>
    <w:rsid w:val="690177EB"/>
    <w:rsid w:val="693D7F76"/>
    <w:rsid w:val="69427065"/>
    <w:rsid w:val="694F35CC"/>
    <w:rsid w:val="695E1C9B"/>
    <w:rsid w:val="69617A5F"/>
    <w:rsid w:val="69884D00"/>
    <w:rsid w:val="69D16911"/>
    <w:rsid w:val="69D829EE"/>
    <w:rsid w:val="69F50456"/>
    <w:rsid w:val="69F745C9"/>
    <w:rsid w:val="6A01085E"/>
    <w:rsid w:val="6A045DFD"/>
    <w:rsid w:val="6A15191F"/>
    <w:rsid w:val="6A222DF8"/>
    <w:rsid w:val="6A274783"/>
    <w:rsid w:val="6A385572"/>
    <w:rsid w:val="6A5E63F6"/>
    <w:rsid w:val="6A8B3798"/>
    <w:rsid w:val="6A955B90"/>
    <w:rsid w:val="6AA247F8"/>
    <w:rsid w:val="6ADA2184"/>
    <w:rsid w:val="6AE76314"/>
    <w:rsid w:val="6AE94799"/>
    <w:rsid w:val="6AF94B80"/>
    <w:rsid w:val="6B2A277C"/>
    <w:rsid w:val="6B485193"/>
    <w:rsid w:val="6B4E0379"/>
    <w:rsid w:val="6B75402F"/>
    <w:rsid w:val="6B77103C"/>
    <w:rsid w:val="6B793869"/>
    <w:rsid w:val="6B8F25E0"/>
    <w:rsid w:val="6B96571C"/>
    <w:rsid w:val="6B99520C"/>
    <w:rsid w:val="6BAC3618"/>
    <w:rsid w:val="6BCE3108"/>
    <w:rsid w:val="6BDC2627"/>
    <w:rsid w:val="6C2F0215"/>
    <w:rsid w:val="6C387C2D"/>
    <w:rsid w:val="6C3E61C3"/>
    <w:rsid w:val="6C5E72FD"/>
    <w:rsid w:val="6C6719A7"/>
    <w:rsid w:val="6C7A503E"/>
    <w:rsid w:val="6C7D1B5B"/>
    <w:rsid w:val="6C7E0227"/>
    <w:rsid w:val="6C903DC5"/>
    <w:rsid w:val="6C9B0F8C"/>
    <w:rsid w:val="6CDF1345"/>
    <w:rsid w:val="6CF43042"/>
    <w:rsid w:val="6CF76880"/>
    <w:rsid w:val="6CF92406"/>
    <w:rsid w:val="6D0D7296"/>
    <w:rsid w:val="6D0E5048"/>
    <w:rsid w:val="6D231231"/>
    <w:rsid w:val="6D305867"/>
    <w:rsid w:val="6D415B5B"/>
    <w:rsid w:val="6D6E636C"/>
    <w:rsid w:val="6D761CFE"/>
    <w:rsid w:val="6D833001"/>
    <w:rsid w:val="6DB31D61"/>
    <w:rsid w:val="6DE76703"/>
    <w:rsid w:val="6E02353D"/>
    <w:rsid w:val="6E3010C6"/>
    <w:rsid w:val="6E506B16"/>
    <w:rsid w:val="6E5B49FB"/>
    <w:rsid w:val="6E6850C4"/>
    <w:rsid w:val="6E891568"/>
    <w:rsid w:val="6E8B52E0"/>
    <w:rsid w:val="6E996EBD"/>
    <w:rsid w:val="6EAA0997"/>
    <w:rsid w:val="6EB1118B"/>
    <w:rsid w:val="6EE71853"/>
    <w:rsid w:val="6F2319BD"/>
    <w:rsid w:val="6F2A2CCF"/>
    <w:rsid w:val="6F4D07E7"/>
    <w:rsid w:val="6F92269E"/>
    <w:rsid w:val="6F997ED1"/>
    <w:rsid w:val="6FA8684E"/>
    <w:rsid w:val="6FC83067"/>
    <w:rsid w:val="6FE33EFF"/>
    <w:rsid w:val="701461F9"/>
    <w:rsid w:val="701B2694"/>
    <w:rsid w:val="702C48A1"/>
    <w:rsid w:val="703D6AAE"/>
    <w:rsid w:val="70425E72"/>
    <w:rsid w:val="708C3591"/>
    <w:rsid w:val="70955C4E"/>
    <w:rsid w:val="70C27DC0"/>
    <w:rsid w:val="70CB0ADD"/>
    <w:rsid w:val="70D650F9"/>
    <w:rsid w:val="70E60EF4"/>
    <w:rsid w:val="70EB770B"/>
    <w:rsid w:val="70F11F0D"/>
    <w:rsid w:val="710D7627"/>
    <w:rsid w:val="71290DE0"/>
    <w:rsid w:val="713549A6"/>
    <w:rsid w:val="71356833"/>
    <w:rsid w:val="713A7934"/>
    <w:rsid w:val="71470392"/>
    <w:rsid w:val="715C264E"/>
    <w:rsid w:val="715E5E36"/>
    <w:rsid w:val="717924EC"/>
    <w:rsid w:val="71871D75"/>
    <w:rsid w:val="71A30B93"/>
    <w:rsid w:val="71A600CF"/>
    <w:rsid w:val="71AB6039"/>
    <w:rsid w:val="71BA7C8A"/>
    <w:rsid w:val="71DD22F7"/>
    <w:rsid w:val="71E72C94"/>
    <w:rsid w:val="721911A6"/>
    <w:rsid w:val="723D234C"/>
    <w:rsid w:val="72567A59"/>
    <w:rsid w:val="725B146D"/>
    <w:rsid w:val="726803A5"/>
    <w:rsid w:val="72685234"/>
    <w:rsid w:val="727442DD"/>
    <w:rsid w:val="728E7235"/>
    <w:rsid w:val="72A46970"/>
    <w:rsid w:val="72BD42E2"/>
    <w:rsid w:val="72D0142B"/>
    <w:rsid w:val="72F7522E"/>
    <w:rsid w:val="72FA770D"/>
    <w:rsid w:val="730F6AA2"/>
    <w:rsid w:val="73117A99"/>
    <w:rsid w:val="73133BF3"/>
    <w:rsid w:val="7315161C"/>
    <w:rsid w:val="731D2F6D"/>
    <w:rsid w:val="731F1D24"/>
    <w:rsid w:val="734A6FCB"/>
    <w:rsid w:val="7358279B"/>
    <w:rsid w:val="735E10DB"/>
    <w:rsid w:val="7393089D"/>
    <w:rsid w:val="739627EE"/>
    <w:rsid w:val="73977419"/>
    <w:rsid w:val="73981633"/>
    <w:rsid w:val="73AB1F81"/>
    <w:rsid w:val="73BF4A34"/>
    <w:rsid w:val="73DB1798"/>
    <w:rsid w:val="73F92A04"/>
    <w:rsid w:val="73FF7B85"/>
    <w:rsid w:val="74126476"/>
    <w:rsid w:val="74177616"/>
    <w:rsid w:val="742D6E39"/>
    <w:rsid w:val="74312486"/>
    <w:rsid w:val="74345F76"/>
    <w:rsid w:val="74535F81"/>
    <w:rsid w:val="7456013E"/>
    <w:rsid w:val="747C59B3"/>
    <w:rsid w:val="749649DF"/>
    <w:rsid w:val="749B2E8A"/>
    <w:rsid w:val="749F3024"/>
    <w:rsid w:val="74C90910"/>
    <w:rsid w:val="74D1669E"/>
    <w:rsid w:val="74F11C15"/>
    <w:rsid w:val="74F87447"/>
    <w:rsid w:val="74FF2054"/>
    <w:rsid w:val="75097772"/>
    <w:rsid w:val="750E27C7"/>
    <w:rsid w:val="75317099"/>
    <w:rsid w:val="75371D1E"/>
    <w:rsid w:val="754000D6"/>
    <w:rsid w:val="754E0E15"/>
    <w:rsid w:val="7553467E"/>
    <w:rsid w:val="75802AC1"/>
    <w:rsid w:val="758807CB"/>
    <w:rsid w:val="75AD3DF6"/>
    <w:rsid w:val="75C10159"/>
    <w:rsid w:val="75C81974"/>
    <w:rsid w:val="75D25EEA"/>
    <w:rsid w:val="75D57C95"/>
    <w:rsid w:val="75F63B3E"/>
    <w:rsid w:val="7635244F"/>
    <w:rsid w:val="76552066"/>
    <w:rsid w:val="767C0A85"/>
    <w:rsid w:val="769468B9"/>
    <w:rsid w:val="76BB697E"/>
    <w:rsid w:val="76BD192E"/>
    <w:rsid w:val="76BD4BCF"/>
    <w:rsid w:val="76C32790"/>
    <w:rsid w:val="76DB038B"/>
    <w:rsid w:val="77016C3D"/>
    <w:rsid w:val="77020109"/>
    <w:rsid w:val="7726029C"/>
    <w:rsid w:val="778F2087"/>
    <w:rsid w:val="77A613DD"/>
    <w:rsid w:val="77CD6969"/>
    <w:rsid w:val="77CF7696"/>
    <w:rsid w:val="77D031AD"/>
    <w:rsid w:val="77D73CB6"/>
    <w:rsid w:val="77F46F92"/>
    <w:rsid w:val="780B1EB9"/>
    <w:rsid w:val="787769BE"/>
    <w:rsid w:val="788A6608"/>
    <w:rsid w:val="78A957D5"/>
    <w:rsid w:val="78B158B9"/>
    <w:rsid w:val="78D87374"/>
    <w:rsid w:val="78E17069"/>
    <w:rsid w:val="79094E14"/>
    <w:rsid w:val="79207356"/>
    <w:rsid w:val="792F0F5E"/>
    <w:rsid w:val="794B7D1F"/>
    <w:rsid w:val="795E2AFE"/>
    <w:rsid w:val="79634507"/>
    <w:rsid w:val="79773031"/>
    <w:rsid w:val="79785319"/>
    <w:rsid w:val="79894EAA"/>
    <w:rsid w:val="79A060E3"/>
    <w:rsid w:val="79AF1765"/>
    <w:rsid w:val="79CD2C51"/>
    <w:rsid w:val="79D34CF9"/>
    <w:rsid w:val="79F37CC7"/>
    <w:rsid w:val="79FB666F"/>
    <w:rsid w:val="7A0D158D"/>
    <w:rsid w:val="7A0E5017"/>
    <w:rsid w:val="7A0F14BB"/>
    <w:rsid w:val="7A1E3999"/>
    <w:rsid w:val="7A3C0CF3"/>
    <w:rsid w:val="7A410F49"/>
    <w:rsid w:val="7A566F50"/>
    <w:rsid w:val="7A583BB9"/>
    <w:rsid w:val="7A6C4426"/>
    <w:rsid w:val="7A6F0013"/>
    <w:rsid w:val="7A7D1043"/>
    <w:rsid w:val="7A821004"/>
    <w:rsid w:val="7A9419C0"/>
    <w:rsid w:val="7AB05032"/>
    <w:rsid w:val="7AB0585B"/>
    <w:rsid w:val="7ACC0C97"/>
    <w:rsid w:val="7AD61FD9"/>
    <w:rsid w:val="7AD65B35"/>
    <w:rsid w:val="7B026539"/>
    <w:rsid w:val="7B3A2568"/>
    <w:rsid w:val="7B3E7210"/>
    <w:rsid w:val="7B4707E1"/>
    <w:rsid w:val="7B810197"/>
    <w:rsid w:val="7B9511C2"/>
    <w:rsid w:val="7B9C383C"/>
    <w:rsid w:val="7BA07EF1"/>
    <w:rsid w:val="7BAE362A"/>
    <w:rsid w:val="7BB25F4A"/>
    <w:rsid w:val="7BC60703"/>
    <w:rsid w:val="7BCE4E18"/>
    <w:rsid w:val="7BDF310F"/>
    <w:rsid w:val="7BE2675B"/>
    <w:rsid w:val="7BF546E1"/>
    <w:rsid w:val="7C12657D"/>
    <w:rsid w:val="7C156B31"/>
    <w:rsid w:val="7C223CF5"/>
    <w:rsid w:val="7C296138"/>
    <w:rsid w:val="7C5A2796"/>
    <w:rsid w:val="7C615604"/>
    <w:rsid w:val="7C6230DB"/>
    <w:rsid w:val="7C624C5D"/>
    <w:rsid w:val="7C751855"/>
    <w:rsid w:val="7C865339"/>
    <w:rsid w:val="7C94041C"/>
    <w:rsid w:val="7CD12306"/>
    <w:rsid w:val="7CE02C9B"/>
    <w:rsid w:val="7CF60478"/>
    <w:rsid w:val="7D241A29"/>
    <w:rsid w:val="7D2D3A06"/>
    <w:rsid w:val="7D34000B"/>
    <w:rsid w:val="7D433490"/>
    <w:rsid w:val="7D4B532C"/>
    <w:rsid w:val="7D5919D9"/>
    <w:rsid w:val="7D6074A3"/>
    <w:rsid w:val="7D62768F"/>
    <w:rsid w:val="7D66043F"/>
    <w:rsid w:val="7DA63EE4"/>
    <w:rsid w:val="7DA77C5D"/>
    <w:rsid w:val="7DB40352"/>
    <w:rsid w:val="7DB9757F"/>
    <w:rsid w:val="7DDC2D36"/>
    <w:rsid w:val="7DE652B4"/>
    <w:rsid w:val="7DEB6504"/>
    <w:rsid w:val="7E044B08"/>
    <w:rsid w:val="7E1626EC"/>
    <w:rsid w:val="7E2B43EA"/>
    <w:rsid w:val="7E2E0F1A"/>
    <w:rsid w:val="7E3159AE"/>
    <w:rsid w:val="7E555E26"/>
    <w:rsid w:val="7E965AD2"/>
    <w:rsid w:val="7E9D5C94"/>
    <w:rsid w:val="7EA16013"/>
    <w:rsid w:val="7EC36138"/>
    <w:rsid w:val="7ED625A7"/>
    <w:rsid w:val="7EE0272E"/>
    <w:rsid w:val="7EF742CC"/>
    <w:rsid w:val="7EF90044"/>
    <w:rsid w:val="7F1E2411"/>
    <w:rsid w:val="7F361045"/>
    <w:rsid w:val="7F4439BE"/>
    <w:rsid w:val="7F4F73F1"/>
    <w:rsid w:val="7F5C3B91"/>
    <w:rsid w:val="7F633A32"/>
    <w:rsid w:val="7F673200"/>
    <w:rsid w:val="7F7A2D2A"/>
    <w:rsid w:val="7F840255"/>
    <w:rsid w:val="7FA07BD2"/>
    <w:rsid w:val="7FA93818"/>
    <w:rsid w:val="7FBB155E"/>
    <w:rsid w:val="7FCB5E84"/>
    <w:rsid w:val="7FD90AA2"/>
    <w:rsid w:val="7FDF723A"/>
    <w:rsid w:val="7FE45350"/>
    <w:rsid w:val="7FED74AC"/>
    <w:rsid w:val="7FFD24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9"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600" w:lineRule="exact"/>
      <w:ind w:firstLine="961" w:firstLineChars="200"/>
      <w:jc w:val="both"/>
    </w:pPr>
    <w:rPr>
      <w:rFonts w:eastAsia="仿宋_GB2312" w:asciiTheme="minorAscii" w:hAnsiTheme="minorAscii" w:cstheme="minorBidi"/>
      <w:kern w:val="2"/>
      <w:sz w:val="32"/>
      <w:szCs w:val="24"/>
      <w:lang w:val="en-US" w:eastAsia="zh-CN" w:bidi="ar-SA"/>
    </w:rPr>
  </w:style>
  <w:style w:type="paragraph" w:styleId="2">
    <w:name w:val="heading 1"/>
    <w:basedOn w:val="1"/>
    <w:next w:val="1"/>
    <w:qFormat/>
    <w:uiPriority w:val="9"/>
    <w:pPr>
      <w:keepNext w:val="0"/>
      <w:keepLines w:val="0"/>
      <w:spacing w:before="340" w:after="330" w:line="240" w:lineRule="auto"/>
      <w:ind w:firstLine="0" w:firstLineChars="0"/>
      <w:jc w:val="center"/>
      <w:outlineLvl w:val="0"/>
    </w:pPr>
    <w:rPr>
      <w:rFonts w:eastAsia="黑体"/>
      <w:bCs/>
      <w:kern w:val="44"/>
      <w:sz w:val="36"/>
      <w:szCs w:val="44"/>
    </w:rPr>
  </w:style>
  <w:style w:type="paragraph" w:styleId="3">
    <w:name w:val="heading 2"/>
    <w:basedOn w:val="1"/>
    <w:next w:val="1"/>
    <w:link w:val="30"/>
    <w:qFormat/>
    <w:uiPriority w:val="99"/>
    <w:pPr>
      <w:keepNext w:val="0"/>
      <w:keepLines w:val="0"/>
      <w:spacing w:before="260" w:after="260" w:line="240" w:lineRule="auto"/>
      <w:ind w:firstLine="0" w:firstLineChars="0"/>
      <w:jc w:val="center"/>
      <w:outlineLvl w:val="1"/>
    </w:pPr>
    <w:rPr>
      <w:rFonts w:ascii="Calibri Light" w:hAnsi="Calibri Light" w:eastAsia="楷体_GB2312" w:cs="Calibri Light"/>
      <w:b/>
      <w:bCs/>
      <w:kern w:val="0"/>
      <w:szCs w:val="32"/>
    </w:rPr>
  </w:style>
  <w:style w:type="paragraph" w:styleId="4">
    <w:name w:val="heading 3"/>
    <w:basedOn w:val="1"/>
    <w:next w:val="1"/>
    <w:unhideWhenUsed/>
    <w:qFormat/>
    <w:uiPriority w:val="0"/>
    <w:pPr>
      <w:spacing w:before="0" w:beforeAutospacing="1" w:after="120" w:afterAutospacing="0"/>
      <w:jc w:val="left"/>
      <w:outlineLvl w:val="2"/>
    </w:pPr>
    <w:rPr>
      <w:rFonts w:hint="eastAsia" w:ascii="宋体" w:hAnsi="宋体" w:eastAsia="仿宋_GB2312" w:cs="宋体"/>
      <w:b/>
      <w:bCs/>
      <w:kern w:val="0"/>
      <w:sz w:val="32"/>
      <w:szCs w:val="27"/>
      <w:lang w:bidi="ar"/>
    </w:rPr>
  </w:style>
  <w:style w:type="paragraph" w:styleId="5">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21">
    <w:name w:val="Default Paragraph Font"/>
    <w:semiHidden/>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6">
    <w:name w:val="caption"/>
    <w:basedOn w:val="1"/>
    <w:next w:val="1"/>
    <w:unhideWhenUsed/>
    <w:qFormat/>
    <w:uiPriority w:val="0"/>
    <w:rPr>
      <w:rFonts w:eastAsia="黑体" w:asciiTheme="majorHAnsi" w:hAnsiTheme="majorHAnsi" w:cstheme="majorBidi"/>
      <w:sz w:val="20"/>
      <w:szCs w:val="20"/>
    </w:rPr>
  </w:style>
  <w:style w:type="paragraph" w:styleId="7">
    <w:name w:val="index 5"/>
    <w:basedOn w:val="1"/>
    <w:next w:val="1"/>
    <w:qFormat/>
    <w:uiPriority w:val="0"/>
    <w:pPr>
      <w:ind w:left="800" w:leftChars="800"/>
    </w:pPr>
  </w:style>
  <w:style w:type="paragraph" w:styleId="8">
    <w:name w:val="Body Text"/>
    <w:basedOn w:val="1"/>
    <w:qFormat/>
    <w:uiPriority w:val="99"/>
    <w:pPr>
      <w:widowControl w:val="0"/>
      <w:spacing w:line="240" w:lineRule="auto"/>
      <w:ind w:firstLine="1124" w:firstLineChars="200"/>
      <w:jc w:val="both"/>
    </w:pPr>
    <w:rPr>
      <w:rFonts w:eastAsia="楷体_GB2312"/>
      <w:kern w:val="0"/>
      <w:sz w:val="24"/>
    </w:rPr>
  </w:style>
  <w:style w:type="paragraph" w:styleId="9">
    <w:name w:val="Plain Text"/>
    <w:basedOn w:val="1"/>
    <w:unhideWhenUsed/>
    <w:qFormat/>
    <w:uiPriority w:val="99"/>
    <w:rPr>
      <w:rFonts w:ascii="宋体" w:hAnsi="Courier New" w:cs="Courier New"/>
    </w:rPr>
  </w:style>
  <w:style w:type="paragraph" w:styleId="10">
    <w:name w:val="footer"/>
    <w:basedOn w:val="1"/>
    <w:qFormat/>
    <w:uiPriority w:val="99"/>
    <w:pPr>
      <w:tabs>
        <w:tab w:val="center" w:pos="4153"/>
        <w:tab w:val="right" w:pos="8306"/>
      </w:tabs>
      <w:snapToGrid w:val="0"/>
    </w:pPr>
    <w:rPr>
      <w:kern w:val="0"/>
      <w:sz w:val="18"/>
      <w:szCs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toc 1"/>
    <w:basedOn w:val="1"/>
    <w:next w:val="1"/>
    <w:qFormat/>
    <w:uiPriority w:val="0"/>
    <w:pPr>
      <w:ind w:firstLine="0" w:firstLineChars="0"/>
    </w:pPr>
    <w:rPr>
      <w:rFonts w:eastAsia="黑体"/>
      <w:sz w:val="26"/>
    </w:rPr>
  </w:style>
  <w:style w:type="paragraph" w:styleId="13">
    <w:name w:val="footnote text"/>
    <w:basedOn w:val="1"/>
    <w:qFormat/>
    <w:uiPriority w:val="0"/>
    <w:pPr>
      <w:snapToGrid w:val="0"/>
      <w:jc w:val="left"/>
    </w:pPr>
    <w:rPr>
      <w:rFonts w:ascii="Calibri" w:hAnsi="Calibri"/>
      <w:sz w:val="18"/>
    </w:rPr>
  </w:style>
  <w:style w:type="paragraph" w:styleId="14">
    <w:name w:val="toc 2"/>
    <w:next w:val="1"/>
    <w:qFormat/>
    <w:uiPriority w:val="0"/>
    <w:pPr>
      <w:ind w:left="420" w:leftChars="200"/>
    </w:pPr>
    <w:rPr>
      <w:rFonts w:ascii="Times New Roman" w:hAnsi="Times New Roman" w:eastAsia="楷体_GB2312" w:cs="Times New Roman"/>
      <w:sz w:val="28"/>
    </w:rPr>
  </w:style>
  <w:style w:type="paragraph" w:styleId="15">
    <w:name w:val="Message Header"/>
    <w:basedOn w:val="1"/>
    <w:next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sz w:val="24"/>
    </w:rPr>
  </w:style>
  <w:style w:type="paragraph" w:styleId="1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7">
    <w:name w:val="Title"/>
    <w:basedOn w:val="1"/>
    <w:next w:val="1"/>
    <w:qFormat/>
    <w:uiPriority w:val="0"/>
    <w:pPr>
      <w:jc w:val="center"/>
      <w:outlineLvl w:val="0"/>
    </w:pPr>
    <w:rPr>
      <w:rFonts w:ascii="Arial" w:hAnsi="Arial" w:eastAsia="宋体" w:cs="Times New Roman"/>
      <w:b/>
      <w:bCs/>
      <w:sz w:val="32"/>
      <w:szCs w:val="32"/>
    </w:rPr>
  </w:style>
  <w:style w:type="paragraph" w:styleId="18">
    <w:name w:val="Body Text First Indent"/>
    <w:basedOn w:val="8"/>
    <w:qFormat/>
    <w:uiPriority w:val="0"/>
    <w:pPr>
      <w:ind w:firstLine="498" w:firstLineChars="200"/>
    </w:pPr>
    <w:rPr>
      <w:rFonts w:ascii="宋体" w:hAnsi="宋体"/>
    </w:rPr>
  </w:style>
  <w:style w:type="table" w:styleId="20">
    <w:name w:val="Table Grid"/>
    <w:basedOn w:val="19"/>
    <w:qFormat/>
    <w:uiPriority w:val="39"/>
    <w:rPr>
      <w:rFonts w:asciiTheme="minorHAnsi" w:hAnsiTheme="minorHAnsi" w:eastAsiaTheme="minorEastAsia" w:cstheme="minorBid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1"/>
    <w:qFormat/>
    <w:uiPriority w:val="0"/>
    <w:rPr>
      <w:b/>
    </w:rPr>
  </w:style>
  <w:style w:type="character" w:styleId="23">
    <w:name w:val="Emphasis"/>
    <w:basedOn w:val="21"/>
    <w:qFormat/>
    <w:uiPriority w:val="0"/>
    <w:rPr>
      <w:i/>
    </w:rPr>
  </w:style>
  <w:style w:type="character" w:styleId="24">
    <w:name w:val="footnote reference"/>
    <w:basedOn w:val="21"/>
    <w:qFormat/>
    <w:uiPriority w:val="0"/>
    <w:rPr>
      <w:vertAlign w:val="superscript"/>
    </w:rPr>
  </w:style>
  <w:style w:type="paragraph" w:customStyle="1" w:styleId="25">
    <w:name w:val="Heading2"/>
    <w:basedOn w:val="1"/>
    <w:next w:val="1"/>
    <w:qFormat/>
    <w:uiPriority w:val="0"/>
    <w:pPr>
      <w:keepNext/>
      <w:keepLines/>
      <w:spacing w:before="260" w:after="260" w:line="416" w:lineRule="auto"/>
    </w:pPr>
    <w:rPr>
      <w:rFonts w:ascii="Cambria" w:hAnsi="Cambria"/>
      <w:b/>
      <w:bCs/>
      <w:sz w:val="32"/>
      <w:szCs w:val="32"/>
    </w:rPr>
  </w:style>
  <w:style w:type="paragraph" w:styleId="26">
    <w:name w:val="List Paragraph"/>
    <w:basedOn w:val="1"/>
    <w:qFormat/>
    <w:uiPriority w:val="99"/>
    <w:pPr>
      <w:ind w:firstLine="420" w:firstLineChars="200"/>
    </w:pPr>
  </w:style>
  <w:style w:type="paragraph" w:customStyle="1" w:styleId="27">
    <w:name w:val="ds-markdown-paragraph"/>
    <w:basedOn w:val="1"/>
    <w:qFormat/>
    <w:uiPriority w:val="0"/>
    <w:pPr>
      <w:widowControl/>
      <w:spacing w:before="100" w:beforeAutospacing="1" w:after="100" w:afterAutospacing="1"/>
      <w:jc w:val="left"/>
    </w:pPr>
    <w:rPr>
      <w:rFonts w:ascii="宋体" w:hAnsi="宋体" w:eastAsia="宋体" w:cs="宋体"/>
      <w:kern w:val="0"/>
      <w:sz w:val="24"/>
    </w:rPr>
  </w:style>
  <w:style w:type="paragraph" w:customStyle="1" w:styleId="28">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9">
    <w:name w:val="正文 New New New New New New New New New New"/>
    <w:next w:val="7"/>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30">
    <w:name w:val="标题 2 Char"/>
    <w:link w:val="3"/>
    <w:qFormat/>
    <w:uiPriority w:val="99"/>
    <w:rPr>
      <w:rFonts w:ascii="Calibri Light" w:hAnsi="Calibri Light" w:eastAsia="楷体_GB2312" w:cs="Calibri Light"/>
      <w:b/>
      <w:bCs/>
      <w:kern w:val="0"/>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customXml" Target="../customXml/item1.xml"/><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jpe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4487cbf2-c71a-4412-a83c-b3b8be3c9c83</errorID>
      <errorWord>-</errorWord>
      <group>L1_Punc</group>
      <groupName>标点问题</groupName>
      <ability>L2_Punc_CN</ability>
      <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474062C7</paraID>
      <start>12</start>
      <end>13</end>
      <status>modified</status>
      <modifiedWord>—</modifiedWord>
      <trackRevisions>false</trackRevisions>
    </reviewItem>
    <reviewItem>
      <errorID>9da21a04-becc-4601-84e8-2eed55e3aa6e</errorID>
      <errorWord>增长为</errorWord>
      <group>L1_Word</group>
      <groupName>字词问题</groupName>
      <ability>L2_Typo</ability>
      <abilityName>字词错误</abilityName>
      <candidateList>
        <item>增长</item>
      </candidateList>
      <explain>〈动〉增加；提高：～知识｜～才干｜产值比去年约～百分之十。</explain>
      <paraID>2AC5703F</paraID>
      <start>228</start>
      <end>230</end>
      <status>modified</status>
      <modifiedWord>增长</modifiedWord>
      <trackRevisions>false</trackRevisions>
    </reviewItem>
    <reviewItem>
      <errorID>8bb9df27-7263-49b4-ba20-c610c07d99f3</errorID>
      <errorWord>区</errorWord>
      <group>L1_Word</group>
      <groupName>字词问题</groupName>
      <ability>L2_Typo</ability>
      <abilityName>字词错误</abilityName>
      <candidateList>
        <item>区争</item>
      </candidateList>
      <explain/>
      <paraID>2AC5703F</paraID>
      <start>320</start>
      <end>322</end>
      <status>modified</status>
      <modifiedWord>区争</modifiedWord>
      <trackRevisions>false</trackRevisions>
    </reviewItem>
    <reviewItem>
      <errorID>e003c52e-4cdb-4c37-9424-9466ea14b8bd</errorID>
      <errorWord>连续三年蝉联</errorWord>
      <group>L1_Grammar</group>
      <groupName>语法问题</groupName>
      <ability>L2_Grammar</ability>
      <abilityName>语法错误</abilityName>
      <candidateList>
        <item>连续三年</item>
      </candidateList>
      <explain/>
      <paraID>2176B7CF</paraID>
      <start>130</start>
      <end>134</end>
      <status>modified</status>
      <modifiedWord>连续三年</modifiedWord>
      <trackRevisions>false</trackRevisions>
    </reviewItem>
    <reviewItem>
      <errorID>e789969c-e003-461f-96ca-7da06db93e44</errorID>
      <errorWord>种养殖</errorWord>
      <group>L1_Word</group>
      <groupName>字词问题</groupName>
      <ability>L2_Typo</ability>
      <abilityName>字词错误</abilityName>
      <candidateList>
        <item>种植养殖</item>
      </candidateList>
      <explain/>
      <paraID>2176B7CF</paraID>
      <start>694</start>
      <end>698</end>
      <status>modified</status>
      <modifiedWord>种植养殖</modifiedWord>
      <trackRevisions>false</trackRevisions>
    </reviewItem>
    <reviewItem>
      <errorID>55131c86-8afe-4b6a-b0d4-8298d4157b0d</errorID>
      <errorWord>省</errorWord>
      <group>L1_Word</group>
      <groupName>字词问题</groupName>
      <ability>L2_Typo</ability>
      <abilityName>字词错误</abilityName>
      <candidateList>
        <item>省级</item>
      </candidateList>
      <explain/>
      <paraID>5C79EA14</paraID>
      <start>74</start>
      <end>76</end>
      <status>modified</status>
      <modifiedWord>省级</modifiedWord>
      <trackRevisions>false</trackRevisions>
    </reviewItem>
    <reviewItem>
      <errorID>a0a604e8-2c0d-41f9-ace9-7e0dc453285b</errorID>
      <errorWord>-</errorWord>
      <group>L1_Punc</group>
      <groupName>标点问题</groupName>
      <ability>L2_Punc_CN</ability>
      <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16E3CD57</paraID>
      <start>18</start>
      <end>19</end>
      <status>modified</status>
      <modifiedWord>—</modifiedWord>
      <trackRevisions>false</trackRevisions>
    </reviewItem>
    <reviewItem>
      <errorID>20ee8143-68db-4061-a324-ef75a015509f</errorID>
      <errorWord>公共文体服务体系</errorWord>
      <group>L1_Political</group>
      <groupName>政治性问题</groupName>
      <ability>L2_Keyword</ability>
      <abilityName>固定表述</abilityName>
      <candidateList>
        <item>公共文化服务体系</item>
      </candidateList>
      <explain>词汇“公共文化服务体系”在特定场景下为固定表述形式，请确认此处的“公共文体服务体系”是否存在不当。</explain>
      <paraID>3FB71970</paraID>
      <start>159</start>
      <end>167</end>
      <status>modified</status>
      <modifiedWord>公共文化服务体系</modifiedWord>
      <trackRevisions>false</trackRevisions>
    </reviewItem>
    <reviewItem>
      <errorID>7dfc8088-730e-42f7-9465-956a15a3867c</errorID>
      <errorWord>党</errorWord>
      <group>L1_Word</group>
      <groupName>字词问题</groupName>
      <ability>L2_Typo</ability>
      <abilityName>字词错误</abilityName>
      <candidateList>
        <item>党向</item>
      </candidateList>
      <explain/>
      <paraID>6F07A14D</paraID>
      <start>8</start>
      <end>9</end>
      <status>ignored</status>
      <modifiedWord/>
      <trackRevisions>false</trackRevisions>
    </reviewItem>
    <reviewItem>
      <errorID>474237c6-7dc3-4857-b71c-72206237e309</errorID>
      <errorWord>出</errorWord>
      <group>L1_Word</group>
      <groupName>字词问题</groupName>
      <ability>L2_Typo</ability>
      <abilityName>字词错误</abilityName>
      <candidateList>
        <item>出了</item>
      </candidateList>
      <explain/>
      <paraID>37501AA8</paraID>
      <start>197</start>
      <end>199</end>
      <status>modified</status>
      <modifiedWord>出了</modifiedWord>
      <trackRevisions>false</trackRevisions>
    </reviewItem>
    <reviewItem>
      <errorID>ca89e1a2-1490-460a-8f29-e5294e949ee1</errorID>
      <errorWord>更多更公平惠及富锦人民</errorWord>
      <group>L1_Political</group>
      <groupName>政治性问题</groupName>
      <ability>L2_Keyword</ability>
      <abilityName>固定表述</abilityName>
      <candidateList>
        <item>更多更公平惠及全体人民</item>
      </candidateList>
      <explain>词汇“更多更公平惠及全体人民”在特定场景下为固定表述形式，请确认此处的“更多更公平惠及富锦人民”是否存在不当。</explain>
      <paraID> 517E170</paraID>
      <start>120</start>
      <end>131</end>
      <status>ignored</status>
      <modifiedWord/>
      <trackRevisions>false</trackRevisions>
    </reviewItem>
    <reviewItem>
      <errorID>6f3a58bc-3f53-4f58-afee-c86c3033e532</errorID>
      <errorWord>转方式调结构提质量增效益</errorWord>
      <group>L1_Political</group>
      <groupName>政治性问题</groupName>
      <ability>L2_Keyword</ability>
      <abilityName>固定表述</abilityName>
      <candidateList>
        <item>转方式、调结构、提质量、增效益</item>
      </candidateList>
      <explain>注意检查当前固定表述标点是否使用规范。</explain>
      <paraID>6BCEE351</paraID>
      <start>55</start>
      <end>70</end>
      <status>modified</status>
      <modifiedWord>转方式、调结构、提质量、增效益</modifiedWord>
      <trackRevisions>false</trackRevisions>
    </reviewItem>
    <reviewItem>
      <errorID>0bcfa713-8f6e-42b6-8d7b-17037abde961</errorID>
      <errorWord>市场化法治化国际化</errorWord>
      <group>L1_Political</group>
      <groupName>政治性问题</groupName>
      <ability>L2_Keyword</ability>
      <abilityName>固定表述</abilityName>
      <candidateList>
        <item>市场化、法治化、国际化</item>
      </candidateList>
      <explain>注意检查当前固定表述标点是否使用规范。</explain>
      <paraID>14F775D0</paraID>
      <start>95</start>
      <end>106</end>
      <status>modified</status>
      <modifiedWord>市场化、法治化、国际化</modifiedWord>
      <trackRevisions>false</trackRevisions>
    </reviewItem>
    <reviewItem>
      <errorID>226f76e4-0ac2-44f6-9540-91bc1c30fba3</errorID>
      <errorWord>经济实力、科技实力、综合实力</errorWord>
      <group>L1_Political</group>
      <groupName>政治性问题</groupName>
      <ability>L2_Keyword</ability>
      <abilityName>固定表述</abilityName>
      <candidateList>
        <item>经济实力、科技实力、综合国力</item>
      </candidateList>
      <explain>词汇“经济实力、科技实力、综合国力”在特定场景下为固定表述形式，请确认此处的“经济实力、科技实力、综合实力”是否存在不当。</explain>
      <paraID>558DA198</paraID>
      <start>20</start>
      <end>34</end>
      <status>ignored</status>
      <modifiedWord/>
      <trackRevisions>false</trackRevisions>
    </reviewItem>
    <reviewItem>
      <errorID>04539d48-5a2f-4302-9017-5e93043b7549</errorID>
      <errorWord>新型渔业经营主体</errorWord>
      <group>L1_Political</group>
      <groupName>政治性问题</groupName>
      <ability>L2_Keyword</ability>
      <abilityName>固定表述</abilityName>
      <candidateList>
        <item>新型农业经营主体</item>
      </candidateList>
      <explain>词汇“新型农业经营主体”在特定场景下为固定表述形式，请确认此处的“新型渔业经营主体”是否存在不当。</explain>
      <paraID>25CC0E23</paraID>
      <start>41</start>
      <end>49</end>
      <status>ignored</status>
      <modifiedWord/>
      <trackRevisions>false</trackRevisions>
    </reviewItem>
    <reviewItem>
      <errorID>e362b8ae-b175-4fc3-a3c2-e379775e0d82</errorID>
      <errorWord>,</errorWord>
      <group>L1_Format</group>
      <groupName>格式问题</groupName>
      <ability>L2_HalfPunc_CN</ability>
      <abilityName/>
      <candidateList>
        <item>，</item>
      </candidateList>
      <explain>文本全半角错误。</explain>
      <paraID> 5D1CF4F</paraID>
      <start>83</start>
      <end>84</end>
      <status>modified</status>
      <modifiedWord>，</modifiedWord>
      <trackRevisions>false</trackRevisions>
    </reviewItem>
    <reviewItem>
      <errorID>4b8dd4f7-0b2e-423a-9893-5398e8c71b9c</errorID>
      <errorWord>(</errorWord>
      <group>L1_Format</group>
      <groupName>格式问题</groupName>
      <ability>L2_HalfPunc_CN</ability>
      <abilityName/>
      <candidateList>
        <item>（</item>
      </candidateList>
      <explain>文本全半角错误。</explain>
      <paraID> 5D1CF4F</paraID>
      <start>136</start>
      <end>137</end>
      <status>modified</status>
      <modifiedWord>（</modifiedWord>
      <trackRevisions>false</trackRevisions>
    </reviewItem>
    <reviewItem>
      <errorID>c08c38cd-c09b-4dcf-a939-00d41d95b198</errorID>
      <errorWord>)</errorWord>
      <group>L1_Format</group>
      <groupName>格式问题</groupName>
      <ability>L2_HalfPunc_CN</ability>
      <abilityName/>
      <candidateList>
        <item>）</item>
      </candidateList>
      <explain>文本全半角错误。</explain>
      <paraID> 5D1CF4F</paraID>
      <start>140</start>
      <end>141</end>
      <status>modified</status>
      <modifiedWord>）</modifiedWord>
      <trackRevisions>false</trackRevisions>
    </reviewItem>
    <reviewItem>
      <errorID>dd2ea3ac-08b7-4955-b421-b8bc6889592c</errorID>
      <errorWord>(</errorWord>
      <group>L1_Format</group>
      <groupName>格式问题</groupName>
      <ability>L2_HalfPunc_CN</ability>
      <abilityName/>
      <candidateList>
        <item>（</item>
      </candidateList>
      <explain>文本全半角错误。</explain>
      <paraID> 5D1CF4F</paraID>
      <start>161</start>
      <end>162</end>
      <status>modified</status>
      <modifiedWord>（</modifiedWord>
      <trackRevisions>false</trackRevisions>
    </reviewItem>
    <reviewItem>
      <errorID>2e056624-c3fa-4c35-97cb-3965ba439373</errorID>
      <errorWord>)</errorWord>
      <group>L1_Format</group>
      <groupName>格式问题</groupName>
      <ability>L2_HalfPunc_CN</ability>
      <abilityName/>
      <candidateList>
        <item>）</item>
      </candidateList>
      <explain>文本全半角错误。</explain>
      <paraID> 5D1CF4F</paraID>
      <start>165</start>
      <end>166</end>
      <status>modified</status>
      <modifiedWord>）</modifiedWord>
      <trackRevisions>false</trackRevisions>
    </reviewItem>
    <reviewItem>
      <errorID>c48f0eec-f41a-4656-a822-fdf8061f8992</errorID>
      <errorWord>长度为</errorWord>
      <group>L1_Word</group>
      <groupName>字词问题</groupName>
      <ability>L2_Typo</ability>
      <abilityName>字词错误</abilityName>
      <candidateList>
        <item>长度</item>
      </candidateList>
      <explain/>
      <paraID> 5D1CF4F</paraID>
      <start>173</start>
      <end>175</end>
      <status>modified</status>
      <modifiedWord>长度</modifiedWord>
      <trackRevisions>false</trackRevisions>
    </reviewItem>
    <reviewItem>
      <errorID>89cbb975-1211-4709-a2b0-b3b4bf95683a</errorID>
      <errorWord>共为</errorWord>
      <group>L1_Word</group>
      <groupName>字词问题</groupName>
      <ability>L2_Typo</ability>
      <abilityName>字词错误</abilityName>
      <candidateList>
        <item>共</item>
      </candidateList>
      <explain/>
      <paraID> 5D1CF4F</paraID>
      <start>192</start>
      <end>193</end>
      <status>modified</status>
      <modifiedWord>共</modifiedWord>
      <trackRevisions>false</trackRevisions>
    </reviewItem>
    <reviewItem>
      <errorID>fb675b8f-8c75-4c32-9065-6ed29e36a1ac</errorID>
      <errorWord>新型渔业经营主体</errorWord>
      <group>L1_Political</group>
      <groupName>政治性问题</groupName>
      <ability>L2_Keyword</ability>
      <abilityName>固定表述</abilityName>
      <candidateList>
        <item>新型农业经营主体</item>
      </candidateList>
      <explain>词汇“新型农业经营主体”在特定场景下为固定表述形式，请确认此处的“新型渔业经营主体”是否存在不当。</explain>
      <paraID>334C0E2B</paraID>
      <start>16</start>
      <end>24</end>
      <status>ignored</status>
      <modifiedWord/>
      <trackRevisions>false</trackRevisions>
    </reviewItem>
    <reviewItem>
      <errorID>807f6a1c-1e28-4d66-8557-14b15c1a3bad</errorID>
      <errorWord>-</errorWord>
      <group>L1_Format</group>
      <groupName>格式问题</groupName>
      <ability>L2_HalfPunc_CN</ability>
      <abilityName/>
      <candidateList>
        <item>－</item>
      </candidateList>
      <explain>文本全半角错误。</explain>
      <paraID>4150FCA2</paraID>
      <start>265</start>
      <end>266</end>
      <status>modified</status>
      <modifiedWord>－</modifiedWord>
      <trackRevisions>false</trackRevisions>
    </reviewItem>
    <reviewItem>
      <errorID>fe56faa1-45dd-4a45-a4f0-6b27f4a7a356</errorID>
      <errorWord>-</errorWord>
      <group>L1_Format</group>
      <groupName>格式问题</groupName>
      <ability>L2_HalfPunc_CN</ability>
      <abilityName/>
      <candidateList>
        <item>－</item>
      </candidateList>
      <explain>文本全半角错误。</explain>
      <paraID>4150FCA2</paraID>
      <start>267</start>
      <end>268</end>
      <status>modified</status>
      <modifiedWord>－</modifiedWord>
      <trackRevisions>false</trackRevisions>
    </reviewItem>
    <reviewItem>
      <errorID>0528ab5b-7178-418b-82ec-f785e179eb19</errorID>
      <errorWord>-</errorWord>
      <group>L1_Format</group>
      <groupName>格式问题</groupName>
      <ability>L2_HalfPunc_CN</ability>
      <abilityName/>
      <candidateList>
        <item>－</item>
      </candidateList>
      <explain>文本全半角错误。</explain>
      <paraID>4150FCA2</paraID>
      <start>269</start>
      <end>270</end>
      <status>modified</status>
      <modifiedWord>－</modifiedWord>
      <trackRevisions>false</trackRevisions>
    </reviewItem>
    <reviewItem>
      <errorID>d5e8aa83-4533-4d7f-af17-44033b4618d0</errorID>
      <errorWord>-</errorWord>
      <group>L1_Format</group>
      <groupName>格式问题</groupName>
      <ability>L2_HalfPunc_CN</ability>
      <abilityName/>
      <candidateList>
        <item>－</item>
      </candidateList>
      <explain>文本全半角错误。</explain>
      <paraID>208E5A77</paraID>
      <start>342</start>
      <end>343</end>
      <status>modified</status>
      <modifiedWord>－</modifiedWord>
      <trackRevisions>false</trackRevisions>
    </reviewItem>
    <reviewItem>
      <errorID>b8f77f45-d770-4669-9495-a89880742b6f</errorID>
      <errorWord>-</errorWord>
      <group>L1_Format</group>
      <groupName>格式问题</groupName>
      <ability>L2_HalfPunc_CN</ability>
      <abilityName/>
      <candidateList>
        <item>－</item>
      </candidateList>
      <explain>文本全半角错误。</explain>
      <paraID>208E5A77</paraID>
      <start>345</start>
      <end>346</end>
      <status>modified</status>
      <modifiedWord>－</modifiedWord>
      <trackRevisions>false</trackRevisions>
    </reviewItem>
    <reviewItem>
      <errorID>1fdc23a0-2b25-4ff6-9a14-537a732be8c9</errorID>
      <errorWord>-</errorWord>
      <group>L1_Format</group>
      <groupName>格式问题</groupName>
      <ability>L2_HalfPunc_CN</ability>
      <abilityName/>
      <candidateList>
        <item>－</item>
      </candidateList>
      <explain>文本全半角错误。</explain>
      <paraID>208E5A77</paraID>
      <start>348</start>
      <end>349</end>
      <status>modified</status>
      <modifiedWord>－</modifiedWord>
      <trackRevisions>false</trackRevisions>
    </reviewItem>
    <reviewItem>
      <errorID>fb5609ef-7408-4d8a-89be-eb478cdb5883</errorID>
      <errorWord>育秧</errorWord>
      <group>L1_Word</group>
      <groupName>字词问题</groupName>
      <ability>L2_Typo</ability>
      <abilityName>字词错误</abilityName>
      <candidateList>
        <item>育种</item>
      </candidateList>
      <explain/>
      <paraID>75520B9C</paraID>
      <start>141</start>
      <end>143</end>
      <status>ignored</status>
      <modifiedWord/>
      <trackRevisions>false</trackRevisions>
    </reviewItem>
    <reviewItem>
      <errorID>67bd5858-b90f-458f-80a5-aff96236ca92</errorID>
      <errorWord>农业投入品控量增效</errorWord>
      <group>L1_Political</group>
      <groupName>政治性问题</groupName>
      <ability>L2_Keyword</ability>
      <abilityName>固定表述</abilityName>
      <candidateList>
        <item>农业投入品减量增效</item>
      </candidateList>
      <explain>词汇“农业投入品减量增效”在特定场景下为固定表述形式，请确认此处的“农业投入品控量增效”是否存在不当。</explain>
      <paraID>76AB0587</paraID>
      <start>2</start>
      <end>11</end>
      <status>ignored</status>
      <modifiedWord/>
      <trackRevisions>false</trackRevisions>
    </reviewItem>
    <reviewItem>
      <errorID>bf76446b-264d-414c-b184-bc3003b87adb</errorID>
      <errorWord>农村一二三产融合</errorWord>
      <group>L1_Political</group>
      <groupName>政治性问题</groupName>
      <ability>L2_Keyword</ability>
      <abilityName>固定表述</abilityName>
      <candidateList>
        <item>农村一二三产业融合</item>
      </candidateList>
      <explain>词汇“农村一二三产业融合”在特定场景下为固定表述形式，请确认此处的“农村一二三产融合”是否存在不当。</explain>
      <paraID>2328E096</paraID>
      <start>7</start>
      <end>16</end>
      <status>modified</status>
      <modifiedWord>农村一二三产业融合</modifiedWord>
      <trackRevisions>false</trackRevisions>
    </reviewItem>
    <reviewItem>
      <errorID>a7099e8b-3be6-4ed4-a9dd-8683550d1e56</errorID>
      <errorWord>供销社综合改革</errorWord>
      <group>L1_Political</group>
      <groupName>政治性问题</groupName>
      <ability>L2_Keyword</ability>
      <abilityName>固定表述</abilityName>
      <candidateList>
        <item>供销合作社综合改革</item>
      </candidateList>
      <explain>词汇“供销合作社综合改革”在特定场景下为固定表述形式，请确认此处的“供销社综合改革”是否存在不当。</explain>
      <paraID>3968CD55</paraID>
      <start>42</start>
      <end>51</end>
      <status>modified</status>
      <modifiedWord>供销合作社综合改革</modifiedWord>
      <trackRevisions>false</trackRevisions>
    </reviewItem>
    <reviewItem>
      <errorID>e5f81fef-2dea-4bad-8cf0-77f8fbbe28db</errorID>
      <errorWord>凝聚力、战斗力和创造力</errorWord>
      <group>L1_Political</group>
      <groupName>政治性问题</groupName>
      <ability>L2_Keyword</ability>
      <abilityName>固定表述</abilityName>
      <candidateList>
        <item>创造力、凝聚力和战斗力</item>
      </candidateList>
      <explain>词汇“创造力、凝聚力和战斗力”在特定场景下为固定表述形式，请确认此处的“凝聚力、战斗力和创造力”是否存在不当。</explain>
      <paraID>5C5BAC81</paraID>
      <start>32</start>
      <end>43</end>
      <status>modified</status>
      <modifiedWord>创造力、凝聚力和战斗力</modifiedWord>
      <trackRevisions>false</trackRevisions>
    </reviewItem>
    <reviewItem>
      <errorID>d5002984-b169-48fd-b475-3e8d40bb3725</errorID>
      <errorWord>常态化推进扫黑除恶</errorWord>
      <group>L1_Political</group>
      <groupName>政治性问题</groupName>
      <ability>L2_Keyword</ability>
      <abilityName>固定表述</abilityName>
      <candidateList>
        <item>常态化开展扫黑除恶</item>
      </candidateList>
      <explain>词汇“常态化开展扫黑除恶”在特定场景下为固定表述形式，请确认此处的“常态化推进扫黑除恶”是否存在不当。</explain>
      <paraID>51DBDD49</paraID>
      <start>81</start>
      <end>90</end>
      <status>modified</status>
      <modifiedWord>常态化开展扫黑除恶</modifiedWord>
      <trackRevisions>false</trackRevisions>
    </reviewItem>
    <reviewItem>
      <errorID>454960cd-d107-4e3a-9f7a-55dd2cc12682</errorID>
      <errorWord>,</errorWord>
      <group>L1_Format</group>
      <groupName>格式问题</groupName>
      <ability>L2_HalfPunc_CN</ability>
      <abilityName/>
      <candidateList>
        <item>，</item>
      </candidateList>
      <explain>文本全半角错误。</explain>
      <paraID>4CC834E8</paraID>
      <start>32</start>
      <end>33</end>
      <status>modified</status>
      <modifiedWord>，</modifiedWord>
      <trackRevisions>false</trackRevisions>
    </reviewItem>
    <reviewItem>
      <errorID>61ffbf7b-a285-4d6b-ae10-92d221b67863</errorID>
      <errorWord>,</errorWord>
      <group>L1_Format</group>
      <groupName>格式问题</groupName>
      <ability>L2_HalfPunc_CN</ability>
      <abilityName/>
      <candidateList>
        <item>，</item>
      </candidateList>
      <explain>文本全半角错误。</explain>
      <paraID>4CC834E8</paraID>
      <start>64</start>
      <end>65</end>
      <status>modified</status>
      <modifiedWord>，</modifiedWord>
      <trackRevisions>false</trackRevisions>
    </reviewItem>
    <reviewItem>
      <errorID>abbd5f7b-6971-4fee-a664-60d2728374ce</errorID>
      <errorWord>三资管理</errorWord>
      <group>L1_Political</group>
      <groupName>政治性问题</groupName>
      <ability>L2_Keyword</ability>
      <abilityName>固定表述</abilityName>
      <candidateList>
        <item>“三资”管理</item>
      </candidateList>
      <explain>注意检查当前固定表述标点是否使用规范。</explain>
      <paraID>542FF481</paraID>
      <start>33</start>
      <end>39</end>
      <status>modified</status>
      <modifiedWord>“三资”管理</modifiedWord>
      <trackRevisions>false</trackRevisions>
    </reviewItem>
    <reviewItem>
      <errorID>49b56e73-ed06-4d6c-9aef-ed41d181bba8</errorID>
      <errorWord>提高强农惠农政策效能</errorWord>
      <group>L1_Political</group>
      <groupName>政治性问题</groupName>
      <ability>L2_Keyword</ability>
      <abilityName>固定表述</abilityName>
      <candidateList>
        <item>提高强农惠农富农政策效能</item>
      </candidateList>
      <explain>词汇“提高强农惠农富农政策效能”在特定场景下为固定表述形式，请确认此处的“提高强农惠农政策效能”是否存在不当。</explain>
      <paraID>542FF481</paraID>
      <start>63</start>
      <end>75</end>
      <status>modified</status>
      <modifiedWord>提高强农惠农富农政策效能</modifiedWord>
      <trackRevisions>false</trackRevisions>
    </reviewItem>
    <reviewItem>
      <errorID>7e7c6d1a-1031-4d44-9110-092ea0d7dcd1</errorID>
      <errorWord>把经济发展的着力点放在实体经济</errorWord>
      <group>L1_Political</group>
      <groupName>政治性问题</groupName>
      <ability>L2_Keyword</ability>
      <abilityName>固定表述</abilityName>
      <candidateList>
        <item>把发展经济的着力点放在实体经济</item>
      </candidateList>
      <explain>词汇“把发展经济的着力点放在实体经济”在特定场景下为固定表述形式，请确认此处的“把经济发展的着力点放在实体经济”是否存在不当。</explain>
      <paraID>10A0E556</paraID>
      <start>2</start>
      <end>17</end>
      <status>modified</status>
      <modifiedWord>把发展经济的着力点放在实体经济</modifiedWord>
      <trackRevisions>false</trackRevisions>
    </reviewItem>
    <reviewItem>
      <errorID>a30f5cb3-6163-41e2-976a-5eb06ea19421</errorID>
      <errorWord>战略新兴产业</errorWord>
      <group>L1_Political</group>
      <groupName>政治性问题</groupName>
      <ability>L2_Keyword</ability>
      <abilityName>固定表述</abilityName>
      <candidateList>
        <item>战略性新兴产业</item>
      </candidateList>
      <explain>词汇“战略性新兴产业”在特定场景下为固定表述形式，请确认此处的“战略新兴产业”是否存在不当。</explain>
      <paraID>10A0E556</paraID>
      <start>103</start>
      <end>110</end>
      <status>modified</status>
      <modifiedWord>战略性新兴产业</modifiedWord>
      <trackRevisions>false</trackRevisions>
    </reviewItem>
    <reviewItem>
      <errorID>7c89c56d-2b47-4b1d-a6fa-3bdde7ac4ca3</errorID>
      <errorWord>“两重两新”</errorWord>
      <group>L1_Political</group>
      <groupName>政治性问题</groupName>
      <ability>L2_Keyword</ability>
      <abilityName>固定表述</abilityName>
      <candidateList>
        <item>“两重”“两新”</item>
      </candidateList>
      <explain>注意检查当前固定表述标点是否使用规范。</explain>
      <paraID>308D84D8</paraID>
      <start>145</start>
      <end>153</end>
      <status>modified</status>
      <modifiedWord>“两重”“两新”</modifiedWord>
      <trackRevisions>false</trackRevisions>
    </reviewItem>
    <reviewItem>
      <errorID>bdae8ab3-6801-4e7c-afe1-09a87480f66c</errorID>
      <errorWord>种植资源</errorWord>
      <group>L1_Political</group>
      <groupName>政治性问题</groupName>
      <ability>L2_Keyword</ability>
      <abilityName>固定表述</abilityName>
      <candidateList>
        <item>种质资源</item>
      </candidateList>
      <explain>词汇“种质资源”在特定场景下为固定表述形式，请确认此处的“种植资源”是否存在不当。</explain>
      <paraID>74E0E8A0</paraID>
      <start>41</start>
      <end>45</end>
      <status>modified</status>
      <modifiedWord>种质资源</modifiedWord>
      <trackRevisions>false</trackRevisions>
    </reviewItem>
    <reviewItem>
      <errorID>1366d5d1-7dce-4f1d-aa9d-b8d1875f759b</errorID>
      <errorWord>定</errorWord>
      <group>L1_Word</group>
      <groupName>字词问题</groupName>
      <ability>L2_Typo</ability>
      <abilityName>字词错误</abilityName>
      <candidateList>
        <item>定了</item>
      </candidateList>
      <explain/>
      <paraID>3E4A5627</paraID>
      <start>345</start>
      <end>347</end>
      <status>modified</status>
      <modifiedWord>定了</modifiedWord>
      <trackRevisions>false</trackRevisions>
    </reviewItem>
    <reviewItem>
      <errorID>7fe7c5ac-acc8-4be0-a4f0-ce40d7d61eb6</errorID>
      <errorWord>-</errorWord>
      <group>L1_Format</group>
      <groupName>格式问题</groupName>
      <ability>L2_HalfPunc_CN</ability>
      <abilityName/>
      <candidateList>
        <item>－</item>
      </candidateList>
      <explain>文本全半角错误。</explain>
      <paraID>3263BB8E</paraID>
      <start>78</start>
      <end>79</end>
      <status>modified</status>
      <modifiedWord>－</modifiedWord>
      <trackRevisions>false</trackRevisions>
    </reviewItem>
    <reviewItem>
      <errorID>b4fc07dc-081e-4448-ab74-2a73b9a0bb42</errorID>
      <errorWord>-</errorWord>
      <group>L1_Format</group>
      <groupName>格式问题</groupName>
      <ability>L2_HalfPunc_CN</ability>
      <abilityName/>
      <candidateList>
        <item>－</item>
      </candidateList>
      <explain>文本全半角错误。</explain>
      <paraID>3263BB8E</paraID>
      <start>83</start>
      <end>84</end>
      <status>modified</status>
      <modifiedWord>－</modifiedWord>
      <trackRevisions>false</trackRevisions>
    </reviewItem>
    <reviewItem>
      <errorID>9ed981b4-4edb-4a53-bd83-e8b1d5ca5e3e</errorID>
      <errorWord>1  百</errorWord>
      <group>L1_Knowledge</group>
      <groupName>知识性问题</groupName>
      <ability>L2_Knowledge</ability>
      <abilityName>其他知识</abilityName>
      <candidateList>
        <item>100</item>
      </candidateList>
      <explain/>
      <paraID>7A0F749C</paraID>
      <start>4</start>
      <end>8</end>
      <status>ignored</status>
      <modifiedWord/>
      <trackRevisions>false</trackRevisions>
    </reviewItem>
    <reviewItem>
      <errorID>cea955e3-1bff-48e1-a293-735cc445faef</errorID>
      <errorWord>冰淇淋</errorWord>
      <group>L1_Word</group>
      <groupName>字词问题</groupName>
      <ability>L2_Alias</ability>
      <abilityName>也作/曾用词</abilityName>
      <candidateList>
        <item>冰激凌</item>
      </candidateList>
      <explain>词汇[冰淇淋]为不规范表述或旧称，其规范书面表述为[冰激凌]。</explain>
      <paraID> 5ADA7B9</paraID>
      <start>168</start>
      <end>171</end>
      <status>modified</status>
      <modifiedWord>冰激凌</modifiedWord>
      <trackRevisions>false</trackRevisions>
    </reviewItem>
    <reviewItem>
      <errorID>564a6271-b20a-422d-a388-9a322112df3a</errorID>
      <errorWord>集</errorWord>
      <group>L1_Word</group>
      <groupName>字词问题</groupName>
      <ability>L2_Typo</ability>
      <abilityName>字词错误</abilityName>
      <candidateList>
        <item>及</item>
      </candidateList>
      <explain>存在发音相同字词的误用。</explain>
      <paraID>62E4BABF</paraID>
      <start>108</start>
      <end>109</end>
      <status>modified</status>
      <modifiedWord>及</modifiedWord>
      <trackRevisions>false</trackRevisions>
    </reviewItem>
    <reviewItem>
      <errorID>4a935db4-d8f7-4d22-99e7-f735dfc12653</errorID>
      <errorWord>-</errorWord>
      <group>L1_Format</group>
      <groupName>格式问题</groupName>
      <ability>L2_HalfPunc_CN</ability>
      <abilityName/>
      <candidateList>
        <item>－</item>
      </candidateList>
      <explain>文本全半角错误。</explain>
      <paraID>48422D99</paraID>
      <start>247</start>
      <end>248</end>
      <status>modified</status>
      <modifiedWord>－</modifiedWord>
      <trackRevisions>false</trackRevisions>
    </reviewItem>
    <reviewItem>
      <errorID>2c53f943-7e0a-40af-ac92-457e1e1d2165</errorID>
      <errorWord>战略新兴产业</errorWord>
      <group>L1_Political</group>
      <groupName>政治性问题</groupName>
      <ability>L2_Keyword</ability>
      <abilityName>固定表述</abilityName>
      <candidateList>
        <item>战略性新兴产业</item>
      </candidateList>
      <explain>词汇“战略性新兴产业”在特定场景下为固定表述形式，请确认此处的“战略新兴产业”是否存在不当。</explain>
      <paraID>2AA6945C</paraID>
      <start>19</start>
      <end>26</end>
      <status>modified</status>
      <modifiedWord>战略性新兴产业</modifiedWord>
      <trackRevisions>false</trackRevisions>
    </reviewItem>
    <reviewItem>
      <errorID>8cb2221c-3734-4094-bb66-6dd300809d59</errorID>
      <errorWord>产业链和供应链</errorWord>
      <group>L1_Political</group>
      <groupName>政治性问题</groupName>
      <ability>L2_Keyword</ability>
      <abilityName>固定表述</abilityName>
      <candidateList>
        <item>产业链供应链</item>
      </candidateList>
      <explain>词汇“产业链供应链”在特定场景下为固定表述形式，请确认此处的“产业链和供应链”是否存在不当。</explain>
      <paraID>2FBE785B</paraID>
      <start>107</start>
      <end>113</end>
      <status>modified</status>
      <modifiedWord>产业链供应链</modifiedWord>
      <trackRevisions>false</trackRevisions>
    </reviewItem>
    <reviewItem>
      <errorID>a148fd0e-f767-404a-8da2-843fcf406eed</errorID>
      <errorWord>促进实体经济和数字经济深度融合</errorWord>
      <group>L1_Political</group>
      <groupName>政治性问题</groupName>
      <ability>L2_Keyword</ability>
      <abilityName>固定表述</abilityName>
      <candidateList>
        <item>促进数字经济和实体经济深度融合</item>
      </candidateList>
      <explain>词汇“促进数字经济和实体经济深度融合”在特定场景下为固定表述形式，请确认此处的“促进实体经济和数字经济深度融合”是否存在不当。</explain>
      <paraID>4B9F4BFF</paraID>
      <start>368</start>
      <end>383</end>
      <status>modified</status>
      <modifiedWord>促进数字经济和实体经济深度融合</modifiedWord>
      <trackRevisions>false</trackRevisions>
    </reviewItem>
    <reviewItem>
      <errorID>45b4473f-513c-4bad-8a0d-f12a1da7c84e</errorID>
      <errorWord>治理能效</errorWord>
      <group>L1_Word</group>
      <groupName>字词问题</groupName>
      <ability>L2_Typo</ability>
      <abilityName>字词错误</abilityName>
      <candidateList>
        <item>治理效能</item>
      </candidateList>
      <explain/>
      <paraID>66B08668</paraID>
      <start>321</start>
      <end>325</end>
      <status>modified</status>
      <modifiedWord>治理效能</modifiedWord>
      <trackRevisions>false</trackRevisions>
    </reviewItem>
    <reviewItem>
      <errorID>3714b1b8-8828-4953-83f1-ef208e6627a2</errorID>
      <errorWord>秧歌汇演</errorWord>
      <group>L1_Word</group>
      <groupName>字词问题</groupName>
      <ability>L2_Typo</ability>
      <abilityName>字词错误</abilityName>
      <candidateList>
        <item>秧歌会演</item>
      </candidateList>
      <explain/>
      <paraID> 387A8FC</paraID>
      <start>515</start>
      <end>519</end>
      <status>modified</status>
      <modifiedWord>秧歌会演</modifiedWord>
      <trackRevisions>false</trackRevisions>
    </reviewItem>
    <reviewItem>
      <errorID>6fc21676-f6ab-4408-9079-3ebbf726d5d7</errorID>
      <errorWord>-</errorWord>
      <group>L1_Format</group>
      <groupName>格式问题</groupName>
      <ability>L2_HalfPunc_CN</ability>
      <abilityName/>
      <candidateList>
        <item>－</item>
      </candidateList>
      <explain>文本全半角错误。</explain>
      <paraID>61561134</paraID>
      <start>99</start>
      <end>100</end>
      <status>modified</status>
      <modifiedWord>－</modifiedWord>
      <trackRevisions>false</trackRevisions>
    </reviewItem>
    <reviewItem>
      <errorID>71c64985-8b1c-4177-9971-bbb02ca01fe4</errorID>
      <errorWord>-</errorWord>
      <group>L1_Format</group>
      <groupName>格式问题</groupName>
      <ability>L2_HalfPunc_CN</ability>
      <abilityName/>
      <candidateList>
        <item>－</item>
      </candidateList>
      <explain>文本全半角错误。</explain>
      <paraID>61561134</paraID>
      <start>101</start>
      <end>102</end>
      <status>modified</status>
      <modifiedWord>－</modifiedWord>
      <trackRevisions>false</trackRevisions>
    </reviewItem>
    <reviewItem>
      <errorID>fdb804aa-579f-4f46-80b8-68608f5d048f</errorID>
      <errorWord>,</errorWord>
      <group>L1_Format</group>
      <groupName>格式问题</groupName>
      <ability>L2_HalfPunc_CN</ability>
      <abilityName/>
      <candidateList>
        <item>，</item>
      </candidateList>
      <explain>文本全半角错误。</explain>
      <paraID>1499BAB1</paraID>
      <start>83</start>
      <end>84</end>
      <status>modified</status>
      <modifiedWord>，</modifiedWord>
      <trackRevisions>false</trackRevisions>
    </reviewItem>
    <reviewItem>
      <errorID>bbc5e5ce-bd43-443f-8534-738fdc535e0e</errorID>
      <errorWord>:</errorWord>
      <group>L1_Format</group>
      <groupName>格式问题</groupName>
      <ability>L2_HalfPunc_CN</ability>
      <abilityName/>
      <candidateList>
        <item>：</item>
      </candidateList>
      <explain>文本全半角错误。</explain>
      <paraID>1499BAB1</paraID>
      <start>94</start>
      <end>95</end>
      <status>modified</status>
      <modifiedWord>：</modifiedWord>
      <trackRevisions>false</trackRevisions>
    </reviewItem>
    <reviewItem>
      <errorID>c55148b0-6f10-4e97-9ffb-059bb495bbbc</errorID>
      <errorWord>就是</errorWord>
      <group>L1_Word</group>
      <groupName>字词问题</groupName>
      <ability>L2_Typo</ability>
      <abilityName>字词错误</abilityName>
      <candidateList>
        <item>是</item>
      </candidateList>
      <explain>〈动〉❶联系两种事物，表明两者同一或后者说明前者的种类、属性：《阿Q正传》的作者～鲁迅｜节约～不浪费的意思。❷与“的”字配合使用，有分类的作用：这张桌子～石头的｜那瓶墨水～红的｜我～来看他的。❸联系两种事物，表示陈述的对象属于“是”后面所说的情况：他～一片好心｜咱们～好汉一言，快马一鞭｜院子里～冬天，屋子里～春天。</explain>
      <paraID>566C123A</paraID>
      <start>43</start>
      <end>44</end>
      <status>modified</status>
      <modifiedWord>是</modifiedWord>
      <trackRevisions>false</trackRevisions>
    </reviewItem>
    <reviewItem>
      <errorID>f8c8cc4d-7546-457d-be2e-e19ac644e473</errorID>
      <errorWord>污水厂</errorWord>
      <group>L1_Word</group>
      <groupName>字词问题</groupName>
      <ability>L2_Typo</ability>
      <abilityName>字词错误</abilityName>
      <candidateList>
        <item>污水处理厂</item>
      </candidateList>
      <explain/>
      <paraID>566C123A</paraID>
      <start>79</start>
      <end>84</end>
      <status>modified</status>
      <modifiedWord>污水处理厂</modifiedWord>
      <trackRevisions>false</trackRevisions>
    </reviewItem>
    <reviewItem>
      <errorID>323a41e0-e7d9-4250-a71e-d1a18170c024</errorID>
      <errorWord>科技成果孵化</errorWord>
      <group>L1_Political</group>
      <groupName>政治性问题</groupName>
      <ability>L2_Keyword</ability>
      <abilityName>固定表述</abilityName>
      <candidateList>
        <item>科技成果转化</item>
      </candidateList>
      <explain>词汇“科技成果转化”在特定场景下为固定表述形式，请确认此处的“科技成果孵化”是否存在不当。</explain>
      <paraID>342C50D1</paraID>
      <start>97</start>
      <end>103</end>
      <status>modified</status>
      <modifiedWord>科技成果转化</modifiedWord>
      <trackRevisions>false</trackRevisions>
    </reviewItem>
    <reviewItem>
      <errorID>9239c9ca-89e7-4c1c-a583-54203d175dc8</errorID>
      <errorWord>科技飞地</errorWord>
      <group>L1_Political</group>
      <groupName>政治性问题</groupName>
      <ability>L2_Keyword</ability>
      <abilityName>固定表述</abilityName>
      <candidateList>
        <item>科创飞地</item>
      </candidateList>
      <explain>词汇“科创飞地”在特定场景下为固定表述形式，请确认此处的“科技飞地”是否存在不当。</explain>
      <paraID>6B95839F</paraID>
      <start>66</start>
      <end>70</end>
      <status>modified</status>
      <modifiedWord>科创飞地</modifiedWord>
      <trackRevisions>false</trackRevisions>
    </reviewItem>
    <reviewItem>
      <errorID>f444d4fc-57d5-4bc6-9a50-1378cef64059</errorID>
      <errorWord>”</errorWord>
      <group>L1_Word</group>
      <groupName>字词问题</groupName>
      <ability>L2_Typo</ability>
      <abilityName>字词错误</abilityName>
      <candidateList>
        <item>”等</item>
      </candidateList>
      <explain/>
      <paraID>47DB1914</paraID>
      <start>123</start>
      <end>125</end>
      <status>modified</status>
      <modifiedWord>”等</modifiedWord>
      <trackRevisions>false</trackRevisions>
    </reviewItem>
    <reviewItem>
      <errorID>3e2c8bf9-2dcb-43cf-b4b2-656797eec3de</errorID>
      <errorWord>科技成果孵化</errorWord>
      <group>L1_Political</group>
      <groupName>政治性问题</groupName>
      <ability>L2_Keyword</ability>
      <abilityName>固定表述</abilityName>
      <candidateList>
        <item>科技成果转化</item>
      </candidateList>
      <explain>词汇“科技成果转化”在特定场景下为固定表述形式，请确认此处的“科技成果孵化”是否存在不当。</explain>
      <paraID>313B6453</paraID>
      <start>147</start>
      <end>153</end>
      <status>modified</status>
      <modifiedWord>科技成果转化</modifiedWord>
      <trackRevisions>false</trackRevisions>
    </reviewItem>
    <reviewItem>
      <errorID>fe17b889-5234-41b5-a97c-0c9ba3b1223c</errorID>
      <errorWord>-</errorWord>
      <group>L1_Format</group>
      <groupName>格式问题</groupName>
      <ability>L2_HalfPunc_CN</ability>
      <abilityName/>
      <candidateList>
        <item>－</item>
      </candidateList>
      <explain>文本全半角错误。</explain>
      <paraID>388C822D</paraID>
      <start>268</start>
      <end>269</end>
      <status>modified</status>
      <modifiedWord>－</modifiedWord>
      <trackRevisions>false</trackRevisions>
    </reviewItem>
    <reviewItem>
      <errorID>4d3ae21d-a85e-450d-aa36-ac3536db4b6b</errorID>
      <errorWord>-</errorWord>
      <group>L1_Format</group>
      <groupName>格式问题</groupName>
      <ability>L2_HalfPunc_CN</ability>
      <abilityName/>
      <candidateList>
        <item>－</item>
      </candidateList>
      <explain>文本全半角错误。</explain>
      <paraID>388C822D</paraID>
      <start>271</start>
      <end>272</end>
      <status>modified</status>
      <modifiedWord>－</modifiedWord>
      <trackRevisions>false</trackRevisions>
    </reviewItem>
    <reviewItem>
      <errorID>3bdd704d-5fe2-477e-8930-4b6783d39bbd</errorID>
      <errorWord>城乡公共服务均等化</errorWord>
      <group>L1_Political</group>
      <groupName>政治性问题</groupName>
      <ability>L2_Keyword</ability>
      <abilityName>固定表述</abilityName>
      <candidateList>
        <item>城乡基本公共服务均等化</item>
      </candidateList>
      <explain>词汇“城乡基本公共服务均等化”在特定场景下为固定表述形式，请确认此处的“城乡公共服务均等化”是否存在不当。</explain>
      <paraID>3DEFD573</paraID>
      <start>108</start>
      <end>119</end>
      <status>modified</status>
      <modifiedWord>城乡基本公共服务均等化</modifiedWord>
      <trackRevisions>false</trackRevisions>
    </reviewItem>
    <reviewItem>
      <errorID>ede85516-2d2e-4615-b054-704652cb92d7</errorID>
      <errorWord>反应</errorWord>
      <group>L1_Word</group>
      <groupName>字词问题</groupName>
      <ability>L2_Typo</ability>
      <abilityName>字词错误</abilityName>
      <candidateList>
        <item>反映</item>
      </candidateList>
      <explain>〈动〉❶反照，比喻把客观事物的实质表现出来：这部小说～了现实的生活和斗争。❷把情况、意见等告诉上级或有关部门：把情况～到县里｜他～的意见值得重视。❸通常指机体接受和回答客观事物影响的活动过程。</explain>
      <paraID> 77B7BBF</paraID>
      <start>47</start>
      <end>49</end>
      <status>modified</status>
      <modifiedWord>反映</modifiedWord>
      <trackRevisions>false</trackRevisions>
    </reviewItem>
    <reviewItem>
      <errorID>3d9b0673-2c87-41cb-bd57-009b13a5016c</errorID>
      <errorWord>循环公用</errorWord>
      <group>L1_Word</group>
      <groupName>字词问题</groupName>
      <ability>L2_Typo</ability>
      <abilityName>字词错误</abilityName>
      <candidateList>
        <item>循环共用</item>
      </candidateList>
      <explain/>
      <paraID>558D0C5E</paraID>
      <start>77</start>
      <end>81</end>
      <status>modified</status>
      <modifiedWord>循环共用</modifiedWord>
      <trackRevisions>false</trackRevisions>
    </reviewItem>
    <reviewItem>
      <errorID>a14ec47b-e93e-429a-be0c-669e7340e35d</errorID>
      <errorWord>亲清统一新型政商关系</errorWord>
      <group>L1_Political</group>
      <groupName>政治性问题</groupName>
      <ability>L2_Keyword</ability>
      <abilityName>固定表述</abilityName>
      <candidateList>
        <item>亲清统一的新型政商关系</item>
      </candidateList>
      <explain>词汇“亲清统一的新型政商关系”在特定场景下为固定表述形式，请确认此处的“亲清统一新型政商关系”是否存在不当。</explain>
      <paraID>17984CDA</paraID>
      <start>2</start>
      <end>13</end>
      <status>modified</status>
      <modifiedWord>亲清统一的新型政商关系</modifiedWord>
      <trackRevisions>false</trackRevisions>
    </reviewItem>
    <reviewItem>
      <errorID>b315506c-3635-4c32-9995-adf8c024e6d8</errorID>
      <errorWord>亲清统一新型政商关系</errorWord>
      <group>L1_Political</group>
      <groupName>政治性问题</groupName>
      <ability>L2_Keyword</ability>
      <abilityName>固定表述</abilityName>
      <candidateList>
        <item>亲清统一的新型政商关系</item>
      </candidateList>
      <explain>词汇“亲清统一的新型政商关系”在特定场景下为固定表述形式，请确认此处的“亲清统一新型政商关系”是否存在不当。</explain>
      <paraID>17984CDA</paraID>
      <start>87</start>
      <end>98</end>
      <status>modified</status>
      <modifiedWord>亲清统一的新型政商关系</modifiedWord>
      <trackRevisions>false</trackRevisions>
    </reviewItem>
    <reviewItem>
      <errorID>b2e200ba-8d4f-428b-8fe5-97a0cc0ccdcf</errorID>
      <errorWord>更加积极的宏观政策</errorWord>
      <group>L1_Political</group>
      <groupName>政治性问题</groupName>
      <ability>L2_Keyword</ability>
      <abilityName>固定表述</abilityName>
      <candidateList>
        <item>更加积极有为的宏观政策</item>
      </candidateList>
      <explain>词汇“更加积极有为的宏观政策”在特定场景下为固定表述形式，请确认此处的“更加积极的宏观政策”是否存在不当。</explain>
      <paraID>1D7FE011</paraID>
      <start>13</start>
      <end>24</end>
      <status>modified</status>
      <modifiedWord>更加积极有为的宏观政策</modifiedWord>
      <trackRevisions>false</trackRevisions>
    </reviewItem>
    <reviewItem>
      <errorID>15052291-5bc9-4c1c-8414-69f625371f27</errorID>
      <errorWord>原</errorWord>
      <group>L1_Word</group>
      <groupName>字词问题</groupName>
      <ability>L2_Typo</ability>
      <abilityName>字词错误</abilityName>
      <candidateList>
        <item>原材</item>
      </candidateList>
      <explain/>
      <paraID>10D14A61</paraID>
      <start>20</start>
      <end>22</end>
      <status>modified</status>
      <modifiedWord>原材</modifiedWord>
      <trackRevisions>false</trackRevisions>
    </reviewItem>
    <reviewItem>
      <errorID>4bba5cec-1c46-43ab-9331-19f2e8aa6a2d</errorID>
      <errorWord>-</errorWord>
      <group>L1_Format</group>
      <groupName>格式问题</groupName>
      <ability>L2_HalfPunc_CN</ability>
      <abilityName/>
      <candidateList>
        <item>－</item>
      </candidateList>
      <explain>文本全半角错误。</explain>
      <paraID>35A15CCA</paraID>
      <start>135</start>
      <end>136</end>
      <status>modified</status>
      <modifiedWord>－</modifiedWord>
      <trackRevisions>false</trackRevisions>
    </reviewItem>
    <reviewItem>
      <errorID>61c670a8-de72-4a10-943f-96b176ab9567</errorID>
      <errorWord>-</errorWord>
      <group>L1_Format</group>
      <groupName>格式问题</groupName>
      <ability>L2_HalfPunc_CN</ability>
      <abilityName/>
      <candidateList>
        <item>－</item>
      </candidateList>
      <explain>文本全半角错误。</explain>
      <paraID>35A15CCA</paraID>
      <start>140</start>
      <end>141</end>
      <status>modified</status>
      <modifiedWord>－</modifiedWord>
      <trackRevisions>false</trackRevisions>
    </reviewItem>
    <reviewItem>
      <errorID>6b532b8b-597b-40ce-8ac8-4cd0ff789db4</errorID>
      <errorWord>平急两用</errorWord>
      <group>L1_Political</group>
      <groupName>政治性问题</groupName>
      <ability>L2_Keyword</ability>
      <abilityName>固定表述</abilityName>
      <candidateList>
        <item>“平急两用”</item>
      </candidateList>
      <explain>注意检查当前固定表述标点是否使用规范。</explain>
      <paraID>1FA82EE9</paraID>
      <start>95</start>
      <end>101</end>
      <status>modified</status>
      <modifiedWord>“平急两用”</modifiedWord>
      <trackRevisions>false</trackRevisions>
    </reviewItem>
    <reviewItem>
      <errorID>05656af4-b404-4d34-b93e-e3fe7f076f6a</errorID>
      <errorWord>现代化物流体系</errorWord>
      <group>L1_Political</group>
      <groupName>政治性问题</groupName>
      <ability>L2_Keyword</ability>
      <abilityName>固定表述</abilityName>
      <candidateList>
        <item>现代物流体系</item>
      </candidateList>
      <explain>词汇“现代物流体系”在特定场景下为固定表述形式，请确认此处的“现代化物流体系”是否存在不当。</explain>
      <paraID> AB1C9BA</paraID>
      <start>71</start>
      <end>77</end>
      <status>modified</status>
      <modifiedWord>现代物流体系</modifiedWord>
      <trackRevisions>false</trackRevisions>
    </reviewItem>
    <reviewItem>
      <errorID>d0d19b65-0ebc-4a10-b9c0-26cee1676ce0</errorID>
      <errorWord>-</errorWord>
      <group>L1_Format</group>
      <groupName>格式问题</groupName>
      <ability>L2_HalfPunc_CN</ability>
      <abilityName/>
      <candidateList>
        <item>－</item>
      </candidateList>
      <explain>文本全半角错误。</explain>
      <paraID>49F874DC</paraID>
      <start>156</start>
      <end>157</end>
      <status>modified</status>
      <modifiedWord>－</modifiedWord>
      <trackRevisions>false</trackRevisions>
    </reviewItem>
    <reviewItem>
      <errorID>fd7aa762-5bb4-4631-8953-496909bfe56b</errorID>
      <errorWord>-</errorWord>
      <group>L1_Format</group>
      <groupName>格式问题</groupName>
      <ability>L2_HalfPunc_CN</ability>
      <abilityName/>
      <candidateList>
        <item>－</item>
      </candidateList>
      <explain>文本全半角错误。</explain>
      <paraID>49F874DC</paraID>
      <start>159</start>
      <end>160</end>
      <status>modified</status>
      <modifiedWord>－</modifiedWord>
      <trackRevisions>false</trackRevisions>
    </reviewItem>
    <reviewItem>
      <errorID>be952bb8-8172-45a2-8dc0-646b6dfba2c8</errorID>
      <errorWord>生物智造</errorWord>
      <group>L1_Political</group>
      <groupName>政治性问题</groupName>
      <ability>L2_Keyword</ability>
      <abilityName>固定表述</abilityName>
      <candidateList>
        <item>生物制造</item>
      </candidateList>
      <explain>词汇“生物制造”在特定场景下为固定表述形式，请确认此处的“生物智造”是否存在不当。</explain>
      <paraID>1D1034CC</paraID>
      <start>32</start>
      <end>36</end>
      <status>modified</status>
      <modifiedWord>生物制造</modifiedWord>
      <trackRevisions>false</trackRevisions>
    </reviewItem>
    <reviewItem>
      <errorID>40048e2a-d685-4c9e-80e3-689d4671fd2c</errorID>
      <errorWord>-</errorWord>
      <group>L1_Format</group>
      <groupName>格式问题</groupName>
      <ability>L2_HalfPunc_CN</ability>
      <abilityName/>
      <candidateList>
        <item>－</item>
      </candidateList>
      <explain>文本全半角错误。</explain>
      <paraID>33447775</paraID>
      <start>140</start>
      <end>141</end>
      <status>modified</status>
      <modifiedWord>－</modifiedWord>
      <trackRevisions>false</trackRevisions>
    </reviewItem>
    <reviewItem>
      <errorID>1235d34a-ee69-478c-a581-a0c187d2b714</errorID>
      <errorWord>-</errorWord>
      <group>L1_Format</group>
      <groupName>格式问题</groupName>
      <ability>L2_HalfPunc_CN</ability>
      <abilityName/>
      <candidateList>
        <item>－</item>
      </candidateList>
      <explain>文本全半角错误。</explain>
      <paraID>33447775</paraID>
      <start>143</start>
      <end>144</end>
      <status>modified</status>
      <modifiedWord>－</modifiedWord>
      <trackRevisions>false</trackRevisions>
    </reviewItem>
    <reviewItem>
      <errorID>732821dc-72e7-414d-84b0-e88e62f6b9e4</errorID>
      <errorWord>-</errorWord>
      <group>L1_Format</group>
      <groupName>格式问题</groupName>
      <ability>L2_HalfPunc_CN</ability>
      <abilityName/>
      <candidateList>
        <item>－</item>
      </candidateList>
      <explain>文本全半角错误。</explain>
      <paraID>33447775</paraID>
      <start>146</start>
      <end>147</end>
      <status>modified</status>
      <modifiedWord>－</modifiedWord>
      <trackRevisions>false</trackRevisions>
    </reviewItem>
    <reviewItem>
      <errorID>1b31c0df-9b63-4830-bc84-3ed607e8fcf6</errorID>
      <errorWord>(</errorWord>
      <group>L1_Format</group>
      <groupName>格式问题</groupName>
      <ability>L2_HalfPunc_CN</ability>
      <abilityName/>
      <candidateList>
        <item>（</item>
      </candidateList>
      <explain>文本全半角错误。</explain>
      <paraID>5A876568</paraID>
      <start>23</start>
      <end>24</end>
      <status>modified</status>
      <modifiedWord>（</modifiedWord>
      <trackRevisions>false</trackRevisions>
    </reviewItem>
    <reviewItem>
      <errorID>5c379e7c-6737-4e6c-a7b4-843f18bcc600</errorID>
      <errorWord>-</errorWord>
      <group>L1_Format</group>
      <groupName>格式问题</groupName>
      <ability>L2_HalfPunc_CN</ability>
      <abilityName/>
      <candidateList>
        <item>－</item>
      </candidateList>
      <explain>文本全半角错误。</explain>
      <paraID>5A876568</paraID>
      <start>27</start>
      <end>28</end>
      <status>modified</status>
      <modifiedWord>－</modifiedWord>
      <trackRevisions>false</trackRevisions>
    </reviewItem>
    <reviewItem>
      <errorID>449d010b-28e0-424b-98af-ebda71c419e6</errorID>
      <errorWord>)</errorWord>
      <group>L1_Format</group>
      <groupName>格式问题</groupName>
      <ability>L2_HalfPunc_CN</ability>
      <abilityName/>
      <candidateList>
        <item>）</item>
      </candidateList>
      <explain>文本全半角错误。</explain>
      <paraID>5A876568</paraID>
      <start>32</start>
      <end>33</end>
      <status>modified</status>
      <modifiedWord>）</modifiedWord>
      <trackRevisions>false</trackRevisions>
    </reviewItem>
    <reviewItem>
      <errorID>85a96a63-3396-460a-a0b3-182bebfc34d8</errorID>
      <errorWord>-</errorWord>
      <group>L1_Format</group>
      <groupName>格式问题</groupName>
      <ability>L2_HalfPunc_CN</ability>
      <abilityName/>
      <candidateList>
        <item>－</item>
      </candidateList>
      <explain>文本全半角错误。</explain>
      <paraID>1971FE32</paraID>
      <start>31</start>
      <end>32</end>
      <status>modified</status>
      <modifiedWord>－</modifiedWord>
      <trackRevisions>false</trackRevisions>
    </reviewItem>
    <reviewItem>
      <errorID>ebd6355d-21ba-4ae4-acc7-ca8c091565f4</errorID>
      <errorWord>-</errorWord>
      <group>L1_Format</group>
      <groupName>格式问题</groupName>
      <ability>L2_HalfPunc_CN</ability>
      <abilityName/>
      <candidateList>
        <item>－</item>
      </candidateList>
      <explain>文本全半角错误。</explain>
      <paraID>261F0AEF</paraID>
      <start>28</start>
      <end>29</end>
      <status>modified</status>
      <modifiedWord>－</modifiedWord>
      <trackRevisions>false</trackRevisions>
    </reviewItem>
    <reviewItem>
      <errorID>a5271b3f-4954-4785-8174-a993394989aa</errorID>
      <errorWord>-</errorWord>
      <group>L1_Format</group>
      <groupName>格式问题</groupName>
      <ability>L2_HalfPunc_CN</ability>
      <abilityName/>
      <candidateList>
        <item>－</item>
      </candidateList>
      <explain>文本全半角错误。</explain>
      <paraID>3B9C2C3C</paraID>
      <start>27</start>
      <end>28</end>
      <status>modified</status>
      <modifiedWord>－</modifiedWord>
      <trackRevisions>false</trackRevisions>
    </reviewItem>
    <reviewItem>
      <errorID>b137ea83-1ac3-4800-b30c-4dea21547b94</errorID>
      <errorWord>,</errorWord>
      <group>L1_Format</group>
      <groupName>格式问题</groupName>
      <ability>L2_HalfPunc_CN</ability>
      <abilityName/>
      <candidateList>
        <item>，</item>
      </candidateList>
      <explain>文本全半角错误。</explain>
      <paraID>6D5E9AC2</paraID>
      <start>25</start>
      <end>26</end>
      <status>modified</status>
      <modifiedWord>，</modifiedWord>
      <trackRevisions>false</trackRevisions>
    </reviewItem>
    <reviewItem>
      <errorID>eaccddfb-1e79-425f-8419-8dc9c8e34636</errorID>
      <errorWord>生态绿色一体化示范区</errorWord>
      <group>L1_Word</group>
      <groupName>字词问题</groupName>
      <ability>L2_Typo</ability>
      <abilityName>字词错误</abilityName>
      <candidateList>
        <item>生态绿色一体化发展示范区</item>
      </candidateList>
      <explain/>
      <paraID>75D5C076</paraID>
      <start>116</start>
      <end>128</end>
      <status>modified</status>
      <modifiedWord>生态绿色一体化发展示范区</modifiedWord>
      <trackRevisions>false</trackRevisions>
    </reviewItem>
    <reviewItem>
      <errorID>0fbe0f11-f50a-44d6-b8a6-3ecb97d400a0</errorID>
      <errorWord>高品质城市更新</errorWord>
      <group>L1_Political</group>
      <groupName>政治性问题</groupName>
      <ability>L2_Keyword</ability>
      <abilityName>固定表述</abilityName>
      <candidateList>
        <item>高质量城市更新</item>
      </candidateList>
      <explain>词汇“高质量城市更新”在特定场景下为固定表述形式，请确认此处的“高品质城市更新”是否存在不当。</explain>
      <paraID>75CF7B1E</paraID>
      <start>6</start>
      <end>13</end>
      <status>ignored</status>
      <modifiedWord/>
      <trackRevisions>false</trackRevisions>
    </reviewItem>
    <reviewItem>
      <errorID>9caa6cd1-b119-46f8-b80c-070b79593b16</errorID>
      <errorWord>平急两用</errorWord>
      <group>L1_Political</group>
      <groupName>政治性问题</groupName>
      <ability>L2_Keyword</ability>
      <abilityName>固定表述</abilityName>
      <candidateList>
        <item>“平急两用”</item>
      </candidateList>
      <explain>注意检查当前固定表述标点是否使用规范。</explain>
      <paraID> CE218FD</paraID>
      <start>47</start>
      <end>53</end>
      <status>modified</status>
      <modifiedWord>“平急两用”</modifiedWord>
      <trackRevisions>false</trackRevisions>
    </reviewItem>
    <reviewItem>
      <errorID>e2e77a67-f97d-48ac-8eb6-6e1a8a71659d</errorID>
      <errorWord>,</errorWord>
      <group>L1_Format</group>
      <groupName>格式问题</groupName>
      <ability>L2_HalfPunc_CN</ability>
      <abilityName/>
      <candidateList>
        <item>，</item>
      </candidateList>
      <explain>文本全半角错误。</explain>
      <paraID>619654BB</paraID>
      <start>330</start>
      <end>331</end>
      <status>modified</status>
      <modifiedWord>，</modifiedWord>
      <trackRevisions>false</trackRevisions>
    </reviewItem>
    <reviewItem>
      <errorID>ce0e3441-770d-498f-8481-2a37b2b7bc2a</errorID>
      <errorWord>,</errorWord>
      <group>L1_Format</group>
      <groupName>格式问题</groupName>
      <ability>L2_HalfPunc_CN</ability>
      <abilityName/>
      <candidateList>
        <item>，</item>
      </candidateList>
      <explain>文本全半角错误。</explain>
      <paraID> 564B9BE</paraID>
      <start>8</start>
      <end>9</end>
      <status>modified</status>
      <modifiedWord>，</modifiedWord>
      <trackRevisions>false</trackRevisions>
    </reviewItem>
    <reviewItem>
      <errorID>4006fed0-0a79-40a1-8de5-d5f4ec408f54</errorID>
      <errorWord>(</errorWord>
      <group>L1_Format</group>
      <groupName>格式问题</groupName>
      <ability>L2_HalfPunc_CN</ability>
      <abilityName/>
      <candidateList>
        <item>（</item>
      </candidateList>
      <explain>文本全半角错误。</explain>
      <paraID>4B95089E</paraID>
      <start>75</start>
      <end>76</end>
      <status>modified</status>
      <modifiedWord>（</modifiedWord>
      <trackRevisions>false</trackRevisions>
    </reviewItem>
    <reviewItem>
      <errorID>eaaf76d6-36cf-469e-b8b8-af72b3e1d515</errorID>
      <errorWord>)</errorWord>
      <group>L1_Format</group>
      <groupName>格式问题</groupName>
      <ability>L2_HalfPunc_CN</ability>
      <abilityName/>
      <candidateList>
        <item>）</item>
      </candidateList>
      <explain>文本全半角错误。</explain>
      <paraID>4B95089E</paraID>
      <start>83</start>
      <end>84</end>
      <status>modified</status>
      <modifiedWord>）</modifiedWord>
      <trackRevisions>false</trackRevisions>
    </reviewItem>
    <reviewItem>
      <errorID>f323b257-a589-4c6f-b389-2f36c1f36b5a</errorID>
      <errorWord>(</errorWord>
      <group>L1_Format</group>
      <groupName>格式问题</groupName>
      <ability>L2_HalfPunc_CN</ability>
      <abilityName/>
      <candidateList>
        <item>（</item>
      </candidateList>
      <explain>文本全半角错误。</explain>
      <paraID> E6C748C</paraID>
      <start>75</start>
      <end>76</end>
      <status>modified</status>
      <modifiedWord>（</modifiedWord>
      <trackRevisions>false</trackRevisions>
    </reviewItem>
    <reviewItem>
      <errorID>93873814-ccd3-4bfb-bc2f-10e77c8e460e</errorID>
      <errorWord>)</errorWord>
      <group>L1_Format</group>
      <groupName>格式问题</groupName>
      <ability>L2_HalfPunc_CN</ability>
      <abilityName/>
      <candidateList>
        <item>）</item>
      </candidateList>
      <explain>文本全半角错误。</explain>
      <paraID> E6C748C</paraID>
      <start>83</start>
      <end>84</end>
      <status>modified</status>
      <modifiedWord>）</modifiedWord>
      <trackRevisions>false</trackRevisions>
    </reviewItem>
    <reviewItem>
      <errorID>ca8f7cc8-982e-4ba0-b149-968ca376bb39</errorID>
      <errorWord>(</errorWord>
      <group>L1_Format</group>
      <groupName>格式问题</groupName>
      <ability>L2_HalfPunc_CN</ability>
      <abilityName/>
      <candidateList>
        <item>（</item>
      </candidateList>
      <explain>文本全半角错误。</explain>
      <paraID>7BA42AB6</paraID>
      <start>86</start>
      <end>87</end>
      <status>modified</status>
      <modifiedWord>（</modifiedWord>
      <trackRevisions>false</trackRevisions>
    </reviewItem>
    <reviewItem>
      <errorID>51657711-9c65-4f37-a4e4-76d82bb32f44</errorID>
      <errorWord>)</errorWord>
      <group>L1_Format</group>
      <groupName>格式问题</groupName>
      <ability>L2_HalfPunc_CN</ability>
      <abilityName/>
      <candidateList>
        <item>）</item>
      </candidateList>
      <explain>文本全半角错误。</explain>
      <paraID>7BA42AB6</paraID>
      <start>94</start>
      <end>95</end>
      <status>modified</status>
      <modifiedWord>）</modifiedWord>
      <trackRevisions>false</trackRevisions>
    </reviewItem>
    <reviewItem>
      <errorID>572a023a-7ae7-4994-8fe7-b32be3b0de94</errorID>
      <errorWord>群众体育和竞技体育发展</errorWord>
      <group>L1_Political</group>
      <groupName>政治性问题</groupName>
      <ability>L2_Keyword</ability>
      <abilityName>固定表述</abilityName>
      <candidateList>
        <item>群众体育和竞技体育全面发展</item>
      </candidateList>
      <explain>词汇“群众体育和竞技体育全面发展”在特定场景下为固定表述形式，请确认此处的“群众体育和竞技体育发展”是否存在不当。</explain>
      <paraID>1064B6C8</paraID>
      <start>20</start>
      <end>33</end>
      <status>modified</status>
      <modifiedWord>群众体育和竞技体育全面发展</modifiedWord>
      <trackRevisions>false</trackRevisions>
    </reviewItem>
    <reviewItem>
      <errorID>d1c1e2f1-1768-4a85-afd8-59366002a415</errorID>
      <errorWord>-</errorWord>
      <group>L1_Format</group>
      <groupName>格式问题</groupName>
      <ability>L2_HalfPunc_CN</ability>
      <abilityName/>
      <candidateList>
        <item>－</item>
      </candidateList>
      <explain>文本全半角错误。</explain>
      <paraID>1FCF4442</paraID>
      <start>59</start>
      <end>60</end>
      <status>modified</status>
      <modifiedWord>－</modifiedWord>
      <trackRevisions>false</trackRevisions>
    </reviewItem>
    <reviewItem>
      <errorID>e319c7a4-5b45-47d0-ac32-fc26e66c2046</errorID>
      <errorWord>-</errorWord>
      <group>L1_Format</group>
      <groupName>格式问题</groupName>
      <ability>L2_HalfPunc_CN</ability>
      <abilityName/>
      <candidateList>
        <item>－</item>
      </candidateList>
      <explain>文本全半角错误。</explain>
      <paraID>1FCF4442</paraID>
      <start>62</start>
      <end>63</end>
      <status>modified</status>
      <modifiedWord>－</modifiedWord>
      <trackRevisions>false</trackRevisions>
    </reviewItem>
    <reviewItem>
      <errorID>cfd0de80-7e5a-4a01-8f27-87736187633a</errorID>
      <errorWord>-</errorWord>
      <group>L1_Format</group>
      <groupName>格式问题</groupName>
      <ability>L2_HalfPunc_CN</ability>
      <abilityName/>
      <candidateList>
        <item>－</item>
      </candidateList>
      <explain>文本全半角错误。</explain>
      <paraID>1FCF4442</paraID>
      <start>65</start>
      <end>66</end>
      <status>modified</status>
      <modifiedWord>－</modifiedWord>
      <trackRevisions>false</trackRevisions>
    </reviewItem>
    <reviewItem>
      <errorID>28087cde-7184-46c7-b974-645b746448ec</errorID>
      <errorWord>财政转移支付结构</errorWord>
      <group>L1_Political</group>
      <groupName>政治性问题</groupName>
      <ability>L2_Keyword</ability>
      <abilityName>固定表述</abilityName>
      <candidateList>
        <item>财政转移支付体系</item>
      </candidateList>
      <explain>词汇“财政转移支付体系”在特定场景下为固定表述形式，请确认此处的“财政转移支付结构”是否存在不当。</explain>
      <paraID>7FDFC534</paraID>
      <start>60</start>
      <end>68</end>
      <status>modified</status>
      <modifiedWord>财政转移支付体系</modifiedWord>
      <trackRevisions>false</trackRevisions>
    </reviewItem>
    <reviewItem>
      <errorID>d71df3e9-603e-4fc0-bb3c-1ac1285178ef</errorID>
      <errorWord>幸福源于奋斗</errorWord>
      <group>L1_Political</group>
      <groupName>政治性问题</groupName>
      <ability>L2_Keyword</ability>
      <abilityName>固定表述</abilityName>
      <candidateList>
        <item>幸福源自奋斗</item>
      </candidateList>
      <explain>词汇“幸福源自奋斗”在特定场景下为固定表述形式，请确认此处的“幸福源于奋斗”是否存在不当。</explain>
      <paraID>72EC7A7C</paraID>
      <start>25</start>
      <end>31</end>
      <status>modified</status>
      <modifiedWord>幸福源自奋斗</modifiedWord>
      <trackRevisions>false</trackRevisions>
    </reviewItem>
    <reviewItem>
      <errorID>2cd39ebb-76e1-43a6-91a2-fe917d3f7f09</errorID>
      <errorWord>办好人民满意教育</errorWord>
      <group>L1_Political</group>
      <groupName>政治性问题</groupName>
      <ability>L2_Keyword</ability>
      <abilityName>固定表述</abilityName>
      <candidateList>
        <item>办好人民满意的教育</item>
      </candidateList>
      <explain>词汇“办好人民满意的教育”在特定场景下为固定表述形式，请确认此处的“办好人民满意教育”是否存在不当。</explain>
      <paraID>13988B1B</paraID>
      <start>7</start>
      <end>15</end>
      <status>ignored</status>
      <modifiedWord/>
      <trackRevisions>false</trackRevisions>
    </reviewItem>
    <reviewItem>
      <errorID>863be2af-ea73-455f-9d79-039506deedd5</errorID>
      <errorWord>“为党育人”“为国育才</errorWord>
      <group>L1_Political</group>
      <groupName>政治性问题</groupName>
      <ability>L2_Keyword</ability>
      <abilityName>固定表述</abilityName>
      <candidateList>
        <item>为党育人、为国育才</item>
      </candidateList>
      <explain>注意检查当前固定表述标点是否使用规范。</explain>
      <paraID>2C341322</paraID>
      <start>69</start>
      <end>78</end>
      <status>modified</status>
      <modifiedWord>为党育人、为国育才</modifiedWord>
      <trackRevisions>false</trackRevisions>
    </reviewItem>
    <reviewItem>
      <errorID>05f376db-d816-4dca-a6bb-a4895b98df8d</errorID>
      <errorWord>;</errorWord>
      <group>L1_Format</group>
      <groupName>格式问题</groupName>
      <ability>L2_HalfPunc_CN</ability>
      <abilityName/>
      <candidateList>
        <item>；</item>
      </candidateList>
      <explain>文本全半角错误。</explain>
      <paraID>401FA590</paraID>
      <start>84</start>
      <end>85</end>
      <status>modified</status>
      <modifiedWord>；</modifiedWord>
      <trackRevisions>false</trackRevisions>
    </reviewItem>
    <reviewItem>
      <errorID>646e809b-6bb4-4ade-befc-5a915f8e3da3</errorID>
      <errorWord>;</errorWord>
      <group>L1_Format</group>
      <groupName>格式问题</groupName>
      <ability>L2_HalfPunc_CN</ability>
      <abilityName/>
      <candidateList>
        <item>；</item>
      </candidateList>
      <explain>文本全半角错误。</explain>
      <paraID>401FA590</paraID>
      <start>141</start>
      <end>142</end>
      <status>modified</status>
      <modifiedWord>；</modifiedWord>
      <trackRevisions>false</trackRevisions>
    </reviewItem>
    <reviewItem>
      <errorID>4845d7b8-f262-41d3-90d1-aeac90a4c191</errorID>
      <errorWord>-</errorWord>
      <group>L1_Punc</group>
      <groupName>标点问题</groupName>
      <ability>L2_Punc_CN</ability>
      <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72D4278E</paraID>
      <start>160</start>
      <end>161</end>
      <status>modified</status>
      <modifiedWord>—</modifiedWord>
      <trackRevisions>false</trackRevisions>
    </reviewItem>
    <reviewItem>
      <errorID>8748ce12-0d50-4f05-b881-2ffa26f9b22e</errorID>
      <errorWord>至少200名市级以上</errorWord>
      <group>L1_Grammar</group>
      <groupName>语法问题</groupName>
      <ability>L2_Grammar</ability>
      <abilityName>语法错误</abilityName>
      <candidateList>
        <item>至少200名市级</item>
      </candidateList>
      <explain/>
      <paraID>72D4278E</paraID>
      <start>172</start>
      <end>180</end>
      <status>modified</status>
      <modifiedWord>至少200名市级</modifiedWord>
      <trackRevisions>false</trackRevisions>
    </reviewItem>
    <reviewItem>
      <errorID>8e45d6ac-f4fc-4ef3-94aa-6bb257299f7e</errorID>
      <errorWord>现代化职业教育体系</errorWord>
      <group>L1_Political</group>
      <groupName>政治性问题</groupName>
      <ability>L2_Keyword</ability>
      <abilityName>固定表述</abilityName>
      <candidateList>
        <item>现代职业教育体系</item>
      </candidateList>
      <explain>词汇“现代职业教育体系”在特定场景下为固定表述形式，请确认此处的“现代化职业教育体系”是否存在不当。</explain>
      <paraID>754C073D</paraID>
      <start>6</start>
      <end>14</end>
      <status>modified</status>
      <modifiedWord>现代职业教育体系</modifiedWord>
      <trackRevisions>false</trackRevisions>
    </reviewItem>
    <reviewItem>
      <errorID>1a6e2916-6eab-47fe-98c0-137fe28e20a3</errorID>
      <errorWord>法制化</errorWord>
      <group>L1_Political</group>
      <groupName>政治性问题</groupName>
      <ability>L2_Unpolitical</ability>
      <abilityName>政治敏感错误</abilityName>
      <candidateList>
        <item>法治化</item>
      </candidateList>
      <explain/>
      <paraID>6D0FD8C8</paraID>
      <start>204</start>
      <end>207</end>
      <status>modified</status>
      <modifiedWord>法治化</modifiedWord>
      <trackRevisions>false</trackRevisions>
    </reviewItem>
    <reviewItem>
      <errorID>4c298a92-54a2-4edf-a4ea-4787709daec4</errorID>
      <errorWord>“医疗卫生强基工程”</errorWord>
      <group>L1_Political</group>
      <groupName>政治性问题</groupName>
      <ability>L2_Keyword</ability>
      <abilityName>固定表述</abilityName>
      <candidateList>
        <item>医疗卫生“强基工程”</item>
      </candidateList>
      <explain>注意检查当前固定表述标点是否使用规范。</explain>
      <paraID> 83F9D06</paraID>
      <start>22</start>
      <end>32</end>
      <status>modified</status>
      <modifiedWord>医疗卫生“强基工程”</modifiedWord>
      <trackRevisions>false</trackRevisions>
    </reviewItem>
    <reviewItem>
      <errorID>6bb36cee-ef5d-4484-9736-2a792a624ec4</errorID>
      <errorWord>双规</errorWord>
      <group>L1_Word</group>
      <groupName>字词问题</groupName>
      <ability>L2_Typo</ability>
      <abilityName>字词错误</abilityName>
      <candidateList>
        <item>双轨</item>
      </candidateList>
      <explain>存在发音相同字词的误用。</explain>
      <paraID> 3E00481</paraID>
      <start>166</start>
      <end>168</end>
      <status>modified</status>
      <modifiedWord>双轨</modifiedWord>
      <trackRevisions>false</trackRevisions>
    </reviewItem>
    <reviewItem>
      <errorID>0915ae57-e6bf-46af-aa98-ac5cd8b02c2d</errorID>
      <errorWord>医疗卫生强基工程</errorWord>
      <group>L1_Political</group>
      <groupName>政治性问题</groupName>
      <ability>L2_Keyword</ability>
      <abilityName>固定表述</abilityName>
      <candidateList>
        <item>医疗卫生“强基工程”</item>
      </candidateList>
      <explain>注意检查当前固定表述标点是否使用规范。</explain>
      <paraID>425C5CA6</paraID>
      <start>83</start>
      <end>93</end>
      <status>modified</status>
      <modifiedWord>医疗卫生“强基工程”</modifiedWord>
      <trackRevisions>false</trackRevisions>
    </reviewItem>
    <reviewItem>
      <errorID>7424c745-7f9a-44f5-abb1-4c77b766d064</errorID>
      <errorWord>-</errorWord>
      <group>L1_Format</group>
      <groupName>格式问题</groupName>
      <ability>L2_HalfPunc_CN</ability>
      <abilityName/>
      <candidateList>
        <item>－</item>
      </candidateList>
      <explain>文本全半角错误。</explain>
      <paraID> 2032284</paraID>
      <start>89</start>
      <end>90</end>
      <status>modified</status>
      <modifiedWord>－</modifiedWord>
      <trackRevisions>false</trackRevisions>
    </reviewItem>
    <reviewItem>
      <errorID>90f4c553-152f-4eae-a4f3-09368fa4f0ea</errorID>
      <errorWord>-</errorWord>
      <group>L1_Format</group>
      <groupName>格式问题</groupName>
      <ability>L2_HalfPunc_CN</ability>
      <abilityName/>
      <candidateList>
        <item>－</item>
      </candidateList>
      <explain>文本全半角错误。</explain>
      <paraID> 2032284</paraID>
      <start>119</start>
      <end>120</end>
      <status>modified</status>
      <modifiedWord>－</modifiedWord>
      <trackRevisions>false</trackRevisions>
    </reviewItem>
    <reviewItem>
      <errorID>89b82be5-e1dc-4dfc-9bfd-2136f483d3b2</errorID>
      <errorWord>-</errorWord>
      <group>L1_Format</group>
      <groupName>格式问题</groupName>
      <ability>L2_HalfPunc_CN</ability>
      <abilityName/>
      <candidateList>
        <item>－</item>
      </candidateList>
      <explain>文本全半角错误。</explain>
      <paraID> 2032284</paraID>
      <start>122</start>
      <end>123</end>
      <status>modified</status>
      <modifiedWord>－</modifiedWord>
      <trackRevisions>false</trackRevisions>
    </reviewItem>
    <reviewItem>
      <errorID>3672d62f-bf7b-4af7-bee8-c742d8f755a9</errorID>
      <errorWord>慢病</errorWord>
      <group>L1_Word</group>
      <groupName>字词问题</groupName>
      <ability>L2_Typo</ability>
      <abilityName>字词错误</abilityName>
      <candidateList>
        <item>慢性病</item>
      </candidateList>
      <explain/>
      <paraID>13BEEB42</paraID>
      <start>84</start>
      <end>87</end>
      <status>modified</status>
      <modifiedWord>慢性病</modifiedWord>
      <trackRevisions>false</trackRevisions>
    </reviewItem>
    <reviewItem>
      <errorID>6ee19d42-e54d-4301-a111-322ac359b297</errorID>
      <errorWord>-</errorWord>
      <group>L1_Format</group>
      <groupName>格式问题</groupName>
      <ability>L2_HalfPunc_CN</ability>
      <abilityName/>
      <candidateList>
        <item>－</item>
      </candidateList>
      <explain>文本全半角错误。</explain>
      <paraID>5670F34C</paraID>
      <start>24</start>
      <end>25</end>
      <status>modified</status>
      <modifiedWord>－</modifiedWord>
      <trackRevisions>false</trackRevisions>
    </reviewItem>
    <reviewItem>
      <errorID>0450b13b-c6ff-4189-8d7c-b7a4f9a4b08c</errorID>
      <errorWord>-</errorWord>
      <group>L1_Format</group>
      <groupName>格式问题</groupName>
      <ability>L2_HalfPunc_CN</ability>
      <abilityName/>
      <candidateList>
        <item>－</item>
      </candidateList>
      <explain>文本全半角错误。</explain>
      <paraID>5670F34C</paraID>
      <start>30</start>
      <end>31</end>
      <status>modified</status>
      <modifiedWord>－</modifiedWord>
      <trackRevisions>false</trackRevisions>
    </reviewItem>
    <reviewItem>
      <errorID>111ddea4-d857-471b-9a4a-c6496e21f3f4</errorID>
      <errorWord>2-3个</errorWord>
      <group>L1_Punc</group>
      <groupName>标点问题</groupName>
      <ability>L2_Punc_CN</ability>
      <abilityName/>
      <candidateList>
        <item>2～3个</item>
      </candidateList>
      <explain/>
      <paraID>1035174A</paraID>
      <start>65</start>
      <end>69</end>
      <status>modified</status>
      <modifiedWord>2～3个</modifiedWord>
      <trackRevisions>false</trackRevisions>
    </reviewItem>
    <reviewItem>
      <errorID>e0536fbf-70f0-46e0-907b-86b1668b02c7</errorID>
      <errorWord>-</errorWord>
      <group>L1_Punc</group>
      <groupName>标点问题</groupName>
      <ability>L2_Punc_CN</ability>
      <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6226A0B1</paraID>
      <start>109</start>
      <end>110</end>
      <status>modified</status>
      <modifiedWord>—</modifiedWord>
      <trackRevisions>false</trackRevisions>
    </reviewItem>
    <reviewItem>
      <errorID>9d21e4a8-15e9-4c4d-a7ee-bf3be7e225ab</errorID>
      <errorWord>综合养老服务</errorWord>
      <group>L1_Political</group>
      <groupName>政治性问题</groupName>
      <ability>L2_Keyword</ability>
      <abilityName>固定表述</abilityName>
      <candidateList>
        <item>综合为老服务</item>
      </candidateList>
      <explain>词汇“综合为老服务”在特定场景下为固定表述形式，请确认此处的“综合养老服务”是否存在不当。</explain>
      <paraID>39679865</paraID>
      <start>46</start>
      <end>52</end>
      <status>ignored</status>
      <modifiedWord/>
      <trackRevisions>false</trackRevisions>
    </reviewItem>
    <reviewItem>
      <errorID>0f1b6b7c-26e2-4554-aa94-d463827425a3</errorID>
      <errorWord>养老与托育服务</errorWord>
      <group>L1_Political</group>
      <groupName>政治性问题</groupName>
      <ability>L2_Keyword</ability>
      <abilityName>固定表述</abilityName>
      <candidateList>
        <item>养老托育服务</item>
      </candidateList>
      <explain>词汇“养老托育服务”在特定场景下为固定表述形式，请确认此处的“养老与托育服务”是否存在不当。</explain>
      <paraID>39F49576</paraID>
      <start>5</start>
      <end>11</end>
      <status>modified</status>
      <modifiedWord>养老托育服务</modifiedWord>
      <trackRevisions>false</trackRevisions>
    </reviewItem>
    <reviewItem>
      <errorID>9c4195e0-0534-4358-9a18-d716c0cda8a0</errorID>
      <errorWord>2-3个</errorWord>
      <group>L1_Punc</group>
      <groupName>标点问题</groupName>
      <ability>L2_Punc_CN</ability>
      <abilityName/>
      <candidateList>
        <item>2～3个</item>
      </candidateList>
      <explain/>
      <paraID>39F49576</paraID>
      <start>31</start>
      <end>35</end>
      <status>modified</status>
      <modifiedWord>2～3个</modifiedWord>
      <trackRevisions>false</trackRevisions>
    </reviewItem>
    <reviewItem>
      <errorID>efc2d74e-db5f-41f4-b503-3d2cf003d134</errorID>
      <errorWord>理</errorWord>
      <group>L1_Word</group>
      <groupName>字词问题</groupName>
      <ability>L2_Typo</ability>
      <abilityName>字词错误</abilityName>
      <candidateList>
        <item>理厂</item>
      </candidateList>
      <explain/>
      <paraID> 151FD9E</paraID>
      <start>54</start>
      <end>56</end>
      <status>modified</status>
      <modifiedWord>理厂</modifiedWord>
      <trackRevisions>false</trackRevisions>
    </reviewItem>
    <reviewItem>
      <errorID>8c07f4b3-daa7-4912-9463-c4256847404f</errorID>
      <errorWord>-</errorWord>
      <group>L1_Format</group>
      <groupName>格式问题</groupName>
      <ability>L2_HalfPunc_CN</ability>
      <abilityName/>
      <candidateList>
        <item>－</item>
      </candidateList>
      <explain>文本全半角错误。</explain>
      <paraID>614CAAE5</paraID>
      <start>188</start>
      <end>189</end>
      <status>modified</status>
      <modifiedWord>－</modifiedWord>
      <trackRevisions>false</trackRevisions>
    </reviewItem>
    <reviewItem>
      <errorID>be77d8fe-8544-42cd-8c28-3f3703671faf</errorID>
      <errorWord>-</errorWord>
      <group>L1_Format</group>
      <groupName>格式问题</groupName>
      <ability>L2_HalfPunc_CN</ability>
      <abilityName/>
      <candidateList>
        <item>－</item>
      </candidateList>
      <explain>文本全半角错误。</explain>
      <paraID>614CAAE5</paraID>
      <start>191</start>
      <end>192</end>
      <status>modified</status>
      <modifiedWord>－</modifiedWord>
      <trackRevisions>false</trackRevisions>
    </reviewItem>
    <reviewItem>
      <errorID>3366630e-7086-441a-a3b4-32ed38b50713</errorID>
      <errorWord>历史遗留矿山生态修复</errorWord>
      <group>L1_Political</group>
      <groupName>政治性问题</groupName>
      <ability>L2_Keyword</ability>
      <abilityName>固定表述</abilityName>
      <candidateList>
        <item>历史遗留废弃矿山生态修复</item>
      </candidateList>
      <explain>词汇“历史遗留废弃矿山生态修复”在特定场景下为固定表述形式，请确认此处的“历史遗留矿山生态修复”是否存在不当。</explain>
      <paraID>2BFD190A</paraID>
      <start>259</start>
      <end>271</end>
      <status>modified</status>
      <modifiedWord>历史遗留废弃矿山生态修复</modifiedWord>
      <trackRevisions>false</trackRevisions>
    </reviewItem>
    <reviewItem>
      <errorID>40344d44-33e6-46a1-9e9f-33e42354bc19</errorID>
      <errorWord>历史遗留矿山生态修复</errorWord>
      <group>L1_Political</group>
      <groupName>政治性问题</groupName>
      <ability>L2_Keyword</ability>
      <abilityName>固定表述</abilityName>
      <candidateList>
        <item>历史遗留废弃矿山生态修复</item>
      </candidateList>
      <explain>词汇“历史遗留废弃矿山生态修复”在特定场景下为固定表述形式，请确认此处的“历史遗留矿山生态修复”是否存在不当。</explain>
      <paraID>2BFD190A</paraID>
      <start>345</start>
      <end>357</end>
      <status>modified</status>
      <modifiedWord>历史遗留废弃矿山生态修复</modifiedWord>
      <trackRevisions>false</trackRevisions>
    </reviewItem>
    <reviewItem>
      <errorID>098f98fe-7a87-4a9d-a68a-af064da992b1</errorID>
      <errorWord>历史遗留矿山生态修复</errorWord>
      <group>L1_Political</group>
      <groupName>政治性问题</groupName>
      <ability>L2_Keyword</ability>
      <abilityName>固定表述</abilityName>
      <candidateList>
        <item>历史遗留废弃矿山生态修复</item>
      </candidateList>
      <explain>词汇“历史遗留废弃矿山生态修复”在特定场景下为固定表述形式，请确认此处的“历史遗留矿山生态修复”是否存在不当。</explain>
      <paraID>69A12466</paraID>
      <start>56</start>
      <end>68</end>
      <status>modified</status>
      <modifiedWord>历史遗留废弃矿山生态修复</modifiedWord>
      <trackRevisions>false</trackRevisions>
    </reviewItem>
    <reviewItem>
      <errorID>80383552-a129-4667-888e-61f6dcfcb914</errorID>
      <errorWord>-</errorWord>
      <group>L1_Format</group>
      <groupName>格式问题</groupName>
      <ability>L2_HalfPunc_CN</ability>
      <abilityName/>
      <candidateList>
        <item>－</item>
      </candidateList>
      <explain>文本全半角错误。</explain>
      <paraID>1FF60FCA</paraID>
      <start>63</start>
      <end>64</end>
      <status>modified</status>
      <modifiedWord>－</modifiedWord>
      <trackRevisions>false</trackRevisions>
    </reviewItem>
    <reviewItem>
      <errorID>0fb0cb05-f2c6-4583-bc2c-2b5ae51328a6</errorID>
      <errorWord>-</errorWord>
      <group>L1_Format</group>
      <groupName>格式问题</groupName>
      <ability>L2_HalfPunc_CN</ability>
      <abilityName/>
      <candidateList>
        <item>－</item>
      </candidateList>
      <explain>文本全半角错误。</explain>
      <paraID>1FF60FCA</paraID>
      <start>66</start>
      <end>67</end>
      <status>modified</status>
      <modifiedWord>－</modifiedWord>
      <trackRevisions>false</trackRevisions>
    </reviewItem>
    <reviewItem>
      <errorID>35ed24bc-5d7c-422b-b8ab-0f7b5b1d3e33</errorID>
      <errorWord>-</errorWord>
      <group>L1_Punc</group>
      <groupName>标点问题</groupName>
      <ability>L2_Punc_CN</ability>
      <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148092F5</paraID>
      <start>66</start>
      <end>67</end>
      <status>modified</status>
      <modifiedWord>—</modifiedWord>
      <trackRevisions>false</trackRevisions>
    </reviewItem>
    <reviewItem>
      <errorID>4502ed9b-7e80-4319-8382-5c267a13dc6b</errorID>
      <errorWord>约6000吨左右</errorWord>
      <group>L1_Word</group>
      <groupName>字词问题</groupName>
      <ability>L2_Typo</ability>
      <abilityName>字词错误</abilityName>
      <candidateList>
        <item>约6000吨</item>
      </candidateList>
      <explain/>
      <paraID>148092F5</paraID>
      <start>85</start>
      <end>91</end>
      <status>modified</status>
      <modifiedWord>约6000吨</modifiedWord>
      <trackRevisions>false</trackRevisions>
    </reviewItem>
    <reviewItem>
      <errorID>9560283e-887e-42ae-82d4-0d2c027fda61</errorID>
      <errorWord>-</errorWord>
      <group>L1_Punc</group>
      <groupName>标点问题</groupName>
      <ability>L2_Punc_CN</ability>
      <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148092F5</paraID>
      <start>153</start>
      <end>154</end>
      <status>modified</status>
      <modifiedWord>—</modifiedWord>
      <trackRevisions>false</trackRevisions>
    </reviewItem>
    <reviewItem>
      <errorID>10d66205-5688-4434-9194-2da0a2d328e2</errorID>
      <errorWord>(</errorWord>
      <group>L1_Format</group>
      <groupName>格式问题</groupName>
      <ability>L2_HalfPunc_CN</ability>
      <abilityName/>
      <candidateList>
        <item>（</item>
      </candidateList>
      <explain>文本全半角错误。</explain>
      <paraID>77EFE806</paraID>
      <start>64</start>
      <end>65</end>
      <status>modified</status>
      <modifiedWord>（</modifiedWord>
      <trackRevisions>false</trackRevisions>
    </reviewItem>
    <reviewItem>
      <errorID>7fcf577b-479f-462b-b71a-a870bf1e92bf</errorID>
      <errorWord>)</errorWord>
      <group>L1_Format</group>
      <groupName>格式问题</groupName>
      <ability>L2_HalfPunc_CN</ability>
      <abilityName/>
      <candidateList>
        <item>）</item>
      </candidateList>
      <explain>文本全半角错误。</explain>
      <paraID>77EFE806</paraID>
      <start>66</start>
      <end>67</end>
      <status>modified</status>
      <modifiedWord>）</modifiedWord>
      <trackRevisions>false</trackRevisions>
    </reviewItem>
    <reviewItem>
      <errorID>be310d70-ceb7-45bf-ac89-08960129ab72</errorID>
      <errorWord>平急两用</errorWord>
      <group>L1_Political</group>
      <groupName>政治性问题</groupName>
      <ability>L2_Keyword</ability>
      <abilityName>固定表述</abilityName>
      <candidateList>
        <item>‘平急两用’</item>
      </candidateList>
      <explain>注意检查当前固定表述标点是否使用规范。</explain>
      <paraID>283799F0</paraID>
      <start>267</start>
      <end>273</end>
      <status>modified</status>
      <modifiedWord>‘平急两用’</modifiedWord>
      <trackRevisions>false</trackRevisions>
    </reviewItem>
    <reviewItem>
      <errorID>4d780ebd-b6c0-45cf-85b4-bbe8d11e484f</errorID>
      <errorWord>建设人人有责、人人尽责、人人享有的基层治理共同体</errorWord>
      <group>L1_Political</group>
      <groupName>政治性问题</groupName>
      <ability>L2_Keyword</ability>
      <abilityName>固定表述</abilityName>
      <candidateList>
        <item>建设人人有责、人人尽责、人人享有的社会治理共同体</item>
      </candidateList>
      <explain>词汇“建设人人有责、人人尽责、人人享有的社会治理共同体”在特定场景下为固定表述形式，请确认此处的“建设人人有责、人人尽责、人人享有的基层治理共同体”是否存在不当。</explain>
      <paraID>3B22BE62</paraID>
      <start>378</start>
      <end>402</end>
      <status>modified</status>
      <modifiedWord>建设人人有责、人人尽责、人人享有的社会治理共同体</modifiedWord>
      <trackRevisions>false</trackRevisions>
    </reviewItem>
    <reviewItem>
      <errorID>cfe24c76-d95b-42f4-9354-73701de22036</errorID>
      <errorWord>法治富锦、法治政府、法治社会一体建设</errorWord>
      <group>L1_Political</group>
      <groupName>政治性问题</groupName>
      <ability>L2_Keyword</ability>
      <abilityName>固定表述</abilityName>
      <candidateList>
        <item>法治国家、法治政府、法治社会一体建设</item>
      </candidateList>
      <explain>词汇“法治国家、法治政府、法治社会一体建设”在特定场景下为固定表述形式，请确认此处的“法治富锦、法治政府、法治社会一体建设”是否存在不当。</explain>
      <paraID>4C59CBCA</paraID>
      <start>22</start>
      <end>40</end>
      <status>modified</status>
      <modifiedWord>法治国家、法治政府、法治社会一体建设</modifiedWord>
      <trackRevisions>false</trackRevisions>
    </reviewItem>
    <reviewItem>
      <errorID>39a09ab6-1721-4b9c-996d-67ad4f72ed4e</errorID>
      <errorWord>强</errorWord>
      <group>L1_Word</group>
      <groupName>字词问题</groupName>
      <ability>L2_Typo</ability>
      <abilityName>字词错误</abilityName>
      <candidateList>
        <item>强对</item>
      </candidateList>
      <explain/>
      <paraID>4C59CBCA</paraID>
      <start>306</start>
      <end>308</end>
      <status>modified</status>
      <modifiedWord>强对</modifiedWord>
      <trackRevisions>false</trackRevisions>
    </reviewItem>
    <reviewItem>
      <errorID>fcc4a467-e00e-4897-99e0-aed1e2723bea</errorID>
      <errorWord>全面</errorWord>
      <group>L1_Word</group>
      <groupName>字词问题</groupName>
      <ability>L2_Typo</ability>
      <abilityName>字词错误</abilityName>
      <candidateList>
        <item>全民</item>
      </candidateList>
      <explain>存在发音相近字词的误用。</explain>
      <paraID>4C59CBCA</paraID>
      <start>332</start>
      <end>334</end>
      <status>modified</status>
      <modifiedWord>全民</modifiedWord>
      <trackRevisions>false</trackRevisions>
    </reviewItem>
    <reviewItem>
      <errorID>d61e1022-26ea-4af1-801e-4677f799e2ed</errorID>
      <errorWord>优点</errorWord>
      <group>L1_Word</group>
      <groupName>字词问题</groupName>
      <ability>L2_Typo</ability>
      <abilityName>字词错误</abilityName>
      <candidateList>
        <item>优化</item>
      </candidateList>
      <explain/>
      <paraID>331CB024</paraID>
      <start>69</start>
      <end>71</end>
      <status>modified</status>
      <modifiedWord>优化</modifiedWord>
      <trackRevisions>false</trackRevisions>
    </reviewItem>
    <reviewItem>
      <errorID>103e85dc-1d34-467f-92f5-4f1282575f68</errorID>
      <errorWord>办公用房室</errorWord>
      <group>L1_Word</group>
      <groupName>字词问题</groupName>
      <ability>L2_Typo</ability>
      <abilityName>字词错误</abilityName>
      <candidateList>
        <item>办公用房</item>
      </candidateList>
      <explain/>
      <paraID>106142EC</paraID>
      <start>143</start>
      <end>147</end>
      <status>modified</status>
      <modifiedWord>办公用房</modifiedWord>
      <trackRevisions>false</trackRevisions>
    </reviewItem>
    <reviewItem>
      <errorID>f705db78-4f03-424b-9856-2fedde1a6d3d</errorID>
      <errorWord>持之以恒推动全面从严治党</errorWord>
      <group>L1_Political</group>
      <groupName>政治性问题</groupName>
      <ability>L2_Keyword</ability>
      <abilityName>固定表述</abilityName>
      <candidateList>
        <item>持之以恒推进全面从严治党</item>
      </candidateList>
      <explain>词汇“持之以恒推进全面从严治党”在特定场景下为固定表述形式，请确认此处的“持之以恒推动全面从严治党”是否存在不当。</explain>
      <paraID>4CAC85CC</paraID>
      <start>0</start>
      <end>12</end>
      <status>modified</status>
      <modifiedWord>持之以恒推进全面从严治党</modifiedWord>
      <trackRevisions>false</trackRevisions>
    </reviewItem>
    <reviewItem>
      <errorID>5524d774-6948-412e-b0b2-23879ebc81b5</errorID>
      <errorWord>健全全面从严治党组织</errorWord>
      <group>L1_Political</group>
      <groupName>政治性问题</groupName>
      <ability>L2_Keyword</ability>
      <abilityName>固定表述</abilityName>
      <candidateList>
        <item>健全全面从严治党体系</item>
      </candidateList>
      <explain>词汇“健全全面从严治党体系”在特定场景下为固定表述形式，请确认此处的“健全全面从严治党组织”是否存在不当。</explain>
      <paraID>4CAC85CC</paraID>
      <start>53</start>
      <end>63</end>
      <status>modified</status>
      <modifiedWord>健全全面从严治党体系</modifiedWord>
      <trackRevisions>false</trackRevisions>
    </reviewItem>
    <reviewItem>
      <errorID>97fc48ac-7925-4350-9af5-3f998911ef30</errorID>
      <errorWord>战略新兴产业</errorWord>
      <group>L1_Political</group>
      <groupName>政治性问题</groupName>
      <ability>L2_Keyword</ability>
      <abilityName>固定表述</abilityName>
      <candidateList>
        <item>战略性新兴产业</item>
      </candidateList>
      <explain>词汇“战略性新兴产业”在特定场景下为固定表述形式，请确认此处的“战略新兴产业”是否存在不当。</explain>
      <paraID>3AAF7474</paraID>
      <start>0</start>
      <end>7</end>
      <status>modified</status>
      <modifiedWord>战略性新兴产业</modifiedWord>
      <trackRevisions>false</trackRevisions>
    </reviewItem>
    <reviewItem>
      <errorID>9f5b5305-7ad8-4290-8d2f-e0d8ea07c74e</errorID>
      <errorWord>战略新兴产业</errorWord>
      <group>L1_Political</group>
      <groupName>政治性问题</groupName>
      <ability>L2_Keyword</ability>
      <abilityName>固定表述</abilityName>
      <candidateList>
        <item>战略性新兴产业</item>
      </candidateList>
      <explain>词汇“战略性新兴产业”在特定场景下为固定表述形式，请确认此处的“战略新兴产业”是否存在不当。</explain>
      <paraID>2390FCF3</paraID>
      <start>0</start>
      <end>7</end>
      <status>modified</status>
      <modifiedWord>战略性新兴产业</modifiedWord>
      <trackRevisions>false</trackRevisions>
    </reviewItem>
    <reviewItem>
      <errorID>f0a19599-7de0-437a-85f2-69ece5e5ec0c</errorID>
      <errorWord>-</errorWord>
      <group>L1_Format</group>
      <groupName>格式问题</groupName>
      <ability>L2_HalfPunc_CN</ability>
      <abilityName/>
      <candidateList>
        <item>－</item>
      </candidateList>
      <explain>文本全半角错误。</explain>
      <paraID>433F5FAB</paraID>
      <start>38</start>
      <end>39</end>
      <status>modified</status>
      <modifiedWord>－</modifiedWord>
      <trackRevisions>false</trackRevisions>
    </reviewItem>
    <reviewItem>
      <errorID>d96ff671-8e6a-4d00-880e-760cfce1bcae</errorID>
      <errorWord>-</errorWord>
      <group>L1_Format</group>
      <groupName>格式问题</groupName>
      <ability>L2_HalfPunc_CN</ability>
      <abilityName/>
      <candidateList>
        <item>－</item>
      </candidateList>
      <explain>文本全半角错误。</explain>
      <paraID>433F5FAB</paraID>
      <start>41</start>
      <end>42</end>
      <status>modified</status>
      <modifiedWord>－</modifiedWord>
      <trackRevisions>false</trackRevisions>
    </reviewItem>
    <reviewItem>
      <errorID>32a4ab27-3111-4cf4-adf2-9b4d19556cf8</errorID>
      <errorWord>3000-4000万</errorWord>
      <group>L1_Knowledge</group>
      <groupName>知识性问题</groupName>
      <ability>L2_Knowledge</ability>
      <abilityName>其他知识</abilityName>
      <candidateList>
        <item>3000万—4000万</item>
      </candidateList>
      <explain>1. “3000-4000万”中的单位“万”仅出现在后一个数字上，容易引起歧义；根据《现代汉语标点符号数字用法规范手册》，数字表示范围两边需要使用统一的格式。2.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61D9E98F</paraID>
      <start>0</start>
      <end>11</end>
      <status>modified</status>
      <modifiedWord>3000万—4000万</modifiedWord>
      <trackRevisions>false</trackRevisions>
    </reviewItem>
    <reviewItem>
      <errorID>680f5512-cec8-46ef-9cf3-fcfa4f00b7f5</errorID>
      <errorWord>万</errorWord>
      <group>L1_Word</group>
      <groupName>字词问题</groupName>
      <ability>L2_Typo</ability>
      <abilityName>字词错误</abilityName>
      <candidateList>
        <item>万元</item>
      </candidateList>
      <explain/>
      <paraID> 1B3A8D4</paraID>
      <start>36</start>
      <end>38</end>
      <status>modified</status>
      <modifiedWord>万元</modifiedWord>
      <trackRevisions>false</trackRevisions>
    </reviewItem>
    <reviewItem>
      <errorID>1e6820ba-6d5b-4900-8339-8424d32fa8e6</errorID>
      <errorWord>2000万-8000万</errorWord>
      <group>L1_Knowledge</group>
      <groupName>知识性问题</groupName>
      <ability>L2_Knowledge</ability>
      <abilityName>其他知识</abilityName>
      <candidateList>
        <item>2000万—8000万</item>
      </candidateList>
      <explain>1. “2000万-8000万”中的单位“万”仅出现在后一个数字上，容易引起歧义；根据《现代汉语标点符号数字用法规范手册》，数字表示范围两边需要使用统一的格式。2.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6DE5422E</paraID>
      <start>0</start>
      <end>11</end>
      <status>modified</status>
      <modifiedWord>2000万—8000万</modifiedWord>
      <trackRevisions>false</trackRevisions>
    </reviewItem>
    <reviewItem>
      <errorID>c860430c-a1f5-4ea1-8c24-cdcfcb1b6794</errorID>
      <errorWord>亿</errorWord>
      <group>L1_Word</group>
      <groupName>字词问题</groupName>
      <ability>L2_Typo</ability>
      <abilityName>字词错误</abilityName>
      <candidateList>
        <item>亿元</item>
      </candidateList>
      <explain/>
      <paraID>6F6E5B0B</paraID>
      <start>6</start>
      <end>8</end>
      <status>modified</status>
      <modifiedWord>亿元</modifiedWord>
      <trackRevisions>false</trackRevisions>
    </reviewItem>
    <reviewItem>
      <errorID>bbeb010a-a746-4791-8984-407665f386a6</errorID>
      <errorWord>1000万-5000万</errorWord>
      <group>L1_Knowledge</group>
      <groupName>知识性问题</groupName>
      <ability>L2_Knowledge</ability>
      <abilityName>其他知识</abilityName>
      <candidateList>
        <item>1000万—5000万</item>
      </candidateList>
      <explain>1. “1000万-5000万”中的单位“万”仅出现在后一个数字上，容易引起歧义；根据《现代汉语标点符号数字用法规范手册》，数字表示范围两边需要使用统一的格式。2.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2BF24198</paraID>
      <start>0</start>
      <end>11</end>
      <status>modified</status>
      <modifiedWord>1000万—5000万</modifiedWord>
      <trackRevisions>false</trackRevisions>
    </reviewItem>
    <reviewItem>
      <errorID>d7c0232b-1673-4abd-b903-dc905ed9e5ce</errorID>
      <errorWord>100万-700万</errorWord>
      <group>L1_Knowledge</group>
      <groupName>知识性问题</groupName>
      <ability>L2_Knowledge</ability>
      <abilityName>其他知识</abilityName>
      <candidateList>
        <item>100万—700万</item>
      </candidateList>
      <explain>1. “100万-700万”中的单位“万”仅出现在后一个数字上，容易引起歧义；根据《现代汉语标点符号数字用法规范手册》，数字表示范围两边需要使用统一的格式。2.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5F716B23</paraID>
      <start>0</start>
      <end>9</end>
      <status>modified</status>
      <modifiedWord>100万—700万</modifiedWord>
      <trackRevisions>false</trackRevisions>
    </reviewItem>
    <reviewItem>
      <errorID>9f9c60a7-2779-4ab9-8970-a79165203e4e</errorID>
      <errorWord>2000万-5000万</errorWord>
      <group>L1_Knowledge</group>
      <groupName>知识性问题</groupName>
      <ability>L2_Knowledge</ability>
      <abilityName>其他知识</abilityName>
      <candidateList>
        <item>2000万—5000万</item>
      </candidateList>
      <explain>1. “2000万-5000万”中的单位“万”仅出现在后一个数字上，容易引起歧义；根据《现代汉语标点符号数字用法规范手册》，数字表示范围两边需要使用统一的格式。2.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 1545AD7</paraID>
      <start>0</start>
      <end>11</end>
      <status>modified</status>
      <modifiedWord>2000万—5000万</modifiedWord>
      <trackRevisions>false</trackRevisions>
    </reviewItem>
    <reviewItem>
      <errorID>4b079db5-e9bb-4e6a-b0cd-7a75d01a3c6c</errorID>
      <errorWord>2000万-5000万</errorWord>
      <group>L1_Knowledge</group>
      <groupName>知识性问题</groupName>
      <ability>L2_Knowledge</ability>
      <abilityName>其他知识</abilityName>
      <candidateList>
        <item>2000万—5000万</item>
      </candidateList>
      <explain>1. “2000万-5000万”中的单位“万”仅出现在后一个数字上，容易引起歧义；根据《现代汉语标点符号数字用法规范手册》，数字表示范围两边需要使用统一的格式。2.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6DEACD88</paraID>
      <start>0</start>
      <end>11</end>
      <status>modified</status>
      <modifiedWord>2000万—5000万</modifiedWord>
      <trackRevisions>false</trackRevisions>
    </reviewItem>
    <reviewItem>
      <errorID>228fdfff-140d-4e9d-a2ff-1c3f812a3663</errorID>
      <errorWord>100万-500万</errorWord>
      <group>L1_Knowledge</group>
      <groupName>知识性问题</groupName>
      <ability>L2_Knowledge</ability>
      <abilityName>其他知识</abilityName>
      <candidateList>
        <item>100万—500万</item>
      </candidateList>
      <explain>1. “100万-500万”中的单位“万”仅出现在后一个数字上，容易引起歧义；根据《现代汉语标点符号数字用法规范手册》，数字表示范围两边需要使用统一的格式。2.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  67F6D1</paraID>
      <start>0</start>
      <end>9</end>
      <status>modified</status>
      <modifiedWord>100万—500万</modifiedWord>
      <trackRevisions>false</trackRevisions>
    </reviewItem>
    <reviewItem>
      <errorID>9d8fab65-0fd1-458a-bddf-11d93331032c</errorID>
      <errorWord>150万-300万</errorWord>
      <group>L1_Knowledge</group>
      <groupName>知识性问题</groupName>
      <ability>L2_Knowledge</ability>
      <abilityName>其他知识</abilityName>
      <candidateList>
        <item>150万—300万</item>
      </candidateList>
      <explain>1. “150万-300万”中的单位“万”仅出现在后一个数字上，容易引起歧义；根据《现代汉语标点符号数字用法规范手册》，数字表示范围两边需要使用统一的格式。2.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6CDE2022</paraID>
      <start>0</start>
      <end>9</end>
      <status>modified</status>
      <modifiedWord>150万—300万</modifiedWord>
      <trackRevisions>false</trackRevisions>
    </reviewItem>
    <reviewItem>
      <errorID>b833038b-7a72-4335-a462-06510fd7b557</errorID>
      <errorWord>1000万-3000万</errorWord>
      <group>L1_Knowledge</group>
      <groupName>知识性问题</groupName>
      <ability>L2_Knowledge</ability>
      <abilityName>其他知识</abilityName>
      <candidateList>
        <item>1000万—3000万</item>
      </candidateList>
      <explain>1. “1000万-3000万”中的单位“万”仅出现在后一个数字上，容易引起歧义；根据《现代汉语标点符号数字用法规范手册》，数字表示范围两边需要使用统一的格式。2.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66D97FD9</paraID>
      <start>0</start>
      <end>11</end>
      <status>modified</status>
      <modifiedWord>1000万—3000万</modifiedWord>
      <trackRevisions>false</trackRevisions>
    </reviewItem>
    <reviewItem>
      <errorID>83fbe952-6f7d-4059-b884-c4c5e58b4eb2</errorID>
      <errorWord>5000万-2亿</errorWord>
      <group>L1_Knowledge</group>
      <groupName>知识性问题</groupName>
      <ability>L2_Knowledge</ability>
      <abilityName>其他知识</abilityName>
      <candidateList>
        <item>5000万—2亿</item>
      </candidateList>
      <explain>1. “5000万-2亿”中的单位“亿”仅出现在后一个数字上，容易引起歧义；根据《现代汉语标点符号数字用法规范手册》，数字表示范围两边需要使用统一的格式。2. 根据标点国标 4.13 中的规则，数字、时间或地域连接符应使用（视觉上更长的）“—”或“～”。</explain>
      <paraID> ADC852D</paraID>
      <start>0</start>
      <end>8</end>
      <status>modified</status>
      <modifiedWord>5000万—2亿</modifiedWord>
      <trackRevisions>false</trackRevisions>
    </reviewItem>
    <reviewItem>
      <errorID>f8994472-0f05-4d52-ba95-d01b51e63dce</errorID>
      <errorWord>-</errorWord>
      <group>L1_Format</group>
      <groupName>格式问题</groupName>
      <ability>L2_HalfPunc_CN</ability>
      <abilityName/>
      <candidateList>
        <item>－</item>
      </candidateList>
      <explain>文本全半角错误。</explain>
      <paraID>7AD8483B</paraID>
      <start>151</start>
      <end>152</end>
      <status>modified</status>
      <modifiedWord>－</modifiedWord>
      <trackRevisions>false</trackRevisions>
    </reviewItem>
    <reviewItem>
      <errorID>5b975e54-d15b-4977-aecf-9547d16579a5</errorID>
      <errorWord>-</errorWord>
      <group>L1_Format</group>
      <groupName>格式问题</groupName>
      <ability>L2_HalfPunc_CN</ability>
      <abilityName/>
      <candidateList>
        <item>－</item>
      </candidateList>
      <explain>文本全半角错误。</explain>
      <paraID>7AD8483B</paraID>
      <start>154</start>
      <end>155</end>
      <status>modified</status>
      <modifiedWord>－</modifiedWord>
      <trackRevisions>false</trackRevisions>
    </reviewItem>
    <reviewItem>
      <errorID>0cb8447f-af16-4a37-a39f-0577f88dff03</errorID>
      <errorWord>-</errorWord>
      <group>L1_Format</group>
      <groupName>格式问题</groupName>
      <ability>L2_HalfPunc_CN</ability>
      <abilityName/>
      <candidateList>
        <item>－</item>
      </candidateList>
      <explain>文本全半角错误。</explain>
      <paraID>51F11CA1</paraID>
      <start>89</start>
      <end>90</end>
      <status>modified</status>
      <modifiedWord>－</modifiedWord>
      <trackRevisions>false</trackRevisions>
    </reviewItem>
    <reviewItem>
      <errorID>9d7a161c-5d00-4333-a93f-d44b84c0093a</errorID>
      <errorWord>-</errorWord>
      <group>L1_Format</group>
      <groupName>格式问题</groupName>
      <ability>L2_HalfPunc_CN</ability>
      <abilityName/>
      <candidateList>
        <item>－</item>
      </candidateList>
      <explain>文本全半角错误。</explain>
      <paraID>51F11CA1</paraID>
      <start>94</start>
      <end>95</end>
      <status>modified</status>
      <modifiedWord>－</modifiedWord>
      <trackRevisions>false</trackRevisions>
    </reviewItem>
    <reviewItem>
      <errorID>3b9db9fb-6f26-432a-beb7-b299e7a07736</errorID>
      <errorWord>-</errorWord>
      <group>L1_Format</group>
      <groupName>格式问题</groupName>
      <ability>L2_HalfPunc_CN</ability>
      <abilityName/>
      <candidateList>
        <item>－</item>
      </candidateList>
      <explain>文本全半角错误。</explain>
      <paraID>51F11CA1</paraID>
      <start>99</start>
      <end>100</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06f08e3-5236-4dd7-8867-bdbef1116246}">
  <ds:schemaRefs/>
</ds:datastoreItem>
</file>

<file path=docProps/app.xml><?xml version="1.0" encoding="utf-8"?>
<Properties xmlns="http://schemas.openxmlformats.org/officeDocument/2006/extended-properties" xmlns:vt="http://schemas.openxmlformats.org/officeDocument/2006/docPropsVTypes">
  <Template>Normal.dotm</Template>
  <Pages>192</Pages>
  <Words>13283</Words>
  <Characters>13697</Characters>
  <Lines>0</Lines>
  <Paragraphs>0</Paragraphs>
  <TotalTime>6</TotalTime>
  <ScaleCrop>false</ScaleCrop>
  <LinksUpToDate>false</LinksUpToDate>
  <CharactersWithSpaces>13986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2025-06-30T00:55:00Z</dcterms:created>
  <dc:creator>37578</dc:creator>
  <cp:lastModifiedBy>少家</cp:lastModifiedBy>
  <dcterms:modified xsi:type="dcterms:W3CDTF">2026-08-07T05:43:10Z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eyJoZGlkIjoiN2Q1NDI2YTBkYzExNjhiZDZmMWY1YjIzY2IwNDc2MDgiLCJ1c2VySWQiOiI0NTUxNDkzMzAifQ==</vt:lpwstr>
  </property>
  <property fmtid="{D5CDD505-2E9C-101B-9397-08002B2CF9AE}" pid="4" name="ICV">
    <vt:lpwstr>4407054DDF3241919ED7B0689AD2280D_13</vt:lpwstr>
  </property>
</Properties>
</file>